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版本号：HSZB-2025-03020250608001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国有资产清产核资项目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HSZB-2025-030</w:t>
      </w:r>
      <w:r>
        <w:br/>
      </w:r>
      <w:r>
        <w:br/>
      </w:r>
      <w:r>
        <w:br/>
      </w:r>
    </w:p>
    <w:p>
      <w:pPr>
        <w:pStyle w:val="null3"/>
        <w:jc w:val="center"/>
        <w:outlineLvl w:val="2"/>
      </w:pPr>
      <w:r>
        <w:rPr>
          <w:rFonts w:ascii="仿宋_GB2312" w:hAnsi="仿宋_GB2312" w:cs="仿宋_GB2312" w:eastAsia="仿宋_GB2312"/>
          <w:sz w:val="28"/>
          <w:b/>
        </w:rPr>
        <w:t>西安市高陵区财政局</w:t>
      </w:r>
    </w:p>
    <w:p>
      <w:pPr>
        <w:pStyle w:val="null3"/>
        <w:jc w:val="center"/>
        <w:outlineLvl w:val="2"/>
      </w:pPr>
      <w:r>
        <w:rPr>
          <w:rFonts w:ascii="仿宋_GB2312" w:hAnsi="仿宋_GB2312" w:cs="仿宋_GB2312" w:eastAsia="仿宋_GB2312"/>
          <w:sz w:val="28"/>
          <w:b/>
        </w:rPr>
        <w:t>华戍(陕西)项目管理有限公司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华戍(陕西)项目管理有限公司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西安市高陵区财政局</w:t>
      </w:r>
      <w:r>
        <w:rPr>
          <w:rFonts w:ascii="仿宋_GB2312" w:hAnsi="仿宋_GB2312" w:cs="仿宋_GB2312" w:eastAsia="仿宋_GB2312"/>
        </w:rPr>
        <w:t>委托，拟对</w:t>
      </w:r>
      <w:r>
        <w:rPr>
          <w:rFonts w:ascii="仿宋_GB2312" w:hAnsi="仿宋_GB2312" w:cs="仿宋_GB2312" w:eastAsia="仿宋_GB2312"/>
        </w:rPr>
        <w:t>国有资产清产核资项目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HSZB-2025-030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国有资产清产核资项目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西安市高陵区国有资产清产核资第三方机构服务，辅助区级各有关部门，对全区行政事业单位（国有企业）国有资产进行核实、认定，出具资产清查核实报告和资产盘活处置意见。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采购包1（第一标段）：属于专门面向中小企业采购。</w:t>
      </w:r>
    </w:p>
    <w:p>
      <w:pPr>
        <w:pStyle w:val="null3"/>
      </w:pPr>
      <w:r>
        <w:rPr>
          <w:rFonts w:ascii="仿宋_GB2312" w:hAnsi="仿宋_GB2312" w:cs="仿宋_GB2312" w:eastAsia="仿宋_GB2312"/>
        </w:rPr>
        <w:t>采购包2（第二标段）：属于专门面向null采购。</w:t>
      </w:r>
    </w:p>
    <w:p>
      <w:pPr>
        <w:pStyle w:val="null3"/>
      </w:pPr>
      <w:r>
        <w:rPr>
          <w:rFonts w:ascii="仿宋_GB2312" w:hAnsi="仿宋_GB2312" w:cs="仿宋_GB2312" w:eastAsia="仿宋_GB2312"/>
        </w:rPr>
        <w:t>采购包3（第三标段）：属于专门面向null采购。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2、会计师事务所执业证书：供应商须具备财政部门颁发的有效的会计师事务所执业证书</w:t>
      </w:r>
    </w:p>
    <w:p>
      <w:pPr>
        <w:pStyle w:val="null3"/>
      </w:pPr>
      <w:r>
        <w:rPr>
          <w:rFonts w:ascii="仿宋_GB2312" w:hAnsi="仿宋_GB2312" w:cs="仿宋_GB2312" w:eastAsia="仿宋_GB2312"/>
        </w:rPr>
        <w:t>3、注册会计师证书：供应商拟派项目负责人须具有有效的注册会计师证书；</w:t>
      </w:r>
    </w:p>
    <w:p>
      <w:pPr>
        <w:pStyle w:val="null3"/>
      </w:pPr>
      <w:r>
        <w:rPr>
          <w:rFonts w:ascii="仿宋_GB2312" w:hAnsi="仿宋_GB2312" w:cs="仿宋_GB2312" w:eastAsia="仿宋_GB2312"/>
        </w:rPr>
        <w:t>4、法定代表人授权书：供应商应授权合法的人员参加磋商全过程，其中法定代表人直接参加磋商的，须出具法定代表人身份证，并与营业执照上信息一致。法定代表人授权代表参加磋商的，须同时出具法定代表人授权书、授权代表身份证及其近两个月内的本单位社保缴纳证明；</w:t>
      </w:r>
    </w:p>
    <w:p>
      <w:pPr>
        <w:pStyle w:val="null3"/>
      </w:pPr>
      <w:r>
        <w:rPr>
          <w:rFonts w:ascii="仿宋_GB2312" w:hAnsi="仿宋_GB2312" w:cs="仿宋_GB2312" w:eastAsia="仿宋_GB2312"/>
        </w:rPr>
        <w:t>5、税收缴纳证明：提供截止至开标时间前一年内任意一个月的缴纳凭据（任意税种），依法免税的供应商应提供相关文件证明；</w:t>
      </w:r>
    </w:p>
    <w:p>
      <w:pPr>
        <w:pStyle w:val="null3"/>
      </w:pPr>
      <w:r>
        <w:rPr>
          <w:rFonts w:ascii="仿宋_GB2312" w:hAnsi="仿宋_GB2312" w:cs="仿宋_GB2312" w:eastAsia="仿宋_GB2312"/>
        </w:rPr>
        <w:t>6、社会保障资金缴纳证明：提供截止至开标时间前一年内任意一个月的社保缴纳凭据或社保机构开具的社会保险参保缴纳情况证明，依法不需要缴纳社会保障资金的供应商应提供相关证明；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7、财务状况报告：提供审计事务所出具的2023年度或2024年度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w:t>
      </w:r>
    </w:p>
    <w:p>
      <w:pPr>
        <w:pStyle w:val="null3"/>
      </w:pPr>
      <w:r>
        <w:rPr>
          <w:rFonts w:ascii="仿宋_GB2312" w:hAnsi="仿宋_GB2312" w:cs="仿宋_GB2312" w:eastAsia="仿宋_GB2312"/>
        </w:rPr>
        <w:t>8、说明及承诺：提供具有履行合同所必需的设备和专业技术能力的说明及承诺；</w:t>
      </w:r>
    </w:p>
    <w:p>
      <w:pPr>
        <w:pStyle w:val="null3"/>
      </w:pPr>
      <w:r>
        <w:rPr>
          <w:rFonts w:ascii="仿宋_GB2312" w:hAnsi="仿宋_GB2312" w:cs="仿宋_GB2312" w:eastAsia="仿宋_GB2312"/>
        </w:rPr>
        <w:t>9、书面声明：提供参加政府采购活动前3年内在经营活动中没有重大违法记录的书面声明；</w:t>
      </w:r>
    </w:p>
    <w:p>
      <w:pPr>
        <w:pStyle w:val="null3"/>
      </w:pPr>
      <w:r>
        <w:rPr>
          <w:rFonts w:ascii="仿宋_GB2312" w:hAnsi="仿宋_GB2312" w:cs="仿宋_GB2312" w:eastAsia="仿宋_GB2312"/>
        </w:rPr>
        <w:t>10、信用记录：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采购人或代理机构在磋商响应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2、会计师事务所执业证书：供应商须具备财政部门颁发的有效的会计师事务所执业证书；</w:t>
      </w:r>
    </w:p>
    <w:p>
      <w:pPr>
        <w:pStyle w:val="null3"/>
      </w:pPr>
      <w:r>
        <w:rPr>
          <w:rFonts w:ascii="仿宋_GB2312" w:hAnsi="仿宋_GB2312" w:cs="仿宋_GB2312" w:eastAsia="仿宋_GB2312"/>
        </w:rPr>
        <w:t>3、注册会计师证书：供应商拟派项目负责人须具有有效的注册会计师证书；</w:t>
      </w:r>
    </w:p>
    <w:p>
      <w:pPr>
        <w:pStyle w:val="null3"/>
      </w:pPr>
      <w:r>
        <w:rPr>
          <w:rFonts w:ascii="仿宋_GB2312" w:hAnsi="仿宋_GB2312" w:cs="仿宋_GB2312" w:eastAsia="仿宋_GB2312"/>
        </w:rPr>
        <w:t>4、法定代表人授权书：供应商应授权合法的人员参加磋商全过程，其中法定代表人直接参加磋商的，须出具法定代表人身份证，并与营业执照上信息一致。法定代表人授权代表参加磋商的，须同时出具法定代表人授权书、授权代表身份证及其近两个月内的本单位社保缴纳证明；</w:t>
      </w:r>
    </w:p>
    <w:p>
      <w:pPr>
        <w:pStyle w:val="null3"/>
      </w:pPr>
      <w:r>
        <w:rPr>
          <w:rFonts w:ascii="仿宋_GB2312" w:hAnsi="仿宋_GB2312" w:cs="仿宋_GB2312" w:eastAsia="仿宋_GB2312"/>
        </w:rPr>
        <w:t>5、税收缴纳证明：提供截止至开标时间前一年内任意一个月的缴纳凭据（任意税种），依法免税的供应商应提供相关文件证明；</w:t>
      </w:r>
    </w:p>
    <w:p>
      <w:pPr>
        <w:pStyle w:val="null3"/>
      </w:pPr>
      <w:r>
        <w:rPr>
          <w:rFonts w:ascii="仿宋_GB2312" w:hAnsi="仿宋_GB2312" w:cs="仿宋_GB2312" w:eastAsia="仿宋_GB2312"/>
        </w:rPr>
        <w:t>6、社会保障资金缴纳证明：提供截止至开标时间前一年内任意一个月的社保缴纳凭据或社保机构开具的社会保险参保缴纳情况证明，依法不需要缴纳社会保障资金的供应商应提供相关证明；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7、财务状况报告：提供审计事务所出具的2023年度或2024年度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w:t>
      </w:r>
    </w:p>
    <w:p>
      <w:pPr>
        <w:pStyle w:val="null3"/>
      </w:pPr>
      <w:r>
        <w:rPr>
          <w:rFonts w:ascii="仿宋_GB2312" w:hAnsi="仿宋_GB2312" w:cs="仿宋_GB2312" w:eastAsia="仿宋_GB2312"/>
        </w:rPr>
        <w:t>8、说明及承诺：提供具有履行合同所必需的设备和专业技术能力的说明及承诺；</w:t>
      </w:r>
    </w:p>
    <w:p>
      <w:pPr>
        <w:pStyle w:val="null3"/>
      </w:pPr>
      <w:r>
        <w:rPr>
          <w:rFonts w:ascii="仿宋_GB2312" w:hAnsi="仿宋_GB2312" w:cs="仿宋_GB2312" w:eastAsia="仿宋_GB2312"/>
        </w:rPr>
        <w:t>9、书面声明：提供参加政府采购活动前3年内在经营活动中没有重大违法记录的书面声明；</w:t>
      </w:r>
    </w:p>
    <w:p>
      <w:pPr>
        <w:pStyle w:val="null3"/>
      </w:pPr>
      <w:r>
        <w:rPr>
          <w:rFonts w:ascii="仿宋_GB2312" w:hAnsi="仿宋_GB2312" w:cs="仿宋_GB2312" w:eastAsia="仿宋_GB2312"/>
        </w:rPr>
        <w:t>10、信用记录：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采购人或代理机构在磋商响应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2、会计师事务所执业证书：供应商须具备财政部门颁发的有效的会计师事务所执业证书；</w:t>
      </w:r>
    </w:p>
    <w:p>
      <w:pPr>
        <w:pStyle w:val="null3"/>
      </w:pPr>
      <w:r>
        <w:rPr>
          <w:rFonts w:ascii="仿宋_GB2312" w:hAnsi="仿宋_GB2312" w:cs="仿宋_GB2312" w:eastAsia="仿宋_GB2312"/>
        </w:rPr>
        <w:t>3、注册会计师证书：供应商拟派项目负责人须具有有效的注册会计师证书；</w:t>
      </w:r>
    </w:p>
    <w:p>
      <w:pPr>
        <w:pStyle w:val="null3"/>
      </w:pPr>
      <w:r>
        <w:rPr>
          <w:rFonts w:ascii="仿宋_GB2312" w:hAnsi="仿宋_GB2312" w:cs="仿宋_GB2312" w:eastAsia="仿宋_GB2312"/>
        </w:rPr>
        <w:t>4、法定代表人授权书：供应商应授权合法的人员参加磋商全过程，其中法定代表人直接参加磋商的，须出具法定代表人身份证，并与营业执照上信息一致。法定代表人授权代表参加磋商的，须同时出具法定代表人授权书、授权代表身份证及其近两个月内的本单位社保缴纳证明；</w:t>
      </w:r>
    </w:p>
    <w:p>
      <w:pPr>
        <w:pStyle w:val="null3"/>
      </w:pPr>
      <w:r>
        <w:rPr>
          <w:rFonts w:ascii="仿宋_GB2312" w:hAnsi="仿宋_GB2312" w:cs="仿宋_GB2312" w:eastAsia="仿宋_GB2312"/>
        </w:rPr>
        <w:t>5、税收缴纳证明：提供截止至开标时间前一年内任意一个月的缴纳凭据（任意税种），依法免税的供应商应提供相关文件证明；</w:t>
      </w:r>
    </w:p>
    <w:p>
      <w:pPr>
        <w:pStyle w:val="null3"/>
      </w:pPr>
      <w:r>
        <w:rPr>
          <w:rFonts w:ascii="仿宋_GB2312" w:hAnsi="仿宋_GB2312" w:cs="仿宋_GB2312" w:eastAsia="仿宋_GB2312"/>
        </w:rPr>
        <w:t>6、社会保障资金缴纳证明：提供截止至开标时间前一年内任意一个月的社保缴纳凭据或社保机构开具的社会保险参保缴纳情况证明，依法不需要缴纳社会保障资金的供应商应提供相关证明；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7、财务状况报告：提供审计事务所出具的2023年度或2024年度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w:t>
      </w:r>
    </w:p>
    <w:p>
      <w:pPr>
        <w:pStyle w:val="null3"/>
      </w:pPr>
      <w:r>
        <w:rPr>
          <w:rFonts w:ascii="仿宋_GB2312" w:hAnsi="仿宋_GB2312" w:cs="仿宋_GB2312" w:eastAsia="仿宋_GB2312"/>
        </w:rPr>
        <w:t>8、说明及承诺：提供具有履行合同所必需的设备和专业技术能力的说明及承诺；</w:t>
      </w:r>
    </w:p>
    <w:p>
      <w:pPr>
        <w:pStyle w:val="null3"/>
      </w:pPr>
      <w:r>
        <w:rPr>
          <w:rFonts w:ascii="仿宋_GB2312" w:hAnsi="仿宋_GB2312" w:cs="仿宋_GB2312" w:eastAsia="仿宋_GB2312"/>
        </w:rPr>
        <w:t>9、书面声明：提供参加政府采购活动前3年内在经营活动中没有重大违法记录的书面声明；</w:t>
      </w:r>
    </w:p>
    <w:p>
      <w:pPr>
        <w:pStyle w:val="null3"/>
      </w:pPr>
      <w:r>
        <w:rPr>
          <w:rFonts w:ascii="仿宋_GB2312" w:hAnsi="仿宋_GB2312" w:cs="仿宋_GB2312" w:eastAsia="仿宋_GB2312"/>
        </w:rPr>
        <w:t>10、信用记录：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采购人或代理机构在磋商响应截止日当天在“信用中国”网站和中国政府采购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高陵区南环西路189号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西安市高陵区财政局经办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029-86918682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华戍(陕西)项目管理有限公司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西安市经济技术开发区凤城十二路首创禧悦里A座1906室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029-86108315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采购代理机构一次性支付代理服务费。2、招标代理服务费：以成交金额为基数，参照国家计委颁发的《招标代理服务收费管理暂行办法》（计价格[2002]1980号）和国家发展和改革委员会办公厅颁发的《关于招标代理服务收费有关问题的通知》（发改办价格[2003]857号）的有关规定执行。（开户名称：华戍（陕西）项目管理有限公司，开户银行：招商银行股份有限公司西安文景路支行，账户：129916506010000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西安市高陵区财政局</w:t>
      </w:r>
      <w:r>
        <w:rPr>
          <w:rFonts w:ascii="仿宋_GB2312" w:hAnsi="仿宋_GB2312" w:cs="仿宋_GB2312" w:eastAsia="仿宋_GB2312"/>
        </w:rPr>
        <w:t>和</w:t>
      </w:r>
      <w:r>
        <w:rPr>
          <w:rFonts w:ascii="仿宋_GB2312" w:hAnsi="仿宋_GB2312" w:cs="仿宋_GB2312" w:eastAsia="仿宋_GB2312"/>
        </w:rPr>
        <w:t>华戍(陕西)项目管理有限公司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华戍(陕西)项目管理有限公司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华戍(陕西)项目管理有限公司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西安市高陵区财政局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华戍(陕西)项目管理有限公司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华戍(陕西)项目管理有限公司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联系人：黄工</w:t>
      </w:r>
    </w:p>
    <w:p>
      <w:pPr>
        <w:pStyle w:val="null3"/>
      </w:pPr>
      <w:r>
        <w:rPr>
          <w:rFonts w:ascii="仿宋_GB2312" w:hAnsi="仿宋_GB2312" w:cs="仿宋_GB2312" w:eastAsia="仿宋_GB2312"/>
        </w:rPr>
        <w:t>联系电话：029-86108315</w:t>
      </w:r>
    </w:p>
    <w:p>
      <w:pPr>
        <w:pStyle w:val="null3"/>
      </w:pPr>
      <w:r>
        <w:rPr>
          <w:rFonts w:ascii="仿宋_GB2312" w:hAnsi="仿宋_GB2312" w:cs="仿宋_GB2312" w:eastAsia="仿宋_GB2312"/>
        </w:rPr>
        <w:t>地址：西安市经济技术开发区凤城十二路首创禧悦里A座1906室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西安市高陵区国有资产清产核资第三方机构服务，辅助区级各有关部门，对全区行政事业单位（国有企业）国有资产进行核实、认定，出具资产清查核实报告和资产盘活处置意见。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详见采购需求附件。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标的名称：第二标段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详见采购需求附件。</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标的名称：第三标段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详见采购需求附件。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根据项目情况按需配备。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根据项目情况按需配备。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根据项目情况按需配备。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根据项目情况按需配备。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60日历天（从合同签订之日起至服务期满）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60日历天（从合同签订之日起至服务期满）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60日历天（从合同签订之日起至服务期满）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所有内容完成且验收合格后，乙方出具正规发票给甲方，甲方在收到正规发票完成报账程序待项目资金到位后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所有内容完成且验收合格后，乙方出具正规发票给甲方，甲方在收到正规发票完成报账程序待项目资金到位后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所有内容完成且验收合格后，乙方出具正规发票给甲方，甲方在收到正规发票完成报账程序待项目资金到位后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因平台格式限制，实际签订合同要求为：采购人应在成交通知书发出之日起25日内与成交供应商签订采购合同。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会计师事务所执业证书</w:t>
            </w:r>
          </w:p>
        </w:tc>
        <w:tc>
          <w:tcPr>
            <w:tcW w:type="dxa" w:w="3322"/>
          </w:tcPr>
          <w:p>
            <w:pPr>
              <w:pStyle w:val="null3"/>
            </w:pPr>
            <w:r>
              <w:rPr>
                <w:rFonts w:ascii="仿宋_GB2312" w:hAnsi="仿宋_GB2312" w:cs="仿宋_GB2312" w:eastAsia="仿宋_GB2312"/>
              </w:rPr>
              <w:t>供应商须具备财政部门颁发的有效的会计师事务所执业证书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注册会计师证书</w:t>
            </w:r>
          </w:p>
        </w:tc>
        <w:tc>
          <w:tcPr>
            <w:tcW w:type="dxa" w:w="3322"/>
          </w:tcPr>
          <w:p>
            <w:pPr>
              <w:pStyle w:val="null3"/>
            </w:pPr>
            <w:r>
              <w:rPr>
                <w:rFonts w:ascii="仿宋_GB2312" w:hAnsi="仿宋_GB2312" w:cs="仿宋_GB2312" w:eastAsia="仿宋_GB2312"/>
              </w:rPr>
              <w:t>供应商拟派项目负责人须具有有效的注册会计师证书；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同时出具法定代表人授权书、授权代表身份证及其近两个月内的本单位社保缴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提供截止至开标时间前一年内任意一个月的缴纳凭据（任意税种），依法免税的供应商应提供相关文件证明；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提供截止至开标时间前一年内任意一个月的社保缴纳凭据或社保机构开具的社会保险参保缴纳情况证明，依法不需要缴纳社会保障资金的供应商应提供相关证明；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审计事务所出具的2023年度或2024年度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采购人或代理机构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会计师事务所执业证书</w:t>
            </w:r>
          </w:p>
        </w:tc>
        <w:tc>
          <w:tcPr>
            <w:tcW w:type="dxa" w:w="3322"/>
          </w:tcPr>
          <w:p>
            <w:pPr>
              <w:pStyle w:val="null3"/>
            </w:pPr>
            <w:r>
              <w:rPr>
                <w:rFonts w:ascii="仿宋_GB2312" w:hAnsi="仿宋_GB2312" w:cs="仿宋_GB2312" w:eastAsia="仿宋_GB2312"/>
              </w:rPr>
              <w:t>供应商须具备财政部门颁发的有效的会计师事务所执业证书；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注册会计师证书</w:t>
            </w:r>
          </w:p>
        </w:tc>
        <w:tc>
          <w:tcPr>
            <w:tcW w:type="dxa" w:w="3322"/>
          </w:tcPr>
          <w:p>
            <w:pPr>
              <w:pStyle w:val="null3"/>
            </w:pPr>
            <w:r>
              <w:rPr>
                <w:rFonts w:ascii="仿宋_GB2312" w:hAnsi="仿宋_GB2312" w:cs="仿宋_GB2312" w:eastAsia="仿宋_GB2312"/>
              </w:rPr>
              <w:t>供应商拟派项目负责人须具有有效的注册会计师证书；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同时出具法定代表人授权书、授权代表身份证及其近两个月内的本单位社保缴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提供截止至开标时间前一年内任意一个月的缴纳凭据（任意税种），依法免税的供应商应提供相关文件证明；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提供截止至开标时间前一年内任意一个月的社保缴纳凭据或社保机构开具的社会保险参保缴纳情况证明，依法不需要缴纳社会保障资金的供应商应提供相关证明；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审计事务所出具的2023年度或2024年度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采购人或代理机构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会计师事务所执业证书</w:t>
            </w:r>
          </w:p>
        </w:tc>
        <w:tc>
          <w:tcPr>
            <w:tcW w:type="dxa" w:w="3322"/>
          </w:tcPr>
          <w:p>
            <w:pPr>
              <w:pStyle w:val="null3"/>
            </w:pPr>
            <w:r>
              <w:rPr>
                <w:rFonts w:ascii="仿宋_GB2312" w:hAnsi="仿宋_GB2312" w:cs="仿宋_GB2312" w:eastAsia="仿宋_GB2312"/>
              </w:rPr>
              <w:t>供应商须具备财政部门颁发的有效的会计师事务所执业证书；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注册会计师证书</w:t>
            </w:r>
          </w:p>
        </w:tc>
        <w:tc>
          <w:tcPr>
            <w:tcW w:type="dxa" w:w="3322"/>
          </w:tcPr>
          <w:p>
            <w:pPr>
              <w:pStyle w:val="null3"/>
            </w:pPr>
            <w:r>
              <w:rPr>
                <w:rFonts w:ascii="仿宋_GB2312" w:hAnsi="仿宋_GB2312" w:cs="仿宋_GB2312" w:eastAsia="仿宋_GB2312"/>
              </w:rPr>
              <w:t>供应商拟派项目负责人须具有有效的注册会计师证书；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同时出具法定代表人授权书、授权代表身份证及其近两个月内的本单位社保缴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提供截止至开标时间前一年内任意一个月的缴纳凭据（任意税种），依法免税的供应商应提供相关文件证明；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提供截止至开标时间前一年内任意一个月的社保缴纳凭据或社保机构开具的社会保险参保缴纳情况证明，依法不需要缴纳社会保障资金的供应商应提供相关证明；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审计事务所出具的2023年度或2024年度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采购人或代理机构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响应文件格式、语言及有效期</w:t>
            </w:r>
          </w:p>
        </w:tc>
        <w:tc>
          <w:tcPr>
            <w:tcW w:type="dxa" w:w="3322"/>
          </w:tcPr>
          <w:p>
            <w:pPr>
              <w:pStyle w:val="null3"/>
            </w:pPr>
            <w:r>
              <w:rPr>
                <w:rFonts w:ascii="仿宋_GB2312" w:hAnsi="仿宋_GB2312" w:cs="仿宋_GB2312" w:eastAsia="仿宋_GB2312"/>
              </w:rPr>
              <w:t>响应文件格式、语言及有效期符合磋商文件要求。</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（1）第一次磋商报价表填写符合要求；（2）计量单位、报价货币均符合磋商文件要求；（3）第一次磋商报价未超出采购预算或磋商文件规定的最高限价。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服务内容及要求</w:t>
            </w:r>
          </w:p>
        </w:tc>
        <w:tc>
          <w:tcPr>
            <w:tcW w:type="dxa" w:w="3322"/>
          </w:tcPr>
          <w:p>
            <w:pPr>
              <w:pStyle w:val="null3"/>
            </w:pPr>
            <w:r>
              <w:rPr>
                <w:rFonts w:ascii="仿宋_GB2312" w:hAnsi="仿宋_GB2312" w:cs="仿宋_GB2312" w:eastAsia="仿宋_GB2312"/>
              </w:rPr>
              <w:t>完全理解并接受对合格供应商的服务要求，服务响应没有重大偏离和保留。</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完全理解并接受合同条款要求，合同条款没有重大偏离和保留。</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响应文件格式、语言及有效期</w:t>
            </w:r>
          </w:p>
        </w:tc>
        <w:tc>
          <w:tcPr>
            <w:tcW w:type="dxa" w:w="3322"/>
          </w:tcPr>
          <w:p>
            <w:pPr>
              <w:pStyle w:val="null3"/>
            </w:pPr>
            <w:r>
              <w:rPr>
                <w:rFonts w:ascii="仿宋_GB2312" w:hAnsi="仿宋_GB2312" w:cs="仿宋_GB2312" w:eastAsia="仿宋_GB2312"/>
              </w:rPr>
              <w:t>响应文件格式、语言及有效期符合磋商文件要求。</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（1）第一次磋商报价表填写符合要求；（2）计量单位、报价货币均符合磋商文件要求；（3）第一次磋商报价未超出采购预算或磋商文件规定的最高限价。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服务内容及要求</w:t>
            </w:r>
          </w:p>
        </w:tc>
        <w:tc>
          <w:tcPr>
            <w:tcW w:type="dxa" w:w="3322"/>
          </w:tcPr>
          <w:p>
            <w:pPr>
              <w:pStyle w:val="null3"/>
            </w:pPr>
            <w:r>
              <w:rPr>
                <w:rFonts w:ascii="仿宋_GB2312" w:hAnsi="仿宋_GB2312" w:cs="仿宋_GB2312" w:eastAsia="仿宋_GB2312"/>
              </w:rPr>
              <w:t>完全理解并接受对合格供应商的服务要求，服务响应没有重大偏离和保留。</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完全理解并接受合同条款要求，合同条款没有重大偏离和保留。</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响应文件格式、语言及有效期</w:t>
            </w:r>
          </w:p>
        </w:tc>
        <w:tc>
          <w:tcPr>
            <w:tcW w:type="dxa" w:w="3322"/>
          </w:tcPr>
          <w:p>
            <w:pPr>
              <w:pStyle w:val="null3"/>
            </w:pPr>
            <w:r>
              <w:rPr>
                <w:rFonts w:ascii="仿宋_GB2312" w:hAnsi="仿宋_GB2312" w:cs="仿宋_GB2312" w:eastAsia="仿宋_GB2312"/>
              </w:rPr>
              <w:t>响应文件格式、语言及有效期符合磋商文件要求。</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（1）第一次磋商报价表填写符合要求；（2）计量单位、报价货币均符合磋商文件要求；（3）第一次磋商报价未超出采购预算或磋商文件规定的最高限价。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服务内容及要求</w:t>
            </w:r>
          </w:p>
        </w:tc>
        <w:tc>
          <w:tcPr>
            <w:tcW w:type="dxa" w:w="3322"/>
          </w:tcPr>
          <w:p>
            <w:pPr>
              <w:pStyle w:val="null3"/>
            </w:pPr>
            <w:r>
              <w:rPr>
                <w:rFonts w:ascii="仿宋_GB2312" w:hAnsi="仿宋_GB2312" w:cs="仿宋_GB2312" w:eastAsia="仿宋_GB2312"/>
              </w:rPr>
              <w:t>完全理解并接受对合格供应商的服务要求，服务响应没有重大偏离和保留。</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完全理解并接受合同条款要求，合同条款没有重大偏离和保留。</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提供近三年（2022年1月至响应文件递交截止时间）类似项目业绩，每提供1项得2分，最多得10分。注：1.以合同复印件加盖公章为准；2.时间以合同签订时间为准；3.未提供或提供不完整或不清晰的均不得分。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包括但不限于：1.对本项目背景的认识与理解；2.工作流程大纲；3.具体清查实施方案；4.成果报告形成方案；5.工作各个时间节点安排。 （二）评审标准 以上5项内容无缺项，专门针对本项目编制，符合本项目实际情况，内容完整、条理清晰能够保障项目顺利实施的得满分30分。每项内容根据供应商内容响应程度：每缺少一项内容或者内容非针对于本项目的扣6分，每有一项内容有缺陷的扣3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（一）评审内容 包括但不限于：1.工作进度保障方案2.服务质量保障方案；3.针对本项目的重难点分析及应对方案。 （二）评审标准 以上3项内容无缺项，专门针对本项目编制，符合本项目实际情况，内容完整、条理清晰能够保障项目顺利实施的得满分15分。每项内容根据供应商内容响应程度：每缺少一项内容或者内容非针对于本项目的扣5分，每有一项内容有缺陷的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保密措施及廉洁就业措施</w:t>
            </w:r>
          </w:p>
        </w:tc>
        <w:tc>
          <w:tcPr>
            <w:tcW w:type="dxa" w:w="2492"/>
          </w:tcPr>
          <w:p>
            <w:pPr>
              <w:pStyle w:val="null3"/>
            </w:pPr>
            <w:r>
              <w:rPr>
                <w:rFonts w:ascii="仿宋_GB2312" w:hAnsi="仿宋_GB2312" w:cs="仿宋_GB2312" w:eastAsia="仿宋_GB2312"/>
              </w:rPr>
              <w:t>（一）评审内容 供应商根据本项目提供1.保密措施；2.廉洁就业措施。 （二）评审标准 以上2项内容无缺项，专门针对本项目编制，符合本项目实际情况，内容完整、条理清晰能够保障项目顺利实施的得满分10分。每项内容根据供应商内容响应程度：每缺少一项内容或者内容非针对于本项目的扣5分，每有一项内容有缺陷的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1.供应商根据本项目提供项目负责人及团队人员情况信息表（表内至少包括姓名、性别、年龄、学历、就业年限、岗位）；2.提供项目负责人及团队人员的相关证明（包括但不限于人员身份证、毕业证等）。 （二）评审标准 拟投入人员数量及结构安排合理、专业性强、工作经验丰富得[10-15]分；拟投入人员数量及结构安排基本满足采购需求、专业性和工作经验一般得[5-10]分；拟投入人员数量及结构安排无法采购需求、专业性和工作经验不足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（一）评审内容 供应商根据本项目提供1.服务承诺；2.合理化建议。 （二）评审标准 以上2项内容无缺项，专门针对本项目编制，符合本项目实际情况，内容完整、条理清晰能够保障项目顺利实施的得满分10分。每项内容根据供应商内容响应程度：每缺少一项内容或者内容非针对于本项目的扣5分，每有一项内容有缺陷的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提供近三年（2022年1月至响应文件递交截止时间）类似项目业绩，每提供1项得2分，最多得10分。注：1.以合同复印件加盖公章为准；2.时间以合同签订时间为准；3.未提供或提供不完整或不清晰的均不得分。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包括但不限于：1.对本项目背景的认识与理解；2.工作流程大纲；3.具体清查实施方案；4.成果报告形成方案；5.工作各个时间节点安排。 （二）评审标准 以上5项内容无缺项，专门针对本项目编制，符合本项目实际情况，内容完整、条理清晰能够保障项目顺利实施的得满分30分。每项内容根据供应商内容响应程度：每缺少一项内容或者内容非针对于本项目的扣6分，每有一项内容有缺陷的扣3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（一）评审内容 包括但不限于：1.工作进度保障方案2.服务质量保障方案；3.针对本项目的重难点分析及应对方案。 （二）评审标准 以上3项内容无缺项，专门针对本项目编制，符合本项目实际情况，内容完整、条理清晰能够保障项目顺利实施的得满分15分。每项内容根据供应商内容响应程度：每缺少一项内容或者内容非针对于本项目的扣5分，每有一项内容有缺陷的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保密措施及廉洁就业措施</w:t>
            </w:r>
          </w:p>
        </w:tc>
        <w:tc>
          <w:tcPr>
            <w:tcW w:type="dxa" w:w="2492"/>
          </w:tcPr>
          <w:p>
            <w:pPr>
              <w:pStyle w:val="null3"/>
            </w:pPr>
            <w:r>
              <w:rPr>
                <w:rFonts w:ascii="仿宋_GB2312" w:hAnsi="仿宋_GB2312" w:cs="仿宋_GB2312" w:eastAsia="仿宋_GB2312"/>
              </w:rPr>
              <w:t>（一）评审内容 供应商根据本项目提供1.保密措施；2.廉洁就业措施。 （二）评审标准 以上2项内容无缺项，专门针对本项目编制，符合本项目实际情况，内容完整、条理清晰能够保障项目顺利实施的得满分10分。每项内容根据供应商内容响应程度：每缺少一项内容或者内容非针对于本项目的扣5分，每有一项内容有缺陷的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1.供应商根据本项目提供项目负责人及团队人员情况信息表（表内至少包括姓名、性别、年龄、学历、就业年限、岗位）；2.提供项目负责人及团队人员的相关证明（包括但不限于人员身份证、毕业证等）。 （二）评审标准 拟投入人员数量及结构安排合理、专业性强、工作经验丰富得[10-15]分；拟投入人员数量及结构安排基本满足采购需求、专业性和工作经验一般得[5-10]分；拟投入人员数量及结构安排无法采购需求、专业性和工作经验不足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（一）评审内容 供应商根据本项目提供1.服务承诺；2.合理化建议。 （二）评审标准 以上2项内容无缺项，专门针对本项目编制，符合本项目实际情况，内容完整、条理清晰能够保障项目顺利实施的得满分10分。每项内容根据供应商内容响应程度：每缺少一项内容或者内容非针对于本项目的扣5分，每有一项内容有缺陷的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提供近三年（2022年1月至响应文件递交截止时间）类似项目业绩，每提供1项得2分，最多得10分。注：1.以合同复印件加盖公章为准；2.时间以合同签订时间为准；3.未提供或提供不完整或不清晰的均不得分。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包括但不限于：1.对本项目背景的认识与理解；2.工作流程大纲；3.具体清查实施方案；4.成果报告形成方案；5.工作各个时间节点安排。 （二）评审标准 以上5项内容无缺项，专门针对本项目编制，符合本项目实际情况，内容完整、条理清晰能够保障项目顺利实施的得满分30分。每项内容根据供应商内容响应程度：每缺少一项内容或者内容非针对于本项目的扣6分，每有一项内容有缺陷的扣3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（一）评审内容 包括但不限于：1.工作进度保障方案2.服务质量保障方案；3.针对本项目的重难点分析及应对方案。 （二）评审标准 以上3项内容无缺项，专门针对本项目编制，符合本项目实际情况，内容完整、条理清晰能够保障项目顺利实施的得满分15分。每项内容根据供应商内容响应程度：每缺少一项内容或者内容非针对于本项目的扣5分，每有一项内容有缺陷的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保密措施及廉洁就业措施</w:t>
            </w:r>
          </w:p>
        </w:tc>
        <w:tc>
          <w:tcPr>
            <w:tcW w:type="dxa" w:w="2492"/>
          </w:tcPr>
          <w:p>
            <w:pPr>
              <w:pStyle w:val="null3"/>
            </w:pPr>
            <w:r>
              <w:rPr>
                <w:rFonts w:ascii="仿宋_GB2312" w:hAnsi="仿宋_GB2312" w:cs="仿宋_GB2312" w:eastAsia="仿宋_GB2312"/>
              </w:rPr>
              <w:t>（一）评审内容 供应商根据本项目提供1.保密措施；2.廉洁就业措施。 （二）评审标准 以上2项内容无缺项，专门针对本项目编制，符合本项目实际情况，内容完整、条理清晰能够保障项目顺利实施的得满分10分。每项内容根据供应商内容响应程度：每缺少一项内容或者内容非针对于本项目的扣5分，每有一项内容有缺陷的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1.供应商根据本项目提供项目负责人及团队人员情况信息表（表内至少包括姓名、性别、年龄、学历、就业年限、岗位）；2.提供项目负责人及团队人员的相关证明（包括但不限于人员身份证、毕业证等）。 （二）评审标准 拟投入人员数量及结构安排合理、专业性强、工作经验丰富得[10-15]分；拟投入人员数量及结构安排基本满足采购需求、专业性和工作经验一般得[5-10]分；拟投入人员数量及结构安排无法采购需求、专业性和工作经验不足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（一）评审内容 供应商根据本项目提供1.服务承诺；2.合理化建议。 （二）评审标准 以上2项内容无缺项，专门针对本项目编制，符合本项目实际情况，内容完整、条理清晰能够保障项目顺利实施的得满分10分。每项内容根据供应商内容响应程度：每缺少一项内容或者内容非针对于本项目的扣5分，每有一项内容有缺陷的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