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1E683">
      <w:pPr>
        <w:wordWrap w:val="0"/>
        <w:jc w:val="right"/>
        <w:rPr>
          <w:rFonts w:hint="default" w:ascii="Times New Roman" w:hAnsi="Times New Roman" w:cs="Times New Roman"/>
          <w:sz w:val="52"/>
          <w:szCs w:val="52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</w:rPr>
        <w:t xml:space="preserve">合同编号：        </w:t>
      </w:r>
    </w:p>
    <w:p w14:paraId="4735488E">
      <w:pPr>
        <w:jc w:val="center"/>
        <w:rPr>
          <w:rFonts w:hint="default" w:ascii="Times New Roman" w:hAnsi="Times New Roman" w:cs="Times New Roman"/>
          <w:sz w:val="52"/>
          <w:szCs w:val="52"/>
        </w:rPr>
      </w:pPr>
    </w:p>
    <w:p w14:paraId="00744050">
      <w:pPr>
        <w:jc w:val="center"/>
        <w:rPr>
          <w:rFonts w:hint="default" w:ascii="Times New Roman" w:hAnsi="Times New Roman" w:cs="Times New Roman"/>
          <w:sz w:val="52"/>
          <w:szCs w:val="52"/>
        </w:rPr>
      </w:pPr>
    </w:p>
    <w:p w14:paraId="03BE91FA">
      <w:pPr>
        <w:jc w:val="center"/>
        <w:rPr>
          <w:rFonts w:hint="default" w:ascii="Times New Roman" w:hAnsi="Times New Roman" w:cs="Times New Roman"/>
          <w:sz w:val="52"/>
          <w:szCs w:val="52"/>
        </w:rPr>
      </w:pPr>
    </w:p>
    <w:p w14:paraId="1C2743E9">
      <w:pPr>
        <w:jc w:val="center"/>
        <w:rPr>
          <w:rFonts w:hint="default" w:ascii="Times New Roman" w:hAnsi="Times New Roman" w:cs="Times New Roman"/>
          <w:sz w:val="36"/>
          <w:szCs w:val="36"/>
        </w:rPr>
      </w:pPr>
    </w:p>
    <w:p w14:paraId="4E3F55B7">
      <w:pPr>
        <w:spacing w:line="52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绿色园区技术服务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合同</w:t>
      </w:r>
    </w:p>
    <w:p w14:paraId="2400C9EA">
      <w:pPr>
        <w:spacing w:line="520" w:lineRule="exact"/>
        <w:jc w:val="center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4B11DB2B">
      <w:pPr>
        <w:pStyle w:val="3"/>
        <w:spacing w:line="520" w:lineRule="exact"/>
        <w:ind w:firstLine="0"/>
        <w:jc w:val="center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675D0AC8">
      <w:pPr>
        <w:spacing w:line="520" w:lineRule="exact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</w:p>
    <w:p w14:paraId="6F66FED7">
      <w:pPr>
        <w:spacing w:line="520" w:lineRule="exact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</w:p>
    <w:p w14:paraId="72C35868">
      <w:pPr>
        <w:spacing w:line="520" w:lineRule="exact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</w:p>
    <w:p w14:paraId="28BA1F12">
      <w:pPr>
        <w:spacing w:line="520" w:lineRule="exact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</w:p>
    <w:p w14:paraId="1D45FF1E">
      <w:pPr>
        <w:spacing w:line="520" w:lineRule="exact"/>
        <w:ind w:firstLine="600"/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项目名称：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                                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 </w:t>
      </w:r>
    </w:p>
    <w:p w14:paraId="4EAABBA2">
      <w:pPr>
        <w:spacing w:line="520" w:lineRule="exact"/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委 托 方：</w:t>
      </w:r>
      <w:r>
        <w:rPr>
          <w:rFonts w:hint="default" w:ascii="Times New Roman" w:hAnsi="Times New Roman" w:eastAsia="仿宋" w:cs="Times New Roman"/>
          <w:bCs/>
          <w:i/>
          <w:sz w:val="30"/>
          <w:szCs w:val="30"/>
          <w:u w:val="single"/>
        </w:rPr>
        <w:t xml:space="preserve">      </w:t>
      </w:r>
      <w:r>
        <w:rPr>
          <w:rFonts w:hint="default" w:ascii="Times New Roman" w:hAnsi="Times New Roman" w:eastAsia="仿宋" w:cs="Times New Roman"/>
          <w:bCs/>
          <w:i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Cs/>
          <w:i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" w:cs="Times New Roman"/>
          <w:bCs/>
          <w:i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                                         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         </w:t>
      </w:r>
    </w:p>
    <w:p w14:paraId="3D32732B">
      <w:pPr>
        <w:spacing w:line="520" w:lineRule="exact"/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受委托方：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   </w:t>
      </w:r>
      <w:r>
        <w:rPr>
          <w:rFonts w:hint="eastAsia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                                                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 </w:t>
      </w:r>
    </w:p>
    <w:p w14:paraId="66342F51">
      <w:pPr>
        <w:spacing w:line="520" w:lineRule="exact"/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签署日期：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         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年     月    日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bCs/>
          <w:sz w:val="30"/>
          <w:szCs w:val="30"/>
          <w:u w:val="single"/>
        </w:rPr>
        <w:t xml:space="preserve">    </w:t>
      </w:r>
    </w:p>
    <w:p w14:paraId="5749B666">
      <w:pPr>
        <w:adjustRightInd/>
        <w:snapToGrid/>
        <w:spacing w:after="0"/>
        <w:ind w:firstLine="602" w:firstLineChars="200"/>
        <w:rPr>
          <w:rFonts w:hint="default" w:ascii="Times New Roman" w:hAnsi="Times New Roman" w:eastAsia="仿宋_GB2312" w:cs="Times New Roman"/>
          <w:b/>
          <w:sz w:val="30"/>
          <w:szCs w:val="30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bookmarkStart w:id="0" w:name="_Toc356825230"/>
      <w:bookmarkStart w:id="1" w:name="_Toc322598584"/>
      <w:bookmarkStart w:id="2" w:name="_Toc356836840"/>
    </w:p>
    <w:p w14:paraId="4FF1AF0C">
      <w:pPr>
        <w:adjustRightInd/>
        <w:snapToGrid/>
        <w:spacing w:after="0"/>
        <w:ind w:firstLine="602" w:firstLineChars="200"/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甲方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：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                                            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</w:t>
      </w:r>
    </w:p>
    <w:p w14:paraId="115E54F6">
      <w:pPr>
        <w:spacing w:line="360" w:lineRule="auto"/>
        <w:ind w:firstLine="602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乙方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：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                                            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</w:p>
    <w:bookmarkEnd w:id="0"/>
    <w:bookmarkEnd w:id="1"/>
    <w:bookmarkEnd w:id="2"/>
    <w:p w14:paraId="4930BEF6">
      <w:pPr>
        <w:spacing w:line="520" w:lineRule="exact"/>
        <w:ind w:firstLine="678" w:firstLineChars="225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一、服务内容</w:t>
      </w:r>
    </w:p>
    <w:p w14:paraId="6FB4C82D">
      <w:pPr>
        <w:spacing w:after="0" w:line="360" w:lineRule="auto"/>
        <w:ind w:firstLine="675" w:firstLineChars="225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甲方依据工信部《关于开展绿色制造体系建设的通知》（工信厅节函﹝2016﹞586号）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省工信厅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《关于开展陕西省2025年度绿色制造名单申报工作的通知陕工信发》（〔2025〕81号）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等文件</w:t>
      </w:r>
      <w:r>
        <w:rPr>
          <w:rFonts w:hint="default" w:ascii="Times New Roman" w:hAnsi="Times New Roman" w:eastAsia="仿宋_GB2312" w:cs="Times New Roman"/>
          <w:sz w:val="30"/>
          <w:szCs w:val="30"/>
        </w:rPr>
        <w:t>要求，组织申报国家工信部绿色制造体系建设示范名单——绿色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</w:t>
      </w:r>
    </w:p>
    <w:p w14:paraId="712F2A53">
      <w:pPr>
        <w:spacing w:after="0" w:line="360" w:lineRule="auto"/>
        <w:ind w:firstLine="675" w:firstLineChars="225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乙方依据工信部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绿色园区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第三方评价报告的编制要求，参考甲方所提供的资料，对甲方进行第三方现场评价，并编制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《西安泾河工业园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绿色园区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第三方评价报告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。</w:t>
      </w:r>
    </w:p>
    <w:p w14:paraId="70DED793">
      <w:pPr>
        <w:spacing w:line="360" w:lineRule="auto"/>
        <w:ind w:firstLine="675" w:firstLineChars="225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主要工作内容包括：</w:t>
      </w:r>
    </w:p>
    <w:p w14:paraId="55C1112F"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（1）根据相关政策确定在绿色园区的创建范围内建立绿色园区领导小组，制定建设方案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；</w:t>
      </w:r>
    </w:p>
    <w:p w14:paraId="5FF6A8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（2）开展第三方现场评价，在规定时间内向省、市提交绿色园区第三方评价报告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；</w:t>
      </w:r>
    </w:p>
    <w:p w14:paraId="7A0BEC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是否符合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绿色园区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要求进行评价，评价指标值是否符合评价要求，描述主要创建做法及工作成果等；</w:t>
      </w:r>
    </w:p>
    <w:p w14:paraId="2DA4BD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（4）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持续建设绿色制造体系下一步的工作提出建议。</w:t>
      </w:r>
    </w:p>
    <w:p w14:paraId="7B3EAE0B">
      <w:pPr>
        <w:spacing w:line="520" w:lineRule="exact"/>
        <w:ind w:firstLine="678" w:firstLineChars="225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二、服务成果及完成时间</w:t>
      </w:r>
    </w:p>
    <w:p w14:paraId="70CC2CF7">
      <w:pPr>
        <w:spacing w:after="0" w:line="360" w:lineRule="auto"/>
        <w:ind w:firstLine="675" w:firstLineChars="225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乙方应按甲方提供的资料开展工作，并于合同签订且甲方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提交所需资料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后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个工作日内完成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绿色园区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第三方评价报告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（申报截止时间以上级主管工信部门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要求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为准）。</w:t>
      </w:r>
    </w:p>
    <w:p w14:paraId="7B82409A">
      <w:pPr>
        <w:spacing w:line="520" w:lineRule="exact"/>
        <w:ind w:firstLine="678" w:firstLineChars="225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三、服务费支付</w:t>
      </w:r>
    </w:p>
    <w:p w14:paraId="4ED9A9B9">
      <w:pPr>
        <w:numPr>
          <w:ilvl w:val="0"/>
          <w:numId w:val="0"/>
        </w:numPr>
        <w:spacing w:after="0" w:line="360" w:lineRule="auto"/>
        <w:ind w:leftChars="0" w:firstLine="600" w:firstLineChars="200"/>
        <w:jc w:val="both"/>
        <w:rPr>
          <w:rFonts w:hint="default" w:ascii="Times New Roman" w:hAnsi="Times New Roman" w:eastAsia="仿宋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0"/>
          <w:szCs w:val="30"/>
          <w:lang w:val="en-US" w:eastAsia="zh-CN"/>
        </w:rPr>
        <w:t>1、服务费用</w:t>
      </w:r>
    </w:p>
    <w:p w14:paraId="5F4ADD9A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西安泾河工业园绿色园区第三方评价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总服务费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为¥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>元（大写人民币：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0"/>
          <w:szCs w:val="30"/>
          <w:u w:val="none"/>
          <w:lang w:eastAsia="zh-CN"/>
        </w:rPr>
        <w:t>。</w:t>
      </w:r>
    </w:p>
    <w:p w14:paraId="51ACF8FA">
      <w:pPr>
        <w:spacing w:line="520" w:lineRule="exact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、支付方式</w:t>
      </w:r>
    </w:p>
    <w:p w14:paraId="5879CA22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合同签订且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西安泾河工业园绿色园区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通过省级评审后，甲方支付乙方总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服务费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用的70%，即¥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>（大写人民币：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u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西安泾河工业园绿色园区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通过国家级评审后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甲方支付乙方总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服务费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用的30%，即¥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>（大写人民币：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u w:val="singl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0"/>
          <w:szCs w:val="30"/>
          <w:u w:val="none"/>
          <w:lang w:eastAsia="zh-CN"/>
        </w:rPr>
        <w:t>。</w:t>
      </w:r>
    </w:p>
    <w:p w14:paraId="1DF5D86F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、发票交付</w:t>
      </w:r>
    </w:p>
    <w:p w14:paraId="6B9BFEE7">
      <w:pPr>
        <w:spacing w:line="520" w:lineRule="exact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乙方在甲方支付款项前开具等额发票，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  <w:lang w:eastAsia="zh-CN"/>
        </w:rPr>
        <w:t>税率为6%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。</w:t>
      </w:r>
    </w:p>
    <w:p w14:paraId="717925B8">
      <w:pPr>
        <w:spacing w:line="520" w:lineRule="exact"/>
        <w:ind w:firstLine="602" w:firstLineChars="200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四、甲乙双方的权利和义务</w:t>
      </w:r>
    </w:p>
    <w:p w14:paraId="12215132">
      <w:pPr>
        <w:spacing w:line="520" w:lineRule="exact"/>
        <w:ind w:firstLine="675" w:firstLineChars="225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1、甲方的权利和义务</w:t>
      </w:r>
    </w:p>
    <w:p w14:paraId="4906DC58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（1）甲方应向乙方工作人员提供项目所必需的资料，并确保其真实有效。</w:t>
      </w:r>
    </w:p>
    <w:p w14:paraId="3464D889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（2）现场评价期间，甲方应为乙方工作人员提供必要的办公条件、办公设备。</w:t>
      </w:r>
    </w:p>
    <w:p w14:paraId="7EF1341F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（3）甲方应按照合同规定时间向乙方支付服务费用，甲方应承担因支付时间延误给乙方造成的损失。</w:t>
      </w:r>
    </w:p>
    <w:p w14:paraId="7151FE45">
      <w:pPr>
        <w:spacing w:line="520" w:lineRule="exact"/>
        <w:ind w:firstLine="675" w:firstLineChars="225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2、乙方的权利和义务</w:t>
      </w:r>
    </w:p>
    <w:p w14:paraId="7D8665F3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（1）乙方根据《关于开展绿色制造体系建设的通知》（工信厅节函﹝2016﹞586号）等文件要求，公平公正地开展甲方的第三方评价工作。</w:t>
      </w:r>
    </w:p>
    <w:p w14:paraId="3C1CE638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（2）乙方对其工作人员进行信息安全教育，增强服务人员的保密意</w:t>
      </w: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  <w:t>识，承诺不披漏、使用或允许他人使用甲方需要保密的信息。</w:t>
      </w:r>
    </w:p>
    <w:p w14:paraId="4AC3F2CD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  <w:t>（3）乙方应确保按时完成项目内容，向甲方提交第三方评价报告。</w:t>
      </w:r>
    </w:p>
    <w:p w14:paraId="280E4873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  <w:t>（4）乙方应负责第三方评价报告的编制及后期修改和完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</w:rPr>
        <w:t>善等工作。</w:t>
      </w:r>
    </w:p>
    <w:p w14:paraId="4DC8FB88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FF0000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val="en-US" w:eastAsia="zh-CN"/>
        </w:rPr>
        <w:t>协助甲方进行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eastAsia="zh-CN"/>
        </w:rPr>
        <w:t>绿色园区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val="en-US" w:eastAsia="zh-CN"/>
        </w:rPr>
        <w:t>项目的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eastAsia="zh-CN"/>
        </w:rPr>
        <w:t>资料编写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lang w:eastAsia="zh-CN"/>
        </w:rPr>
        <w:t>申报。</w:t>
      </w:r>
    </w:p>
    <w:p w14:paraId="200E4ECC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）乙方应与甲方共同参与工信部组织的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绿色园区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评审工作。</w:t>
      </w:r>
    </w:p>
    <w:p w14:paraId="61A6D2D6">
      <w:pPr>
        <w:spacing w:line="520" w:lineRule="exact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3、甲乙双方的权利和义务</w:t>
      </w:r>
    </w:p>
    <w:p w14:paraId="051A8425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（1）保密义务：甲乙双方均有义务为对方的工作信息、商业秘密和工作资料承担保密责任，不得随意外传、修改和作为其它用途。若出现一方泄密造成对方损失的，泄密方应向被泄密方承担赔偿责任。</w:t>
      </w:r>
    </w:p>
    <w:p w14:paraId="2CE230F0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（2）违约责任：本协议一经签署，甲乙双方均应全面履行本协议的全部义务。任何不履行本协议的一方，均应承担相应的违约责任。</w:t>
      </w:r>
    </w:p>
    <w:p w14:paraId="269497FC">
      <w:pPr>
        <w:spacing w:after="0" w:line="360" w:lineRule="auto"/>
        <w:ind w:firstLine="602" w:firstLineChars="200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五、违约责任</w:t>
      </w:r>
    </w:p>
    <w:p w14:paraId="35661449">
      <w:pPr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1、本协议一经签署，甲乙双方均应全面履行本协议的全部义务。任何不履行本协议的一方，均应承担相应的违约责任。</w:t>
      </w:r>
    </w:p>
    <w:p w14:paraId="58D6DFC1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2、乙方不能按时提交第三方评价报告，每延期一周应向甲方支付合同金额1%的违约金；若因此导致甲方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绿色园区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评估工作延误的，应赔偿由此给甲方造成的损失。</w:t>
      </w:r>
    </w:p>
    <w:p w14:paraId="09D5BF7F">
      <w:pPr>
        <w:spacing w:line="360" w:lineRule="auto"/>
        <w:ind w:firstLine="602" w:firstLineChars="200"/>
        <w:jc w:val="both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六、合同生效和终止</w:t>
      </w:r>
    </w:p>
    <w:p w14:paraId="1FA4FB6F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本合同自双方签字盖章之时起生效。</w:t>
      </w:r>
    </w:p>
    <w:p w14:paraId="0720E06F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双方确定，出现下列情形，致使本合同的履行成为不必要或不可能的，可以解除或终止本合同：</w:t>
      </w:r>
    </w:p>
    <w:p w14:paraId="53397733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1．发生不可抗力；</w:t>
      </w:r>
    </w:p>
    <w:p w14:paraId="05637A63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2．双方确定的权利和义务履行完毕；</w:t>
      </w:r>
    </w:p>
    <w:p w14:paraId="71AA67A4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3．双方经共同协商解除本合同。</w:t>
      </w:r>
    </w:p>
    <w:p w14:paraId="282043F3">
      <w:pPr>
        <w:spacing w:line="360" w:lineRule="auto"/>
        <w:ind w:firstLine="602" w:firstLineChars="200"/>
        <w:jc w:val="both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七、其它</w:t>
      </w:r>
    </w:p>
    <w:p w14:paraId="786978D3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color w:val="FF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1、本合同未尽事宜，双方协商解决；履行中发生争议，甲乙双方应本着公平、公正、合理的原则及时协商解决，如未能达成一致，提交合同签署所在地法院仲裁。</w:t>
      </w:r>
    </w:p>
    <w:p w14:paraId="06D6187A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2、本合同一式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肆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份，甲方持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贰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份，乙方持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贰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份。</w:t>
      </w:r>
    </w:p>
    <w:p w14:paraId="148FA461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3、合同附件为本合同的组成部分，其他未尽事宜，由双方协商签署书面补充协议，补充协议与本合同具有同等法律效力。</w:t>
      </w:r>
    </w:p>
    <w:p w14:paraId="6DAA43C8">
      <w:pPr>
        <w:spacing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757427FF">
      <w:pPr>
        <w:bidi w:val="0"/>
        <w:spacing w:line="360" w:lineRule="auto"/>
        <w:jc w:val="both"/>
        <w:rPr>
          <w:rFonts w:hint="default" w:ascii="Times New Roman" w:hAnsi="Times New Roman" w:eastAsia="微软雅黑" w:cs="Times New Roman"/>
          <w:sz w:val="22"/>
          <w:szCs w:val="22"/>
          <w:lang w:val="en-US" w:eastAsia="zh-CN" w:bidi="ar-S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（以下无正文，为签字盖章页）</w:t>
      </w:r>
    </w:p>
    <w:tbl>
      <w:tblPr>
        <w:tblStyle w:val="10"/>
        <w:tblW w:w="9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4539"/>
      </w:tblGrid>
      <w:tr w14:paraId="50EAC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  <w:jc w:val="center"/>
        </w:trPr>
        <w:tc>
          <w:tcPr>
            <w:tcW w:w="4680" w:type="dxa"/>
            <w:noWrap w:val="0"/>
            <w:vAlign w:val="center"/>
          </w:tcPr>
          <w:p w14:paraId="15F5C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840" w:hanging="840" w:hangingChars="3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甲方：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793B1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4D31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1960" w:firstLineChars="7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章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</w:tc>
        <w:tc>
          <w:tcPr>
            <w:tcW w:w="4539" w:type="dxa"/>
            <w:noWrap w:val="0"/>
            <w:vAlign w:val="center"/>
          </w:tcPr>
          <w:p w14:paraId="65F6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840" w:hanging="840" w:hangingChars="300"/>
              <w:jc w:val="both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乙方：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31B53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1680" w:firstLineChars="6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3F8C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1680" w:firstLineChars="6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章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</w:tc>
      </w:tr>
      <w:tr w14:paraId="25399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680" w:type="dxa"/>
            <w:noWrap w:val="0"/>
            <w:vAlign w:val="center"/>
          </w:tcPr>
          <w:p w14:paraId="1CB7F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法定代表人(委托代理人)签字：</w:t>
            </w:r>
          </w:p>
        </w:tc>
        <w:tc>
          <w:tcPr>
            <w:tcW w:w="4539" w:type="dxa"/>
            <w:noWrap w:val="0"/>
            <w:vAlign w:val="center"/>
          </w:tcPr>
          <w:p w14:paraId="7D645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法定代表人(委托代理人)签字：</w:t>
            </w:r>
          </w:p>
        </w:tc>
      </w:tr>
      <w:tr w14:paraId="3DA2C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680" w:type="dxa"/>
            <w:noWrap w:val="0"/>
            <w:vAlign w:val="center"/>
          </w:tcPr>
          <w:p w14:paraId="6C80D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联系电话：</w:t>
            </w:r>
          </w:p>
        </w:tc>
        <w:tc>
          <w:tcPr>
            <w:tcW w:w="4539" w:type="dxa"/>
            <w:noWrap w:val="0"/>
            <w:vAlign w:val="center"/>
          </w:tcPr>
          <w:p w14:paraId="32208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4BCB5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680" w:type="dxa"/>
            <w:noWrap w:val="0"/>
            <w:vAlign w:val="center"/>
          </w:tcPr>
          <w:p w14:paraId="00FFE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账    号：</w:t>
            </w:r>
          </w:p>
        </w:tc>
        <w:tc>
          <w:tcPr>
            <w:tcW w:w="4539" w:type="dxa"/>
            <w:noWrap w:val="0"/>
            <w:vAlign w:val="center"/>
          </w:tcPr>
          <w:p w14:paraId="75EAF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账    号：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43D16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680" w:type="dxa"/>
            <w:noWrap w:val="0"/>
            <w:vAlign w:val="center"/>
          </w:tcPr>
          <w:p w14:paraId="23499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开户银行：</w:t>
            </w:r>
          </w:p>
        </w:tc>
        <w:tc>
          <w:tcPr>
            <w:tcW w:w="4539" w:type="dxa"/>
            <w:noWrap w:val="0"/>
            <w:vAlign w:val="center"/>
          </w:tcPr>
          <w:p w14:paraId="53177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开户银行：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bookmarkStart w:id="3" w:name="_GoBack"/>
            <w:bookmarkEnd w:id="3"/>
          </w:p>
        </w:tc>
      </w:tr>
      <w:tr w14:paraId="76D9B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680" w:type="dxa"/>
            <w:noWrap w:val="0"/>
            <w:vAlign w:val="center"/>
          </w:tcPr>
          <w:p w14:paraId="14E7D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签订日期：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 月   日</w:t>
            </w:r>
          </w:p>
        </w:tc>
        <w:tc>
          <w:tcPr>
            <w:tcW w:w="4539" w:type="dxa"/>
            <w:noWrap w:val="0"/>
            <w:vAlign w:val="center"/>
          </w:tcPr>
          <w:p w14:paraId="31E76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签订日期：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年   月   日</w:t>
            </w:r>
          </w:p>
        </w:tc>
      </w:tr>
    </w:tbl>
    <w:p w14:paraId="2C797C2A">
      <w:pPr>
        <w:rPr>
          <w:rFonts w:hint="default" w:ascii="Times New Roman" w:hAnsi="Times New Roman" w:eastAsia="仿宋_GB2312" w:cs="Times New Roman"/>
          <w:sz w:val="28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0E5E4">
    <w:pPr>
      <w:pStyle w:val="6"/>
      <w:jc w:val="center"/>
      <w:rPr>
        <w:rFonts w:hint="default" w:ascii="Times New Roman" w:hAnsi="Times New Roman" w:cs="Times New Roman"/>
        <w:sz w:val="20"/>
        <w:szCs w:val="20"/>
      </w:rPr>
    </w:pPr>
    <w:r>
      <w:rPr>
        <w:rFonts w:hint="default" w:ascii="Times New Roman" w:hAnsi="Times New Roman" w:cs="Times New Roman"/>
        <w:sz w:val="20"/>
        <w:szCs w:val="20"/>
      </w:rPr>
      <w:fldChar w:fldCharType="begin"/>
    </w:r>
    <w:r>
      <w:rPr>
        <w:rFonts w:hint="default" w:ascii="Times New Roman" w:hAnsi="Times New Roman" w:cs="Times New Roman"/>
        <w:sz w:val="20"/>
        <w:szCs w:val="20"/>
      </w:rPr>
      <w:instrText xml:space="preserve">PAGE   \* MERGEFORMAT</w:instrText>
    </w:r>
    <w:r>
      <w:rPr>
        <w:rFonts w:hint="default" w:ascii="Times New Roman" w:hAnsi="Times New Roman" w:cs="Times New Roman"/>
        <w:sz w:val="20"/>
        <w:szCs w:val="20"/>
      </w:rPr>
      <w:fldChar w:fldCharType="separate"/>
    </w:r>
    <w:r>
      <w:rPr>
        <w:rFonts w:hint="default" w:ascii="Times New Roman" w:hAnsi="Times New Roman" w:cs="Times New Roman"/>
        <w:sz w:val="20"/>
        <w:szCs w:val="20"/>
        <w:lang w:val="zh-CN"/>
      </w:rPr>
      <w:t>4</w:t>
    </w:r>
    <w:r>
      <w:rPr>
        <w:rFonts w:hint="default"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NWU3MDRmZGY1MzBmMTkwOGZhMTVlYTMwM2NlNzkifQ=="/>
  </w:docVars>
  <w:rsids>
    <w:rsidRoot w:val="00000000"/>
    <w:rsid w:val="02A91D19"/>
    <w:rsid w:val="07AF0C8A"/>
    <w:rsid w:val="103A42BC"/>
    <w:rsid w:val="10761F32"/>
    <w:rsid w:val="272C52DB"/>
    <w:rsid w:val="3F7F7AFF"/>
    <w:rsid w:val="52EA4B69"/>
    <w:rsid w:val="5A900D3E"/>
    <w:rsid w:val="61704F4C"/>
    <w:rsid w:val="6568595C"/>
    <w:rsid w:val="6759583F"/>
    <w:rsid w:val="6F241291"/>
    <w:rsid w:val="700969BC"/>
    <w:rsid w:val="72DE57CA"/>
    <w:rsid w:val="737547B1"/>
    <w:rsid w:val="7CBC4F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widowControl w:val="0"/>
      <w:adjustRightInd/>
      <w:snapToGrid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</w:rPr>
  </w:style>
  <w:style w:type="paragraph" w:styleId="4">
    <w:name w:val="annotation text"/>
    <w:basedOn w:val="1"/>
    <w:link w:val="17"/>
    <w:unhideWhenUsed/>
    <w:qFormat/>
    <w:uiPriority w:val="99"/>
  </w:style>
  <w:style w:type="paragraph" w:styleId="5">
    <w:name w:val="Balloon Text"/>
    <w:basedOn w:val="1"/>
    <w:link w:val="19"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8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99"/>
    <w:rPr>
      <w:rFonts w:cs="Times New Roman"/>
    </w:rPr>
  </w:style>
  <w:style w:type="character" w:styleId="13">
    <w:name w:val="Hyperlink"/>
    <w:basedOn w:val="11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1"/>
    <w:autoRedefine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1"/>
    <w:link w:val="7"/>
    <w:autoRedefine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basedOn w:val="11"/>
    <w:link w:val="6"/>
    <w:autoRedefine/>
    <w:qFormat/>
    <w:uiPriority w:val="99"/>
    <w:rPr>
      <w:rFonts w:ascii="Tahoma" w:hAnsi="Tahoma"/>
      <w:sz w:val="18"/>
      <w:szCs w:val="18"/>
    </w:rPr>
  </w:style>
  <w:style w:type="character" w:customStyle="1" w:styleId="17">
    <w:name w:val="批注文字 字符"/>
    <w:basedOn w:val="11"/>
    <w:link w:val="4"/>
    <w:autoRedefine/>
    <w:semiHidden/>
    <w:qFormat/>
    <w:uiPriority w:val="99"/>
    <w:rPr>
      <w:rFonts w:ascii="Tahoma" w:hAnsi="Tahoma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Tahoma" w:hAnsi="Tahoma"/>
      <w:b/>
      <w:bCs/>
    </w:rPr>
  </w:style>
  <w:style w:type="character" w:customStyle="1" w:styleId="19">
    <w:name w:val="批注框文本 字符"/>
    <w:basedOn w:val="11"/>
    <w:link w:val="5"/>
    <w:semiHidden/>
    <w:qFormat/>
    <w:uiPriority w:val="99"/>
    <w:rPr>
      <w:rFonts w:ascii="Tahoma" w:hAnsi="Tahoma"/>
      <w:sz w:val="18"/>
      <w:szCs w:val="18"/>
    </w:rPr>
  </w:style>
  <w:style w:type="paragraph" w:customStyle="1" w:styleId="20">
    <w:name w:val="List Paragraph"/>
    <w:basedOn w:val="1"/>
    <w:autoRedefine/>
    <w:qFormat/>
    <w:uiPriority w:val="99"/>
    <w:pPr>
      <w:ind w:firstLine="420" w:firstLineChars="200"/>
    </w:pPr>
  </w:style>
  <w:style w:type="table" w:customStyle="1" w:styleId="21">
    <w:name w:val="网格型1"/>
    <w:basedOn w:val="9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">
    <w:name w:val="Body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1801</Words>
  <Characters>1881</Characters>
  <Lines>16</Lines>
  <Paragraphs>4</Paragraphs>
  <TotalTime>9</TotalTime>
  <ScaleCrop>false</ScaleCrop>
  <LinksUpToDate>false</LinksUpToDate>
  <CharactersWithSpaces>2020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2019-12-30T12:34:00Z</dcterms:created>
  <dc:creator>Administrator</dc:creator>
  <cp:lastModifiedBy>程珊</cp:lastModifiedBy>
  <cp:lastPrinted>2020-03-13T11:21:00Z</cp:lastPrinted>
  <dcterms:modified xsi:type="dcterms:W3CDTF">2025-07-16T06:23:52Z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D6C8710F17864C2082F1DBC653D74AB1_13</vt:lpwstr>
  </property>
  <property fmtid="{D5CDD505-2E9C-101B-9397-08002B2CF9AE}" pid="4" name="KSOTemplateDocerSaveRecord">
    <vt:lpwstr>eyJoZGlkIjoiNDU1ZjgzMTgxZWE1ZDIzNmNiMmY2YTQ3NGJiOWQ1MjAiLCJ1c2VySWQiOiIxMDEyNTU2NTcyIn0=</vt:lpwstr>
  </property>
</Properties>
</file>