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BF196">
      <w:pPr>
        <w:pStyle w:val="2"/>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spacing w:val="0"/>
          <w:w w:val="100"/>
          <w:position w:val="0"/>
        </w:rPr>
      </w:pPr>
    </w:p>
    <w:p w14:paraId="1551E77E">
      <w:pPr>
        <w:pStyle w:val="2"/>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spacing w:val="0"/>
          <w:w w:val="100"/>
          <w:position w:val="0"/>
        </w:rPr>
      </w:pPr>
    </w:p>
    <w:p w14:paraId="596E3218">
      <w:pPr>
        <w:pStyle w:val="2"/>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spacing w:val="0"/>
          <w:w w:val="100"/>
          <w:position w:val="0"/>
        </w:rPr>
      </w:pPr>
    </w:p>
    <w:p w14:paraId="6159FD56">
      <w:pPr>
        <w:pStyle w:val="2"/>
        <w:keepNext w:val="0"/>
        <w:keepLines w:val="0"/>
        <w:pageBreakBefore w:val="0"/>
        <w:widowControl/>
        <w:kinsoku/>
        <w:wordWrap/>
        <w:overflowPunct/>
        <w:topLinePunct w:val="0"/>
        <w:autoSpaceDE w:val="0"/>
        <w:autoSpaceDN w:val="0"/>
        <w:bidi w:val="0"/>
        <w:adjustRightInd w:val="0"/>
        <w:snapToGrid w:val="0"/>
        <w:spacing w:line="253" w:lineRule="auto"/>
        <w:textAlignment w:val="baseline"/>
        <w:rPr>
          <w:spacing w:val="0"/>
          <w:w w:val="100"/>
          <w:position w:val="0"/>
        </w:rPr>
      </w:pPr>
    </w:p>
    <w:p w14:paraId="63593344">
      <w:pPr>
        <w:pStyle w:val="2"/>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spacing w:val="0"/>
          <w:w w:val="100"/>
          <w:position w:val="0"/>
        </w:rPr>
      </w:pPr>
    </w:p>
    <w:p w14:paraId="2EA97F19">
      <w:pPr>
        <w:pStyle w:val="2"/>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spacing w:val="0"/>
          <w:w w:val="100"/>
          <w:position w:val="0"/>
        </w:rPr>
      </w:pPr>
    </w:p>
    <w:p w14:paraId="07DB053C">
      <w:pPr>
        <w:pStyle w:val="2"/>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spacing w:val="0"/>
          <w:w w:val="100"/>
          <w:position w:val="0"/>
        </w:rPr>
      </w:pPr>
    </w:p>
    <w:p w14:paraId="1C88A1A3">
      <w:pPr>
        <w:pStyle w:val="2"/>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spacing w:val="0"/>
          <w:w w:val="100"/>
          <w:position w:val="0"/>
        </w:rPr>
      </w:pPr>
    </w:p>
    <w:p w14:paraId="3B708DA6">
      <w:pPr>
        <w:pStyle w:val="2"/>
        <w:keepNext w:val="0"/>
        <w:keepLines w:val="0"/>
        <w:pageBreakBefore w:val="0"/>
        <w:widowControl/>
        <w:kinsoku/>
        <w:wordWrap/>
        <w:overflowPunct/>
        <w:topLinePunct w:val="0"/>
        <w:autoSpaceDE w:val="0"/>
        <w:autoSpaceDN w:val="0"/>
        <w:bidi w:val="0"/>
        <w:adjustRightInd w:val="0"/>
        <w:snapToGrid w:val="0"/>
        <w:spacing w:line="254" w:lineRule="auto"/>
        <w:textAlignment w:val="baseline"/>
        <w:rPr>
          <w:spacing w:val="0"/>
          <w:w w:val="100"/>
          <w:position w:val="0"/>
        </w:rPr>
      </w:pPr>
    </w:p>
    <w:p w14:paraId="565EDC05">
      <w:pPr>
        <w:keepNext w:val="0"/>
        <w:keepLines w:val="0"/>
        <w:pageBreakBefore w:val="0"/>
        <w:widowControl/>
        <w:kinsoku/>
        <w:wordWrap/>
        <w:overflowPunct/>
        <w:topLinePunct w:val="0"/>
        <w:autoSpaceDE w:val="0"/>
        <w:autoSpaceDN w:val="0"/>
        <w:bidi w:val="0"/>
        <w:adjustRightInd w:val="0"/>
        <w:snapToGrid w:val="0"/>
        <w:spacing w:line="224" w:lineRule="auto"/>
        <w:ind w:left="0"/>
        <w:jc w:val="center"/>
        <w:textAlignment w:val="baseline"/>
        <w:outlineLvl w:val="0"/>
        <w:rPr>
          <w:rFonts w:ascii="黑体" w:hAnsi="黑体" w:eastAsia="黑体" w:cs="黑体"/>
          <w:spacing w:val="0"/>
          <w:w w:val="100"/>
          <w:position w:val="0"/>
          <w:sz w:val="70"/>
          <w:szCs w:val="70"/>
        </w:rPr>
      </w:pPr>
      <w:r>
        <w:rPr>
          <w:rFonts w:ascii="黑体" w:hAnsi="黑体" w:eastAsia="黑体" w:cs="黑体"/>
          <w:b/>
          <w:bCs/>
          <w:spacing w:val="0"/>
          <w:w w:val="100"/>
          <w:position w:val="0"/>
          <w:sz w:val="70"/>
          <w:szCs w:val="70"/>
        </w:rPr>
        <w:t>陕西省建设工程施工合同</w:t>
      </w:r>
    </w:p>
    <w:p w14:paraId="54792D4F">
      <w:pPr>
        <w:keepNext w:val="0"/>
        <w:keepLines w:val="0"/>
        <w:pageBreakBefore w:val="0"/>
        <w:widowControl/>
        <w:kinsoku/>
        <w:wordWrap/>
        <w:overflowPunct/>
        <w:topLinePunct w:val="0"/>
        <w:autoSpaceDE w:val="0"/>
        <w:autoSpaceDN w:val="0"/>
        <w:bidi w:val="0"/>
        <w:adjustRightInd w:val="0"/>
        <w:snapToGrid w:val="0"/>
        <w:spacing w:before="18"/>
        <w:textAlignment w:val="baseline"/>
        <w:rPr>
          <w:spacing w:val="0"/>
          <w:w w:val="100"/>
          <w:position w:val="0"/>
        </w:rPr>
      </w:pPr>
    </w:p>
    <w:p w14:paraId="08714ABE">
      <w:pPr>
        <w:keepNext w:val="0"/>
        <w:keepLines w:val="0"/>
        <w:pageBreakBefore w:val="0"/>
        <w:widowControl/>
        <w:kinsoku/>
        <w:wordWrap/>
        <w:overflowPunct/>
        <w:topLinePunct w:val="0"/>
        <w:autoSpaceDE w:val="0"/>
        <w:autoSpaceDN w:val="0"/>
        <w:bidi w:val="0"/>
        <w:adjustRightInd w:val="0"/>
        <w:snapToGrid w:val="0"/>
        <w:spacing w:before="18"/>
        <w:textAlignment w:val="baseline"/>
        <w:rPr>
          <w:spacing w:val="0"/>
          <w:w w:val="100"/>
          <w:position w:val="0"/>
        </w:rPr>
      </w:pPr>
      <w:bookmarkStart w:id="0" w:name="_GoBack"/>
      <w:bookmarkEnd w:id="0"/>
    </w:p>
    <w:p w14:paraId="21AF5269">
      <w:pPr>
        <w:keepNext w:val="0"/>
        <w:keepLines w:val="0"/>
        <w:pageBreakBefore w:val="0"/>
        <w:widowControl/>
        <w:kinsoku/>
        <w:wordWrap/>
        <w:overflowPunct/>
        <w:topLinePunct w:val="0"/>
        <w:autoSpaceDE w:val="0"/>
        <w:autoSpaceDN w:val="0"/>
        <w:bidi w:val="0"/>
        <w:adjustRightInd w:val="0"/>
        <w:snapToGrid w:val="0"/>
        <w:spacing w:before="18"/>
        <w:textAlignment w:val="baseline"/>
        <w:rPr>
          <w:spacing w:val="0"/>
          <w:w w:val="100"/>
          <w:position w:val="0"/>
        </w:rPr>
      </w:pPr>
    </w:p>
    <w:p w14:paraId="019C2EE2">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75C7E82D">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44C54BE2">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497CABA1">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5A474280">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16139FFE">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4D263AF7">
      <w:pPr>
        <w:keepNext w:val="0"/>
        <w:keepLines w:val="0"/>
        <w:pageBreakBefore w:val="0"/>
        <w:widowControl/>
        <w:kinsoku/>
        <w:wordWrap/>
        <w:overflowPunct/>
        <w:topLinePunct w:val="0"/>
        <w:autoSpaceDE w:val="0"/>
        <w:autoSpaceDN w:val="0"/>
        <w:bidi w:val="0"/>
        <w:adjustRightInd w:val="0"/>
        <w:snapToGrid w:val="0"/>
        <w:spacing w:before="17"/>
        <w:textAlignment w:val="baseline"/>
        <w:rPr>
          <w:spacing w:val="0"/>
          <w:w w:val="100"/>
          <w:position w:val="0"/>
        </w:rPr>
      </w:pPr>
    </w:p>
    <w:p w14:paraId="1579F196">
      <w:pPr>
        <w:keepNext w:val="0"/>
        <w:keepLines w:val="0"/>
        <w:pageBreakBefore w:val="0"/>
        <w:widowControl/>
        <w:kinsoku/>
        <w:wordWrap/>
        <w:overflowPunct/>
        <w:topLinePunct w:val="0"/>
        <w:autoSpaceDE w:val="0"/>
        <w:autoSpaceDN w:val="0"/>
        <w:bidi w:val="0"/>
        <w:adjustRightInd w:val="0"/>
        <w:snapToGrid w:val="0"/>
        <w:spacing w:before="130" w:line="246" w:lineRule="auto"/>
        <w:ind w:left="1254" w:right="39" w:hanging="189"/>
        <w:textAlignment w:val="baseline"/>
        <w:rPr>
          <w:rFonts w:ascii="黑体" w:hAnsi="黑体" w:eastAsia="黑体" w:cs="黑体"/>
          <w:spacing w:val="0"/>
          <w:w w:val="100"/>
          <w:position w:val="0"/>
          <w:sz w:val="40"/>
          <w:szCs w:val="40"/>
          <w:vertAlign w:val="baseline"/>
        </w:rPr>
      </w:pPr>
    </w:p>
    <w:p w14:paraId="5FE78959">
      <w:pPr>
        <w:keepNext w:val="0"/>
        <w:keepLines w:val="0"/>
        <w:pageBreakBefore w:val="0"/>
        <w:widowControl/>
        <w:kinsoku/>
        <w:wordWrap/>
        <w:overflowPunct/>
        <w:topLinePunct w:val="0"/>
        <w:autoSpaceDE w:val="0"/>
        <w:autoSpaceDN w:val="0"/>
        <w:bidi w:val="0"/>
        <w:adjustRightInd w:val="0"/>
        <w:snapToGrid w:val="0"/>
        <w:spacing w:before="130" w:line="246" w:lineRule="auto"/>
        <w:ind w:left="1254" w:right="39" w:hanging="189"/>
        <w:textAlignment w:val="baseline"/>
        <w:rPr>
          <w:rFonts w:ascii="黑体" w:hAnsi="黑体" w:eastAsia="黑体" w:cs="黑体"/>
          <w:spacing w:val="0"/>
          <w:w w:val="100"/>
          <w:position w:val="0"/>
          <w:sz w:val="40"/>
          <w:szCs w:val="40"/>
          <w:vertAlign w:val="baseline"/>
        </w:rPr>
      </w:pPr>
    </w:p>
    <w:p w14:paraId="72EF927F">
      <w:pPr>
        <w:keepNext w:val="0"/>
        <w:keepLines w:val="0"/>
        <w:pageBreakBefore w:val="0"/>
        <w:widowControl/>
        <w:kinsoku/>
        <w:wordWrap/>
        <w:overflowPunct/>
        <w:topLinePunct w:val="0"/>
        <w:autoSpaceDE w:val="0"/>
        <w:autoSpaceDN w:val="0"/>
        <w:bidi w:val="0"/>
        <w:adjustRightInd w:val="0"/>
        <w:snapToGrid w:val="0"/>
        <w:spacing w:before="130" w:line="246" w:lineRule="auto"/>
        <w:ind w:left="1254" w:right="39" w:hanging="189"/>
        <w:textAlignment w:val="baseline"/>
        <w:rPr>
          <w:rFonts w:ascii="黑体" w:hAnsi="黑体" w:eastAsia="黑体" w:cs="黑体"/>
          <w:spacing w:val="0"/>
          <w:w w:val="100"/>
          <w:position w:val="0"/>
          <w:sz w:val="40"/>
          <w:szCs w:val="40"/>
          <w:vertAlign w:val="baseline"/>
        </w:rPr>
      </w:pPr>
    </w:p>
    <w:p w14:paraId="7256F510">
      <w:pPr>
        <w:keepNext w:val="0"/>
        <w:keepLines w:val="0"/>
        <w:pageBreakBefore w:val="0"/>
        <w:widowControl/>
        <w:kinsoku/>
        <w:wordWrap/>
        <w:overflowPunct/>
        <w:topLinePunct w:val="0"/>
        <w:autoSpaceDE w:val="0"/>
        <w:autoSpaceDN w:val="0"/>
        <w:bidi w:val="0"/>
        <w:adjustRightInd w:val="0"/>
        <w:snapToGrid w:val="0"/>
        <w:spacing w:before="130" w:line="246" w:lineRule="auto"/>
        <w:ind w:left="1254" w:right="39" w:hanging="189"/>
        <w:textAlignment w:val="baseline"/>
        <w:rPr>
          <w:rFonts w:ascii="黑体" w:hAnsi="黑体" w:eastAsia="黑体" w:cs="黑体"/>
          <w:spacing w:val="0"/>
          <w:w w:val="100"/>
          <w:position w:val="0"/>
          <w:sz w:val="40"/>
          <w:szCs w:val="40"/>
          <w:vertAlign w:val="baseline"/>
        </w:rPr>
      </w:pPr>
    </w:p>
    <w:p w14:paraId="2BEF3AAF">
      <w:pPr>
        <w:keepNext w:val="0"/>
        <w:keepLines w:val="0"/>
        <w:pageBreakBefore w:val="0"/>
        <w:widowControl/>
        <w:kinsoku/>
        <w:wordWrap/>
        <w:overflowPunct/>
        <w:topLinePunct w:val="0"/>
        <w:autoSpaceDE w:val="0"/>
        <w:autoSpaceDN w:val="0"/>
        <w:bidi w:val="0"/>
        <w:adjustRightInd w:val="0"/>
        <w:snapToGrid w:val="0"/>
        <w:spacing w:before="130" w:line="246" w:lineRule="auto"/>
        <w:ind w:left="1254" w:right="39" w:hanging="189"/>
        <w:textAlignment w:val="baseline"/>
        <w:rPr>
          <w:rFonts w:ascii="黑体" w:hAnsi="黑体" w:eastAsia="黑体" w:cs="黑体"/>
          <w:spacing w:val="0"/>
          <w:w w:val="100"/>
          <w:position w:val="0"/>
          <w:sz w:val="40"/>
          <w:szCs w:val="40"/>
          <w:vertAlign w:val="baseline"/>
        </w:rPr>
      </w:pP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99"/>
        <w:gridCol w:w="1323"/>
      </w:tblGrid>
      <w:tr w14:paraId="6CF35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4599" w:type="dxa"/>
            <w:tcBorders>
              <w:tl2br w:val="nil"/>
              <w:tr2bl w:val="nil"/>
            </w:tcBorders>
            <w:noWrap w:val="0"/>
            <w:vAlign w:val="center"/>
          </w:tcPr>
          <w:p w14:paraId="5F000A26">
            <w:pPr>
              <w:keepNext w:val="0"/>
              <w:keepLines w:val="0"/>
              <w:pageBreakBefore w:val="0"/>
              <w:widowControl/>
              <w:kinsoku/>
              <w:wordWrap/>
              <w:overflowPunct/>
              <w:topLinePunct w:val="0"/>
              <w:autoSpaceDE w:val="0"/>
              <w:autoSpaceDN w:val="0"/>
              <w:bidi w:val="0"/>
              <w:adjustRightInd w:val="0"/>
              <w:snapToGrid w:val="0"/>
              <w:spacing w:line="240" w:lineRule="auto"/>
              <w:ind w:right="0"/>
              <w:textAlignment w:val="baseline"/>
              <w:rPr>
                <w:rFonts w:ascii="黑体" w:hAnsi="黑体" w:eastAsia="黑体" w:cs="黑体"/>
                <w:spacing w:val="0"/>
                <w:w w:val="100"/>
                <w:position w:val="0"/>
                <w:sz w:val="40"/>
                <w:szCs w:val="40"/>
                <w:vertAlign w:val="baseline"/>
              </w:rPr>
            </w:pPr>
            <w:r>
              <w:rPr>
                <w:rFonts w:ascii="黑体" w:hAnsi="黑体" w:eastAsia="黑体" w:cs="黑体"/>
                <w:spacing w:val="0"/>
                <w:w w:val="100"/>
                <w:position w:val="0"/>
                <w:sz w:val="40"/>
                <w:szCs w:val="40"/>
              </w:rPr>
              <w:t>陕 西 省 陕西省工商</w:t>
            </w:r>
          </w:p>
        </w:tc>
        <w:tc>
          <w:tcPr>
            <w:tcW w:w="1323" w:type="dxa"/>
            <w:vMerge w:val="restart"/>
            <w:tcBorders>
              <w:tl2br w:val="nil"/>
              <w:tr2bl w:val="nil"/>
            </w:tcBorders>
            <w:noWrap w:val="0"/>
            <w:vAlign w:val="center"/>
          </w:tcPr>
          <w:p w14:paraId="512AF60E">
            <w:pPr>
              <w:keepNext w:val="0"/>
              <w:keepLines w:val="0"/>
              <w:pageBreakBefore w:val="0"/>
              <w:widowControl/>
              <w:kinsoku/>
              <w:wordWrap/>
              <w:overflowPunct/>
              <w:topLinePunct w:val="0"/>
              <w:autoSpaceDE w:val="0"/>
              <w:autoSpaceDN w:val="0"/>
              <w:bidi w:val="0"/>
              <w:adjustRightInd w:val="0"/>
              <w:snapToGrid w:val="0"/>
              <w:spacing w:line="240" w:lineRule="auto"/>
              <w:ind w:right="0"/>
              <w:jc w:val="center"/>
              <w:textAlignment w:val="baseline"/>
              <w:rPr>
                <w:rFonts w:ascii="黑体" w:hAnsi="黑体" w:eastAsia="黑体" w:cs="黑体"/>
                <w:spacing w:val="0"/>
                <w:w w:val="100"/>
                <w:position w:val="0"/>
                <w:sz w:val="40"/>
                <w:szCs w:val="40"/>
                <w:vertAlign w:val="baseline"/>
              </w:rPr>
            </w:pPr>
            <w:r>
              <w:rPr>
                <w:rFonts w:ascii="黑体" w:hAnsi="黑体" w:eastAsia="黑体" w:cs="黑体"/>
                <w:spacing w:val="0"/>
                <w:w w:val="100"/>
                <w:position w:val="0"/>
                <w:sz w:val="57"/>
                <w:szCs w:val="57"/>
              </w:rPr>
              <w:t>制</w:t>
            </w:r>
          </w:p>
        </w:tc>
      </w:tr>
      <w:tr w14:paraId="55FBB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599" w:type="dxa"/>
            <w:tcBorders>
              <w:tl2br w:val="nil"/>
              <w:tr2bl w:val="nil"/>
            </w:tcBorders>
            <w:noWrap w:val="0"/>
            <w:vAlign w:val="center"/>
          </w:tcPr>
          <w:p w14:paraId="174EFF1A">
            <w:pPr>
              <w:keepNext w:val="0"/>
              <w:keepLines w:val="0"/>
              <w:pageBreakBefore w:val="0"/>
              <w:widowControl/>
              <w:kinsoku/>
              <w:wordWrap/>
              <w:overflowPunct/>
              <w:topLinePunct w:val="0"/>
              <w:autoSpaceDE w:val="0"/>
              <w:autoSpaceDN w:val="0"/>
              <w:bidi w:val="0"/>
              <w:adjustRightInd w:val="0"/>
              <w:snapToGrid w:val="0"/>
              <w:spacing w:line="240" w:lineRule="auto"/>
              <w:ind w:right="0"/>
              <w:textAlignment w:val="baseline"/>
              <w:rPr>
                <w:rFonts w:ascii="黑体" w:hAnsi="黑体" w:eastAsia="黑体" w:cs="黑体"/>
                <w:spacing w:val="0"/>
                <w:w w:val="100"/>
                <w:position w:val="0"/>
                <w:sz w:val="40"/>
                <w:szCs w:val="40"/>
                <w:vertAlign w:val="baseline"/>
              </w:rPr>
            </w:pPr>
            <w:r>
              <w:rPr>
                <w:rFonts w:ascii="黑体" w:hAnsi="黑体" w:eastAsia="黑体" w:cs="黑体"/>
                <w:spacing w:val="0"/>
                <w:w w:val="100"/>
                <w:position w:val="0"/>
                <w:sz w:val="40"/>
                <w:szCs w:val="40"/>
              </w:rPr>
              <w:t>建 设 厅 行政管理局</w:t>
            </w:r>
          </w:p>
        </w:tc>
        <w:tc>
          <w:tcPr>
            <w:tcW w:w="1323" w:type="dxa"/>
            <w:vMerge w:val="continue"/>
            <w:tcBorders>
              <w:tl2br w:val="nil"/>
              <w:tr2bl w:val="nil"/>
            </w:tcBorders>
            <w:noWrap w:val="0"/>
            <w:vAlign w:val="center"/>
          </w:tcPr>
          <w:p w14:paraId="591C771D">
            <w:pPr>
              <w:keepNext w:val="0"/>
              <w:keepLines w:val="0"/>
              <w:pageBreakBefore w:val="0"/>
              <w:widowControl/>
              <w:kinsoku/>
              <w:wordWrap/>
              <w:overflowPunct/>
              <w:topLinePunct w:val="0"/>
              <w:autoSpaceDE w:val="0"/>
              <w:autoSpaceDN w:val="0"/>
              <w:bidi w:val="0"/>
              <w:adjustRightInd w:val="0"/>
              <w:snapToGrid w:val="0"/>
              <w:spacing w:line="240" w:lineRule="auto"/>
              <w:ind w:right="0"/>
              <w:textAlignment w:val="baseline"/>
              <w:rPr>
                <w:rFonts w:ascii="黑体" w:hAnsi="黑体" w:eastAsia="黑体" w:cs="黑体"/>
                <w:spacing w:val="0"/>
                <w:w w:val="100"/>
                <w:position w:val="0"/>
                <w:sz w:val="40"/>
                <w:szCs w:val="40"/>
                <w:vertAlign w:val="baseline"/>
              </w:rPr>
            </w:pPr>
          </w:p>
        </w:tc>
      </w:tr>
    </w:tbl>
    <w:p w14:paraId="0A96C351">
      <w:pPr>
        <w:keepNext w:val="0"/>
        <w:keepLines w:val="0"/>
        <w:pageBreakBefore w:val="0"/>
        <w:widowControl/>
        <w:kinsoku/>
        <w:wordWrap/>
        <w:overflowPunct/>
        <w:topLinePunct w:val="0"/>
        <w:autoSpaceDE w:val="0"/>
        <w:autoSpaceDN w:val="0"/>
        <w:bidi w:val="0"/>
        <w:adjustRightInd w:val="0"/>
        <w:snapToGrid w:val="0"/>
        <w:spacing w:before="130" w:line="246" w:lineRule="auto"/>
        <w:ind w:left="1254" w:right="39" w:hanging="189"/>
        <w:textAlignment w:val="baseline"/>
        <w:rPr>
          <w:rFonts w:ascii="黑体" w:hAnsi="黑体" w:eastAsia="黑体" w:cs="黑体"/>
          <w:spacing w:val="0"/>
          <w:w w:val="100"/>
          <w:position w:val="0"/>
          <w:sz w:val="40"/>
          <w:szCs w:val="40"/>
        </w:rPr>
      </w:pPr>
    </w:p>
    <w:p w14:paraId="480BCEDA">
      <w:pPr>
        <w:pStyle w:val="2"/>
        <w:keepNext w:val="0"/>
        <w:keepLines w:val="0"/>
        <w:pageBreakBefore w:val="0"/>
        <w:widowControl/>
        <w:kinsoku/>
        <w:wordWrap/>
        <w:overflowPunct/>
        <w:topLinePunct w:val="0"/>
        <w:autoSpaceDE w:val="0"/>
        <w:autoSpaceDN w:val="0"/>
        <w:bidi w:val="0"/>
        <w:adjustRightInd w:val="0"/>
        <w:snapToGrid w:val="0"/>
        <w:spacing w:line="270" w:lineRule="auto"/>
        <w:textAlignment w:val="baseline"/>
        <w:rPr>
          <w:spacing w:val="0"/>
          <w:w w:val="100"/>
          <w:position w:val="0"/>
        </w:rPr>
      </w:pPr>
    </w:p>
    <w:p w14:paraId="38449A24">
      <w:pPr>
        <w:keepNext w:val="0"/>
        <w:keepLines w:val="0"/>
        <w:pageBreakBefore w:val="0"/>
        <w:widowControl/>
        <w:kinsoku/>
        <w:wordWrap/>
        <w:overflowPunct/>
        <w:topLinePunct w:val="0"/>
        <w:autoSpaceDE w:val="0"/>
        <w:autoSpaceDN w:val="0"/>
        <w:bidi w:val="0"/>
        <w:adjustRightInd w:val="0"/>
        <w:snapToGrid w:val="0"/>
        <w:spacing w:before="130" w:line="187" w:lineRule="auto"/>
        <w:jc w:val="center"/>
        <w:textAlignment w:val="baseline"/>
        <w:rPr>
          <w:rFonts w:ascii="黑体" w:hAnsi="黑体" w:eastAsia="黑体" w:cs="黑体"/>
          <w:spacing w:val="0"/>
          <w:w w:val="100"/>
          <w:position w:val="0"/>
          <w:sz w:val="40"/>
          <w:szCs w:val="40"/>
        </w:rPr>
      </w:pPr>
      <w:r>
        <w:rPr>
          <w:rFonts w:ascii="黑体" w:hAnsi="黑体" w:eastAsia="黑体" w:cs="黑体"/>
          <w:spacing w:val="0"/>
          <w:w w:val="100"/>
          <w:position w:val="0"/>
          <w:sz w:val="40"/>
          <w:szCs w:val="40"/>
        </w:rPr>
        <w:t>二○二</w:t>
      </w:r>
      <w:r>
        <w:rPr>
          <w:rFonts w:hint="eastAsia" w:ascii="黑体" w:hAnsi="黑体" w:eastAsia="黑体" w:cs="黑体"/>
          <w:spacing w:val="0"/>
          <w:w w:val="100"/>
          <w:position w:val="0"/>
          <w:sz w:val="40"/>
          <w:szCs w:val="40"/>
          <w:lang w:val="en-US" w:eastAsia="zh-CN"/>
        </w:rPr>
        <w:t>五</w:t>
      </w:r>
      <w:r>
        <w:rPr>
          <w:rFonts w:ascii="黑体" w:hAnsi="黑体" w:eastAsia="黑体" w:cs="黑体"/>
          <w:spacing w:val="0"/>
          <w:w w:val="100"/>
          <w:position w:val="0"/>
          <w:sz w:val="40"/>
          <w:szCs w:val="40"/>
        </w:rPr>
        <w:t>年</w:t>
      </w:r>
      <w:r>
        <w:rPr>
          <w:rFonts w:hint="eastAsia" w:ascii="黑体" w:hAnsi="黑体" w:eastAsia="黑体" w:cs="黑体"/>
          <w:spacing w:val="0"/>
          <w:w w:val="100"/>
          <w:position w:val="0"/>
          <w:sz w:val="40"/>
          <w:szCs w:val="40"/>
          <w:lang w:val="en-US" w:eastAsia="zh-CN"/>
        </w:rPr>
        <w:t xml:space="preserve">  </w:t>
      </w:r>
      <w:r>
        <w:rPr>
          <w:rFonts w:ascii="黑体" w:hAnsi="黑体" w:eastAsia="黑体" w:cs="黑体"/>
          <w:spacing w:val="0"/>
          <w:w w:val="100"/>
          <w:position w:val="0"/>
          <w:sz w:val="40"/>
          <w:szCs w:val="40"/>
        </w:rPr>
        <w:t>月</w:t>
      </w:r>
    </w:p>
    <w:p w14:paraId="6E151874">
      <w:pPr>
        <w:pStyle w:val="2"/>
        <w:keepNext w:val="0"/>
        <w:keepLines w:val="0"/>
        <w:pageBreakBefore w:val="0"/>
        <w:widowControl/>
        <w:kinsoku/>
        <w:wordWrap/>
        <w:overflowPunct/>
        <w:topLinePunct w:val="0"/>
        <w:autoSpaceDE w:val="0"/>
        <w:autoSpaceDN w:val="0"/>
        <w:bidi w:val="0"/>
        <w:adjustRightInd w:val="0"/>
        <w:snapToGrid w:val="0"/>
        <w:spacing w:line="14" w:lineRule="auto"/>
        <w:textAlignment w:val="baseline"/>
        <w:rPr>
          <w:spacing w:val="0"/>
          <w:w w:val="100"/>
          <w:position w:val="0"/>
          <w:sz w:val="2"/>
        </w:rPr>
        <w:sectPr>
          <w:pgSz w:w="11900" w:h="16830"/>
          <w:pgMar w:top="1417" w:right="1389" w:bottom="1417" w:left="1389" w:header="0" w:footer="867" w:gutter="0"/>
          <w:pgBorders>
            <w:top w:val="none" w:sz="0" w:space="0"/>
            <w:left w:val="none" w:sz="0" w:space="0"/>
            <w:bottom w:val="none" w:sz="0" w:space="0"/>
            <w:right w:val="none" w:sz="0" w:space="0"/>
          </w:pgBorders>
          <w:cols w:space="720" w:num="1"/>
          <w:rtlGutter w:val="0"/>
          <w:docGrid w:linePitch="1" w:charSpace="0"/>
        </w:sectPr>
      </w:pPr>
    </w:p>
    <w:p w14:paraId="3DB7828A">
      <w:pPr>
        <w:pStyle w:val="2"/>
        <w:keepNext w:val="0"/>
        <w:keepLines w:val="0"/>
        <w:pageBreakBefore w:val="0"/>
        <w:widowControl/>
        <w:kinsoku/>
        <w:wordWrap/>
        <w:overflowPunct/>
        <w:topLinePunct w:val="0"/>
        <w:autoSpaceDE w:val="0"/>
        <w:autoSpaceDN w:val="0"/>
        <w:bidi w:val="0"/>
        <w:adjustRightInd w:val="0"/>
        <w:snapToGrid w:val="0"/>
        <w:spacing w:line="14" w:lineRule="auto"/>
        <w:textAlignment w:val="baseline"/>
        <w:rPr>
          <w:spacing w:val="0"/>
          <w:w w:val="100"/>
          <w:position w:val="0"/>
          <w:sz w:val="2"/>
        </w:rPr>
      </w:pPr>
    </w:p>
    <w:p w14:paraId="6F2F6CD0">
      <w:pPr>
        <w:keepNext w:val="0"/>
        <w:keepLines w:val="0"/>
        <w:pageBreakBefore w:val="0"/>
        <w:widowControl/>
        <w:kinsoku/>
        <w:wordWrap/>
        <w:overflowPunct/>
        <w:topLinePunct w:val="0"/>
        <w:autoSpaceDE w:val="0"/>
        <w:autoSpaceDN w:val="0"/>
        <w:bidi w:val="0"/>
        <w:adjustRightInd w:val="0"/>
        <w:snapToGrid w:val="0"/>
        <w:spacing w:before="113" w:line="222" w:lineRule="auto"/>
        <w:jc w:val="center"/>
        <w:textAlignment w:val="baseline"/>
        <w:outlineLvl w:val="0"/>
        <w:rPr>
          <w:rFonts w:hint="eastAsia" w:ascii="宋体" w:hAnsi="宋体" w:eastAsia="宋体" w:cs="宋体"/>
          <w:spacing w:val="0"/>
          <w:w w:val="100"/>
          <w:position w:val="0"/>
          <w:sz w:val="44"/>
          <w:szCs w:val="44"/>
        </w:rPr>
      </w:pPr>
      <w:r>
        <w:rPr>
          <w:rFonts w:hint="eastAsia" w:ascii="宋体" w:hAnsi="宋体" w:eastAsia="宋体" w:cs="宋体"/>
          <w:b/>
          <w:bCs/>
          <w:spacing w:val="0"/>
          <w:w w:val="100"/>
          <w:position w:val="0"/>
          <w:sz w:val="44"/>
          <w:szCs w:val="44"/>
        </w:rPr>
        <w:t>第一部分</w:t>
      </w:r>
      <w:r>
        <w:rPr>
          <w:rFonts w:hint="eastAsia" w:ascii="宋体" w:hAnsi="宋体" w:eastAsia="宋体" w:cs="宋体"/>
          <w:spacing w:val="0"/>
          <w:w w:val="100"/>
          <w:position w:val="0"/>
          <w:sz w:val="44"/>
          <w:szCs w:val="44"/>
          <w:lang w:val="en-US" w:eastAsia="zh-CN"/>
        </w:rPr>
        <w:t xml:space="preserve"> </w:t>
      </w:r>
      <w:r>
        <w:rPr>
          <w:rFonts w:hint="eastAsia" w:ascii="宋体" w:hAnsi="宋体" w:eastAsia="宋体" w:cs="宋体"/>
          <w:b/>
          <w:bCs/>
          <w:spacing w:val="0"/>
          <w:w w:val="100"/>
          <w:position w:val="0"/>
          <w:sz w:val="44"/>
          <w:szCs w:val="44"/>
        </w:rPr>
        <w:t>协议书</w:t>
      </w:r>
    </w:p>
    <w:p w14:paraId="22A33F33">
      <w:pPr>
        <w:pStyle w:val="2"/>
        <w:keepNext w:val="0"/>
        <w:keepLines w:val="0"/>
        <w:pageBreakBefore w:val="0"/>
        <w:widowControl/>
        <w:kinsoku/>
        <w:wordWrap/>
        <w:overflowPunct/>
        <w:topLinePunct w:val="0"/>
        <w:autoSpaceDE w:val="0"/>
        <w:autoSpaceDN w:val="0"/>
        <w:bidi w:val="0"/>
        <w:adjustRightInd w:val="0"/>
        <w:snapToGrid w:val="0"/>
        <w:spacing w:line="279" w:lineRule="auto"/>
        <w:textAlignment w:val="baseline"/>
        <w:rPr>
          <w:spacing w:val="0"/>
          <w:w w:val="100"/>
          <w:position w:val="0"/>
        </w:rPr>
      </w:pPr>
    </w:p>
    <w:p w14:paraId="591BBDC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jc w:val="both"/>
        <w:textAlignment w:val="baseline"/>
        <w:rPr>
          <w:rFonts w:ascii="宋体" w:hAnsi="宋体" w:eastAsia="宋体" w:cs="宋体"/>
          <w:b w:val="0"/>
          <w:bCs w:val="0"/>
          <w:spacing w:val="0"/>
          <w:w w:val="100"/>
          <w:position w:val="0"/>
          <w:sz w:val="24"/>
          <w:szCs w:val="24"/>
          <w:u w:val="single" w:color="auto"/>
        </w:rPr>
      </w:pPr>
      <w:r>
        <w:rPr>
          <w:rFonts w:ascii="宋体" w:hAnsi="宋体" w:eastAsia="宋体" w:cs="宋体"/>
          <w:b w:val="0"/>
          <w:bCs w:val="0"/>
          <w:spacing w:val="0"/>
          <w:w w:val="100"/>
          <w:position w:val="0"/>
          <w:sz w:val="24"/>
          <w:szCs w:val="24"/>
        </w:rPr>
        <w:t>发包人</w:t>
      </w:r>
      <w:r>
        <w:rPr>
          <w:rFonts w:hint="eastAsia" w:ascii="宋体" w:hAnsi="宋体" w:eastAsia="宋体" w:cs="宋体"/>
          <w:b w:val="0"/>
          <w:bCs w:val="0"/>
          <w:spacing w:val="0"/>
          <w:w w:val="100"/>
          <w:position w:val="0"/>
          <w:sz w:val="24"/>
          <w:szCs w:val="24"/>
          <w:lang w:eastAsia="zh-CN"/>
        </w:rPr>
        <w:t>（</w:t>
      </w:r>
      <w:r>
        <w:rPr>
          <w:rFonts w:ascii="宋体" w:hAnsi="宋体" w:eastAsia="宋体" w:cs="宋体"/>
          <w:b w:val="0"/>
          <w:bCs w:val="0"/>
          <w:spacing w:val="0"/>
          <w:w w:val="100"/>
          <w:position w:val="0"/>
          <w:sz w:val="24"/>
          <w:szCs w:val="24"/>
        </w:rPr>
        <w:t>全称</w:t>
      </w:r>
      <w:r>
        <w:rPr>
          <w:rFonts w:hint="eastAsia" w:ascii="宋体" w:hAnsi="宋体" w:eastAsia="宋体" w:cs="宋体"/>
          <w:b w:val="0"/>
          <w:bCs w:val="0"/>
          <w:spacing w:val="0"/>
          <w:w w:val="100"/>
          <w:position w:val="0"/>
          <w:sz w:val="24"/>
          <w:szCs w:val="24"/>
          <w:lang w:eastAsia="zh-CN"/>
        </w:rPr>
        <w:t>）：</w:t>
      </w:r>
      <w:r>
        <w:rPr>
          <w:rFonts w:ascii="宋体" w:hAnsi="宋体" w:eastAsia="宋体" w:cs="宋体"/>
          <w:b w:val="0"/>
          <w:bCs w:val="0"/>
          <w:spacing w:val="0"/>
          <w:w w:val="100"/>
          <w:position w:val="0"/>
          <w:sz w:val="24"/>
          <w:szCs w:val="24"/>
          <w:u w:val="single" w:color="auto"/>
        </w:rPr>
        <w:t>西安市高陵区农业综合开发服务中心</w:t>
      </w:r>
    </w:p>
    <w:p w14:paraId="340F04A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承包人</w:t>
      </w:r>
      <w:r>
        <w:rPr>
          <w:rFonts w:hint="eastAsia" w:ascii="宋体" w:hAnsi="宋体" w:eastAsia="宋体" w:cs="宋体"/>
          <w:b w:val="0"/>
          <w:bCs w:val="0"/>
          <w:spacing w:val="0"/>
          <w:w w:val="100"/>
          <w:position w:val="0"/>
          <w:sz w:val="24"/>
          <w:szCs w:val="24"/>
          <w:lang w:eastAsia="zh-CN"/>
        </w:rPr>
        <w:t>（</w:t>
      </w:r>
      <w:r>
        <w:rPr>
          <w:rFonts w:ascii="宋体" w:hAnsi="宋体" w:eastAsia="宋体" w:cs="宋体"/>
          <w:b w:val="0"/>
          <w:bCs w:val="0"/>
          <w:spacing w:val="0"/>
          <w:w w:val="100"/>
          <w:position w:val="0"/>
          <w:sz w:val="24"/>
          <w:szCs w:val="24"/>
        </w:rPr>
        <w:t>全称</w:t>
      </w:r>
      <w:r>
        <w:rPr>
          <w:rFonts w:hint="eastAsia" w:ascii="宋体" w:hAnsi="宋体" w:eastAsia="宋体" w:cs="宋体"/>
          <w:b w:val="0"/>
          <w:bCs w:val="0"/>
          <w:spacing w:val="0"/>
          <w:w w:val="100"/>
          <w:position w:val="0"/>
          <w:sz w:val="24"/>
          <w:szCs w:val="24"/>
          <w:lang w:eastAsia="zh-CN"/>
        </w:rPr>
        <w:t>）：</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u w:val="single" w:color="auto"/>
        </w:rPr>
        <w:t xml:space="preserve"> </w:t>
      </w:r>
    </w:p>
    <w:p w14:paraId="2FA02D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依照《中华人民共和国</w:t>
      </w:r>
      <w:r>
        <w:rPr>
          <w:rFonts w:hint="eastAsia" w:ascii="宋体" w:hAnsi="宋体" w:eastAsia="宋体" w:cs="宋体"/>
          <w:b w:val="0"/>
          <w:bCs w:val="0"/>
          <w:spacing w:val="0"/>
          <w:w w:val="100"/>
          <w:position w:val="0"/>
          <w:sz w:val="24"/>
          <w:szCs w:val="24"/>
          <w:lang w:val="en-US" w:eastAsia="zh-CN"/>
        </w:rPr>
        <w:t>民法典</w:t>
      </w:r>
      <w:r>
        <w:rPr>
          <w:rFonts w:ascii="宋体" w:hAnsi="宋体" w:eastAsia="宋体" w:cs="宋体"/>
          <w:b w:val="0"/>
          <w:bCs w:val="0"/>
          <w:spacing w:val="0"/>
          <w:w w:val="100"/>
          <w:position w:val="0"/>
          <w:sz w:val="24"/>
          <w:szCs w:val="24"/>
        </w:rPr>
        <w:t>》、《中华人民共和国建筑法》及其他有关法律、行政法规，遵循平等、自愿、公平和诚实信用的原则，双方就本建设工程施工协商一致，订立本合同。</w:t>
      </w:r>
    </w:p>
    <w:p w14:paraId="74CB6D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一、工程概况</w:t>
      </w:r>
    </w:p>
    <w:p w14:paraId="75F744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工程名称：</w:t>
      </w:r>
      <w:r>
        <w:rPr>
          <w:rFonts w:hint="eastAsia" w:ascii="宋体" w:hAnsi="宋体" w:eastAsia="宋体" w:cs="宋体"/>
          <w:b w:val="0"/>
          <w:bCs w:val="0"/>
          <w:spacing w:val="0"/>
          <w:w w:val="100"/>
          <w:position w:val="0"/>
          <w:sz w:val="24"/>
          <w:szCs w:val="24"/>
          <w:u w:val="single" w:color="auto"/>
          <w:lang w:eastAsia="zh-CN"/>
        </w:rPr>
        <w:t>高陵区2024年小型农田水利项目</w:t>
      </w:r>
    </w:p>
    <w:p w14:paraId="3F4587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工程地点：</w:t>
      </w:r>
      <w:r>
        <w:rPr>
          <w:rFonts w:hint="eastAsia" w:ascii="宋体" w:hAnsi="宋体" w:eastAsia="宋体" w:cs="宋体"/>
          <w:b w:val="0"/>
          <w:bCs w:val="0"/>
          <w:spacing w:val="0"/>
          <w:w w:val="100"/>
          <w:position w:val="0"/>
          <w:sz w:val="24"/>
          <w:szCs w:val="24"/>
          <w:u w:val="single" w:color="auto"/>
        </w:rPr>
        <w:t>西安市高陵区张卜街道、鹿苑街道、通远街道、耿镇街道</w:t>
      </w:r>
    </w:p>
    <w:p w14:paraId="7C9BCB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b w:val="0"/>
          <w:bCs w:val="0"/>
          <w:spacing w:val="0"/>
          <w:w w:val="100"/>
          <w:position w:val="0"/>
          <w:sz w:val="24"/>
          <w:szCs w:val="24"/>
          <w:lang w:eastAsia="zh-CN"/>
        </w:rPr>
      </w:pPr>
      <w:r>
        <w:rPr>
          <w:rFonts w:ascii="宋体" w:hAnsi="宋体" w:eastAsia="宋体" w:cs="宋体"/>
          <w:b w:val="0"/>
          <w:bCs w:val="0"/>
          <w:spacing w:val="0"/>
          <w:w w:val="100"/>
          <w:position w:val="0"/>
          <w:sz w:val="24"/>
          <w:szCs w:val="24"/>
        </w:rPr>
        <w:t>资金来源：</w:t>
      </w:r>
      <w:r>
        <w:rPr>
          <w:rFonts w:ascii="宋体" w:hAnsi="宋体" w:eastAsia="宋体" w:cs="宋体"/>
          <w:b w:val="0"/>
          <w:bCs w:val="0"/>
          <w:spacing w:val="0"/>
          <w:w w:val="100"/>
          <w:position w:val="0"/>
          <w:sz w:val="24"/>
          <w:szCs w:val="24"/>
          <w:u w:val="single" w:color="auto"/>
        </w:rPr>
        <w:t>财政资金</w:t>
      </w:r>
    </w:p>
    <w:p w14:paraId="692F2B3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二、工程承包范围</w:t>
      </w:r>
    </w:p>
    <w:p w14:paraId="1F8E4B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b w:val="0"/>
          <w:bCs w:val="0"/>
          <w:spacing w:val="0"/>
          <w:w w:val="100"/>
          <w:position w:val="0"/>
          <w:sz w:val="24"/>
          <w:szCs w:val="24"/>
          <w:lang w:eastAsia="zh-CN"/>
        </w:rPr>
      </w:pPr>
      <w:r>
        <w:rPr>
          <w:rFonts w:ascii="宋体" w:hAnsi="宋体" w:eastAsia="宋体" w:cs="宋体"/>
          <w:b w:val="0"/>
          <w:bCs w:val="0"/>
          <w:spacing w:val="0"/>
          <w:w w:val="100"/>
          <w:position w:val="0"/>
          <w:sz w:val="24"/>
          <w:szCs w:val="24"/>
          <w:u w:val="single" w:color="auto"/>
        </w:rPr>
        <w:t>项目主要建设内容包括：</w:t>
      </w:r>
      <w:r>
        <w:rPr>
          <w:rFonts w:hint="eastAsia" w:ascii="宋体" w:hAnsi="宋体" w:eastAsia="宋体" w:cs="宋体"/>
          <w:b w:val="0"/>
          <w:bCs w:val="0"/>
          <w:spacing w:val="0"/>
          <w:w w:val="100"/>
          <w:position w:val="0"/>
          <w:sz w:val="24"/>
          <w:szCs w:val="24"/>
          <w:u w:val="single" w:color="auto"/>
        </w:rPr>
        <w:t>本次项目建设主要依托现状，以高陵区现有已成的小型农田水利建设工程为基础，统筹考虑现有和新建工程。对现状损毁段渠道、无法正常运行的机井等设施进行修复改造</w:t>
      </w:r>
      <w:r>
        <w:rPr>
          <w:rFonts w:ascii="宋体" w:hAnsi="宋体" w:eastAsia="宋体" w:cs="宋体"/>
          <w:b w:val="0"/>
          <w:bCs w:val="0"/>
          <w:spacing w:val="0"/>
          <w:w w:val="100"/>
          <w:position w:val="0"/>
          <w:sz w:val="24"/>
          <w:szCs w:val="24"/>
          <w:u w:val="single" w:color="auto"/>
        </w:rPr>
        <w:t>，具体内容以招标文件、工程量清单为准。</w:t>
      </w:r>
    </w:p>
    <w:p w14:paraId="54756B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三、合同工期：</w:t>
      </w:r>
    </w:p>
    <w:p w14:paraId="0614BA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总日历天数：</w:t>
      </w:r>
      <w:r>
        <w:rPr>
          <w:rFonts w:ascii="宋体" w:hAnsi="宋体" w:eastAsia="宋体" w:cs="宋体"/>
          <w:b w:val="0"/>
          <w:bCs w:val="0"/>
          <w:spacing w:val="0"/>
          <w:w w:val="100"/>
          <w:position w:val="0"/>
          <w:sz w:val="24"/>
          <w:szCs w:val="24"/>
          <w:u w:val="single" w:color="auto"/>
        </w:rPr>
        <w:t>150</w:t>
      </w:r>
      <w:r>
        <w:rPr>
          <w:rFonts w:ascii="宋体" w:hAnsi="宋体" w:eastAsia="宋体" w:cs="宋体"/>
          <w:b w:val="0"/>
          <w:bCs w:val="0"/>
          <w:spacing w:val="0"/>
          <w:w w:val="100"/>
          <w:position w:val="0"/>
          <w:sz w:val="24"/>
          <w:szCs w:val="24"/>
        </w:rPr>
        <w:t>日历天</w:t>
      </w:r>
    </w:p>
    <w:p w14:paraId="3458768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开工日期：</w:t>
      </w:r>
      <w:r>
        <w:rPr>
          <w:rFonts w:ascii="宋体" w:hAnsi="宋体" w:eastAsia="宋体" w:cs="宋体"/>
          <w:b w:val="0"/>
          <w:bCs w:val="0"/>
          <w:spacing w:val="0"/>
          <w:w w:val="100"/>
          <w:position w:val="0"/>
          <w:sz w:val="24"/>
          <w:szCs w:val="24"/>
          <w:u w:val="single" w:color="auto"/>
        </w:rPr>
        <w:t>以开工令为准</w:t>
      </w:r>
    </w:p>
    <w:p w14:paraId="2D10F2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竣工日期：</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黑体" w:hAnsi="黑体" w:eastAsia="宋体" w:cs="宋体"/>
          <w:b w:val="0"/>
          <w:bCs w:val="0"/>
          <w:spacing w:val="0"/>
          <w:w w:val="100"/>
          <w:position w:val="0"/>
          <w:sz w:val="24"/>
          <w:szCs w:val="24"/>
        </w:rPr>
        <w:t>年</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月</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日</w:t>
      </w:r>
    </w:p>
    <w:p w14:paraId="75B2D7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四、质量标准</w:t>
      </w:r>
    </w:p>
    <w:p w14:paraId="0B0B94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b w:val="0"/>
          <w:bCs w:val="0"/>
          <w:spacing w:val="0"/>
          <w:w w:val="100"/>
          <w:position w:val="0"/>
          <w:sz w:val="24"/>
          <w:szCs w:val="24"/>
          <w:lang w:eastAsia="zh-CN"/>
        </w:rPr>
      </w:pPr>
      <w:r>
        <w:rPr>
          <w:rFonts w:ascii="宋体" w:hAnsi="宋体" w:eastAsia="宋体" w:cs="宋体"/>
          <w:b w:val="0"/>
          <w:bCs w:val="0"/>
          <w:spacing w:val="0"/>
          <w:w w:val="100"/>
          <w:position w:val="0"/>
          <w:sz w:val="24"/>
          <w:szCs w:val="24"/>
        </w:rPr>
        <w:t>工程质量标准：</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w:t>
      </w:r>
    </w:p>
    <w:p w14:paraId="2317513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b w:val="0"/>
          <w:bCs w:val="0"/>
          <w:spacing w:val="0"/>
          <w:w w:val="100"/>
          <w:position w:val="0"/>
          <w:sz w:val="24"/>
          <w:szCs w:val="24"/>
          <w:lang w:eastAsia="zh-CN"/>
        </w:rPr>
      </w:pPr>
      <w:r>
        <w:rPr>
          <w:rFonts w:ascii="宋体" w:hAnsi="宋体" w:eastAsia="宋体" w:cs="宋体"/>
          <w:b w:val="0"/>
          <w:bCs w:val="0"/>
          <w:spacing w:val="0"/>
          <w:w w:val="100"/>
          <w:position w:val="0"/>
          <w:sz w:val="24"/>
          <w:szCs w:val="24"/>
        </w:rPr>
        <w:t>五、合同价款：</w:t>
      </w:r>
      <w:r>
        <w:rPr>
          <w:rFonts w:ascii="宋体" w:hAnsi="宋体" w:eastAsia="宋体" w:cs="宋体"/>
          <w:b w:val="0"/>
          <w:bCs w:val="0"/>
          <w:spacing w:val="0"/>
          <w:w w:val="100"/>
          <w:position w:val="0"/>
          <w:sz w:val="24"/>
          <w:szCs w:val="24"/>
          <w:u w:val="single" w:color="auto"/>
        </w:rPr>
        <w:t>人民币</w:t>
      </w:r>
      <w:r>
        <w:rPr>
          <w:rFonts w:hint="eastAsia" w:ascii="宋体" w:hAnsi="宋体" w:eastAsia="宋体" w:cs="宋体"/>
          <w:b w:val="0"/>
          <w:bCs w:val="0"/>
          <w:spacing w:val="0"/>
          <w:w w:val="100"/>
          <w:position w:val="0"/>
          <w:sz w:val="24"/>
          <w:szCs w:val="24"/>
          <w:u w:val="single" w:color="auto"/>
          <w:lang w:eastAsia="zh-CN"/>
        </w:rPr>
        <w:t>（</w:t>
      </w:r>
      <w:r>
        <w:rPr>
          <w:rFonts w:ascii="宋体" w:hAnsi="宋体" w:eastAsia="宋体" w:cs="宋体"/>
          <w:b w:val="0"/>
          <w:bCs w:val="0"/>
          <w:spacing w:val="0"/>
          <w:w w:val="100"/>
          <w:position w:val="0"/>
          <w:sz w:val="24"/>
          <w:szCs w:val="24"/>
          <w:u w:val="single" w:color="auto"/>
        </w:rPr>
        <w:t>大写</w:t>
      </w:r>
      <w:r>
        <w:rPr>
          <w:rFonts w:hint="eastAsia" w:ascii="宋体" w:hAnsi="宋体" w:eastAsia="宋体" w:cs="宋体"/>
          <w:b w:val="0"/>
          <w:bCs w:val="0"/>
          <w:spacing w:val="0"/>
          <w:w w:val="100"/>
          <w:position w:val="0"/>
          <w:sz w:val="24"/>
          <w:szCs w:val="24"/>
          <w:u w:val="single" w:color="auto"/>
          <w:lang w:eastAsia="zh-CN"/>
        </w:rPr>
        <w:t>）</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元整（</w:t>
      </w:r>
      <w:r>
        <w:rPr>
          <w:rFonts w:ascii="宋体" w:hAnsi="宋体" w:eastAsia="宋体" w:cs="宋体"/>
          <w:b w:val="0"/>
          <w:bCs w:val="0"/>
          <w:spacing w:val="0"/>
          <w:w w:val="100"/>
          <w:position w:val="0"/>
          <w:sz w:val="24"/>
          <w:szCs w:val="24"/>
          <w:u w:val="single" w:color="auto"/>
        </w:rPr>
        <w:t>¥</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w w:val="100"/>
          <w:position w:val="0"/>
          <w:sz w:val="24"/>
          <w:szCs w:val="24"/>
          <w:u w:val="single" w:color="auto"/>
          <w:lang w:eastAsia="zh-CN"/>
        </w:rPr>
        <w:t xml:space="preserve">    </w:t>
      </w:r>
      <w:r>
        <w:rPr>
          <w:rFonts w:ascii="宋体" w:hAnsi="宋体" w:eastAsia="宋体" w:cs="宋体"/>
          <w:b w:val="0"/>
          <w:bCs w:val="0"/>
          <w:spacing w:val="0"/>
          <w:w w:val="100"/>
          <w:position w:val="0"/>
          <w:sz w:val="24"/>
          <w:szCs w:val="24"/>
          <w:u w:val="single" w:color="auto"/>
        </w:rPr>
        <w:t>元</w:t>
      </w:r>
      <w:r>
        <w:rPr>
          <w:rFonts w:hint="eastAsia" w:ascii="宋体" w:hAnsi="宋体" w:eastAsia="宋体" w:cs="宋体"/>
          <w:b w:val="0"/>
          <w:bCs w:val="0"/>
          <w:spacing w:val="0"/>
          <w:w w:val="100"/>
          <w:position w:val="0"/>
          <w:sz w:val="24"/>
          <w:szCs w:val="24"/>
          <w:u w:val="single" w:color="auto"/>
          <w:lang w:eastAsia="zh-CN"/>
        </w:rPr>
        <w:t>）；</w:t>
      </w:r>
    </w:p>
    <w:p w14:paraId="7F49E4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六、组成合同的文件</w:t>
      </w:r>
    </w:p>
    <w:p w14:paraId="20149F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1、本合同协议书</w:t>
      </w:r>
    </w:p>
    <w:p w14:paraId="5A10EE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2、本合同专用条款</w:t>
      </w:r>
    </w:p>
    <w:p w14:paraId="59D8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3、本合同通用条款</w:t>
      </w:r>
    </w:p>
    <w:p w14:paraId="2A323A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4、中标通知书</w:t>
      </w:r>
    </w:p>
    <w:p w14:paraId="7DB25D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5、投标书、工程报价单或预算书及其附件</w:t>
      </w:r>
    </w:p>
    <w:p w14:paraId="5291F2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6、招标文件、答疑纪要及工程量清单</w:t>
      </w:r>
    </w:p>
    <w:p w14:paraId="76491E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7、图纸</w:t>
      </w:r>
    </w:p>
    <w:p w14:paraId="0D8848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8、标准、规范及有关技术文件</w:t>
      </w:r>
    </w:p>
    <w:p w14:paraId="269DD1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双方为履行本合同的有关洽商、变更等书面协议、文件，视为本合同的组成部分。</w:t>
      </w:r>
    </w:p>
    <w:p w14:paraId="2FBC8A1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七、本协议书中有关词语含义与本合同第二部分《通用条款》中赋予的定义相同。</w:t>
      </w:r>
    </w:p>
    <w:p w14:paraId="0D02C7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八、承包人按照合同约定进行施工、竣工并在质量保修期内承担工程质量保修责任。</w:t>
      </w:r>
    </w:p>
    <w:p w14:paraId="7B7E6B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九、发包人按照合同约定的期限和方式支付合同价款及其他应当支付的款项。</w:t>
      </w:r>
    </w:p>
    <w:p w14:paraId="69B53B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十、合同生效</w:t>
      </w:r>
    </w:p>
    <w:p w14:paraId="3F6739E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合同订立时间：</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年</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月</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日</w:t>
      </w:r>
    </w:p>
    <w:p w14:paraId="55772D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b w:val="0"/>
          <w:bCs w:val="0"/>
          <w:spacing w:val="0"/>
          <w:w w:val="100"/>
          <w:position w:val="0"/>
          <w:sz w:val="24"/>
          <w:szCs w:val="24"/>
          <w:u w:val="single" w:color="auto"/>
          <w:lang w:val="en-US" w:eastAsia="zh-CN"/>
        </w:rPr>
      </w:pPr>
      <w:r>
        <w:rPr>
          <w:rFonts w:ascii="宋体" w:hAnsi="宋体" w:eastAsia="宋体" w:cs="宋体"/>
          <w:b w:val="0"/>
          <w:bCs w:val="0"/>
          <w:spacing w:val="0"/>
          <w:w w:val="100"/>
          <w:position w:val="0"/>
          <w:sz w:val="24"/>
          <w:szCs w:val="24"/>
        </w:rPr>
        <w:t>合同订立地点：</w:t>
      </w:r>
      <w:r>
        <w:rPr>
          <w:rFonts w:hint="eastAsia" w:ascii="宋体" w:hAnsi="宋体" w:eastAsia="宋体" w:cs="宋体"/>
          <w:b w:val="0"/>
          <w:bCs w:val="0"/>
          <w:spacing w:val="0"/>
          <w:w w:val="100"/>
          <w:position w:val="0"/>
          <w:sz w:val="24"/>
          <w:szCs w:val="24"/>
          <w:u w:val="single" w:color="auto"/>
          <w:lang w:val="en-US" w:eastAsia="zh-CN"/>
        </w:rPr>
        <w:t xml:space="preserve">               </w:t>
      </w:r>
    </w:p>
    <w:p w14:paraId="44EF7F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本合同双方约定</w:t>
      </w:r>
      <w:r>
        <w:rPr>
          <w:rFonts w:ascii="宋体" w:hAnsi="宋体" w:eastAsia="宋体" w:cs="宋体"/>
          <w:b w:val="0"/>
          <w:bCs w:val="0"/>
          <w:spacing w:val="0"/>
          <w:w w:val="100"/>
          <w:position w:val="0"/>
          <w:sz w:val="24"/>
          <w:szCs w:val="24"/>
          <w:u w:val="single" w:color="auto"/>
        </w:rPr>
        <w:t>签订</w:t>
      </w:r>
      <w:r>
        <w:rPr>
          <w:rFonts w:ascii="宋体" w:hAnsi="宋体" w:eastAsia="宋体" w:cs="宋体"/>
          <w:b w:val="0"/>
          <w:bCs w:val="0"/>
          <w:spacing w:val="0"/>
          <w:w w:val="100"/>
          <w:position w:val="0"/>
          <w:sz w:val="24"/>
          <w:szCs w:val="24"/>
        </w:rPr>
        <w:t>后生效。</w:t>
      </w:r>
    </w:p>
    <w:p w14:paraId="52D2F5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十一、合同份数</w:t>
      </w:r>
    </w:p>
    <w:p w14:paraId="2EC545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b w:val="0"/>
          <w:bCs w:val="0"/>
          <w:spacing w:val="0"/>
          <w:w w:val="100"/>
          <w:position w:val="0"/>
          <w:sz w:val="24"/>
          <w:szCs w:val="24"/>
          <w:lang w:eastAsia="zh-CN"/>
        </w:rPr>
      </w:pPr>
      <w:r>
        <w:rPr>
          <w:rFonts w:ascii="宋体" w:hAnsi="宋体" w:eastAsia="宋体" w:cs="宋体"/>
          <w:b w:val="0"/>
          <w:bCs w:val="0"/>
          <w:spacing w:val="0"/>
          <w:w w:val="100"/>
          <w:position w:val="0"/>
          <w:sz w:val="24"/>
          <w:szCs w:val="24"/>
        </w:rPr>
        <w:t>本合同一式</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份，均具有同等法律效力，发包人执</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份，承包人执</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ascii="宋体" w:hAnsi="宋体" w:eastAsia="宋体" w:cs="宋体"/>
          <w:b w:val="0"/>
          <w:bCs w:val="0"/>
          <w:spacing w:val="0"/>
          <w:w w:val="100"/>
          <w:position w:val="0"/>
          <w:sz w:val="24"/>
          <w:szCs w:val="24"/>
        </w:rPr>
        <w:t>份</w:t>
      </w:r>
      <w:r>
        <w:rPr>
          <w:rFonts w:hint="eastAsia" w:ascii="宋体" w:hAnsi="宋体" w:eastAsia="宋体" w:cs="宋体"/>
          <w:b w:val="0"/>
          <w:bCs w:val="0"/>
          <w:spacing w:val="0"/>
          <w:w w:val="100"/>
          <w:position w:val="0"/>
          <w:sz w:val="24"/>
          <w:szCs w:val="24"/>
          <w:lang w:eastAsia="zh-CN"/>
        </w:rPr>
        <w:t>。</w:t>
      </w:r>
    </w:p>
    <w:tbl>
      <w:tblPr>
        <w:tblStyle w:val="5"/>
        <w:tblW w:w="95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09"/>
        <w:gridCol w:w="4790"/>
      </w:tblGrid>
      <w:tr w14:paraId="3B9EA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8" w:hRule="atLeast"/>
          <w:jc w:val="center"/>
        </w:trPr>
        <w:tc>
          <w:tcPr>
            <w:tcW w:w="4809" w:type="dxa"/>
            <w:tcBorders>
              <w:tl2br w:val="nil"/>
              <w:tr2bl w:val="nil"/>
            </w:tcBorders>
            <w:noWrap w:val="0"/>
            <w:vAlign w:val="center"/>
          </w:tcPr>
          <w:p w14:paraId="7DCC7A9B">
            <w:pPr>
              <w:keepNext w:val="0"/>
              <w:keepLines w:val="0"/>
              <w:pageBreakBefore w:val="0"/>
              <w:widowControl/>
              <w:kinsoku/>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z w:val="24"/>
                <w:szCs w:val="24"/>
                <w:lang w:eastAsia="zh-CN"/>
              </w:rPr>
            </w:pPr>
            <w:r>
              <w:rPr>
                <w:rFonts w:ascii="宋体" w:hAnsi="宋体" w:eastAsia="宋体" w:cs="宋体"/>
                <w:spacing w:val="2"/>
                <w:sz w:val="24"/>
                <w:szCs w:val="24"/>
              </w:rPr>
              <w:t>发包人：</w:t>
            </w:r>
            <w:r>
              <w:rPr>
                <w:rFonts w:ascii="宋体" w:hAnsi="宋体" w:eastAsia="宋体" w:cs="宋体"/>
                <w:spacing w:val="-45"/>
                <w:sz w:val="24"/>
                <w:szCs w:val="24"/>
              </w:rPr>
              <w:t xml:space="preserve"> </w:t>
            </w:r>
            <w:r>
              <w:rPr>
                <w:rFonts w:hint="eastAsia" w:ascii="宋体" w:hAnsi="宋体" w:eastAsia="宋体" w:cs="宋体"/>
                <w:spacing w:val="2"/>
                <w:sz w:val="24"/>
                <w:szCs w:val="24"/>
                <w:lang w:eastAsia="zh-CN"/>
              </w:rPr>
              <w:t>（</w:t>
            </w:r>
            <w:r>
              <w:rPr>
                <w:rFonts w:ascii="宋体" w:hAnsi="宋体" w:eastAsia="宋体" w:cs="宋体"/>
                <w:spacing w:val="2"/>
                <w:sz w:val="24"/>
                <w:szCs w:val="24"/>
              </w:rPr>
              <w:t>公章</w:t>
            </w:r>
            <w:r>
              <w:rPr>
                <w:rFonts w:hint="eastAsia" w:ascii="宋体" w:hAnsi="宋体" w:eastAsia="宋体" w:cs="宋体"/>
                <w:spacing w:val="2"/>
                <w:sz w:val="24"/>
                <w:szCs w:val="24"/>
                <w:lang w:eastAsia="zh-CN"/>
              </w:rPr>
              <w:t>）</w:t>
            </w:r>
          </w:p>
          <w:p w14:paraId="701999DA">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spacing w:val="2"/>
                <w:sz w:val="24"/>
                <w:szCs w:val="24"/>
                <w:u w:val="single" w:color="auto"/>
              </w:rPr>
            </w:pPr>
            <w:r>
              <w:rPr>
                <w:rFonts w:ascii="宋体" w:hAnsi="宋体" w:eastAsia="宋体" w:cs="宋体"/>
                <w:spacing w:val="2"/>
                <w:sz w:val="24"/>
                <w:szCs w:val="24"/>
                <w:u w:val="single" w:color="auto"/>
              </w:rPr>
              <w:t>西安市高陵区农业综合开发服务中心</w:t>
            </w:r>
          </w:p>
          <w:p w14:paraId="24008C9A">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法定代表人：</w:t>
            </w:r>
          </w:p>
          <w:p w14:paraId="474F851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委托代理人：</w:t>
            </w:r>
          </w:p>
          <w:p w14:paraId="36890D84">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u w:val="single" w:color="auto"/>
              </w:rPr>
            </w:pPr>
            <w:r>
              <w:rPr>
                <w:rFonts w:ascii="宋体" w:hAnsi="宋体" w:eastAsia="宋体" w:cs="宋体"/>
                <w:b w:val="0"/>
                <w:bCs w:val="0"/>
                <w:spacing w:val="0"/>
                <w:w w:val="100"/>
                <w:position w:val="0"/>
                <w:sz w:val="24"/>
                <w:szCs w:val="24"/>
              </w:rPr>
              <w:t>地址：</w:t>
            </w:r>
            <w:r>
              <w:rPr>
                <w:rFonts w:ascii="宋体" w:hAnsi="宋体" w:eastAsia="宋体" w:cs="宋体"/>
                <w:b w:val="0"/>
                <w:bCs w:val="0"/>
                <w:spacing w:val="0"/>
                <w:w w:val="100"/>
                <w:position w:val="0"/>
                <w:sz w:val="24"/>
                <w:szCs w:val="24"/>
                <w:u w:val="single" w:color="auto"/>
              </w:rPr>
              <w:t>高陵区北环路农业综合开发服务中心</w:t>
            </w:r>
          </w:p>
          <w:p w14:paraId="0E020F3F">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Times New Roman" w:hAnsi="Times New Roman" w:eastAsia="宋体" w:cs="宋体"/>
                <w:b w:val="0"/>
                <w:bCs w:val="0"/>
                <w:spacing w:val="0"/>
                <w:w w:val="100"/>
                <w:position w:val="0"/>
                <w:sz w:val="24"/>
                <w:szCs w:val="24"/>
                <w:u w:val="single" w:color="auto"/>
              </w:rPr>
            </w:pPr>
            <w:r>
              <w:rPr>
                <w:rFonts w:ascii="宋体" w:hAnsi="宋体" w:eastAsia="宋体" w:cs="宋体"/>
                <w:b w:val="0"/>
                <w:bCs w:val="0"/>
                <w:spacing w:val="0"/>
                <w:w w:val="100"/>
                <w:position w:val="0"/>
                <w:sz w:val="24"/>
                <w:szCs w:val="24"/>
              </w:rPr>
              <w:t>邮政编码：</w:t>
            </w:r>
            <w:r>
              <w:rPr>
                <w:rFonts w:ascii="Times New Roman" w:hAnsi="Times New Roman" w:eastAsia="宋体" w:cs="宋体"/>
                <w:b w:val="0"/>
                <w:bCs w:val="0"/>
                <w:spacing w:val="0"/>
                <w:w w:val="100"/>
                <w:position w:val="0"/>
                <w:sz w:val="24"/>
                <w:szCs w:val="24"/>
                <w:u w:val="single" w:color="auto"/>
              </w:rPr>
              <w:t>710200</w:t>
            </w:r>
          </w:p>
          <w:p w14:paraId="219C9A83">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电话：</w:t>
            </w:r>
          </w:p>
          <w:p w14:paraId="63189DD6">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传真：</w:t>
            </w:r>
          </w:p>
          <w:p w14:paraId="1300909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开户银行：</w:t>
            </w:r>
          </w:p>
          <w:p w14:paraId="37F5734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b w:val="0"/>
                <w:bCs w:val="0"/>
                <w:spacing w:val="0"/>
                <w:w w:val="100"/>
                <w:position w:val="0"/>
                <w:sz w:val="24"/>
                <w:szCs w:val="24"/>
                <w:u w:val="single" w:color="auto"/>
                <w:lang w:val="en-US" w:eastAsia="zh-CN"/>
              </w:rPr>
            </w:pPr>
            <w:r>
              <w:rPr>
                <w:rFonts w:hint="eastAsia" w:ascii="宋体" w:hAnsi="宋体" w:eastAsia="宋体" w:cs="宋体"/>
                <w:b w:val="0"/>
                <w:bCs w:val="0"/>
                <w:spacing w:val="0"/>
                <w:w w:val="100"/>
                <w:position w:val="0"/>
                <w:sz w:val="24"/>
                <w:szCs w:val="24"/>
                <w:lang w:eastAsia="zh-CN"/>
              </w:rPr>
              <w:t>账号</w:t>
            </w:r>
            <w:r>
              <w:rPr>
                <w:rFonts w:ascii="宋体" w:hAnsi="宋体" w:eastAsia="宋体" w:cs="宋体"/>
                <w:b w:val="0"/>
                <w:bCs w:val="0"/>
                <w:spacing w:val="0"/>
                <w:w w:val="100"/>
                <w:position w:val="0"/>
                <w:sz w:val="24"/>
                <w:szCs w:val="24"/>
              </w:rPr>
              <w:t>：</w:t>
            </w:r>
          </w:p>
        </w:tc>
        <w:tc>
          <w:tcPr>
            <w:tcW w:w="4790" w:type="dxa"/>
            <w:tcBorders>
              <w:tl2br w:val="nil"/>
              <w:tr2bl w:val="nil"/>
            </w:tcBorders>
            <w:noWrap w:val="0"/>
            <w:vAlign w:val="center"/>
          </w:tcPr>
          <w:p w14:paraId="58A2B015">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b w:val="0"/>
                <w:bCs w:val="0"/>
                <w:spacing w:val="0"/>
                <w:w w:val="100"/>
                <w:position w:val="0"/>
                <w:sz w:val="24"/>
                <w:szCs w:val="24"/>
                <w:lang w:eastAsia="zh-CN"/>
              </w:rPr>
            </w:pPr>
            <w:r>
              <w:rPr>
                <w:rFonts w:eastAsia="宋体" w:cs="宋体"/>
                <w:b w:val="0"/>
                <w:bCs w:val="0"/>
                <w:spacing w:val="0"/>
                <w:w w:val="100"/>
                <w:position w:val="0"/>
                <w:sz w:val="24"/>
                <w:szCs w:val="24"/>
              </w:rPr>
              <mc:AlternateContent>
                <mc:Choice Requires="wps">
                  <w:drawing>
                    <wp:anchor distT="0" distB="0" distL="114300" distR="114300" simplePos="0" relativeHeight="251659264" behindDoc="0" locked="0" layoutInCell="1" allowOverlap="1">
                      <wp:simplePos x="0" y="0"/>
                      <wp:positionH relativeFrom="column">
                        <wp:posOffset>3077845</wp:posOffset>
                      </wp:positionH>
                      <wp:positionV relativeFrom="paragraph">
                        <wp:posOffset>26035</wp:posOffset>
                      </wp:positionV>
                      <wp:extent cx="2486660" cy="7924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486660" cy="792480"/>
                              </a:xfrm>
                              <a:prstGeom prst="rect">
                                <a:avLst/>
                              </a:prstGeom>
                              <a:noFill/>
                              <a:ln>
                                <a:noFill/>
                              </a:ln>
                              <a:effectLst/>
                            </wps:spPr>
                            <wps:txbx>
                              <w:txbxContent>
                                <w:p w14:paraId="2EC166E1">
                                  <w:pPr>
                                    <w:spacing w:before="195" w:line="280" w:lineRule="auto"/>
                                    <w:ind w:left="1528" w:right="20" w:hanging="1509"/>
                                    <w:rPr>
                                      <w:rFonts w:ascii="宋体" w:hAnsi="宋体" w:eastAsia="宋体" w:cs="宋体"/>
                                      <w:sz w:val="24"/>
                                      <w:szCs w:val="24"/>
                                    </w:rPr>
                                  </w:pPr>
                                  <w:r>
                                    <w:rPr>
                                      <w:rFonts w:ascii="宋体" w:hAnsi="宋体" w:eastAsia="宋体" w:cs="宋体"/>
                                      <w:spacing w:val="2"/>
                                      <w:sz w:val="24"/>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242.35pt;margin-top:2.05pt;height:62.4pt;width:195.8pt;z-index:251659264;mso-width-relative:page;mso-height-relative:page;" filled="f" stroked="f" coordsize="21600,21600" o:gfxdata="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ELUurjYAAAACQEAAA8AAAAAAAAAAQAgAAAAIgAAAGRycy9kb3ducmV2LnhtbFBL&#10;AQIUABQAAAAIAIdO4kCWmRVnvQEAAIADAAAOAAAAAAAAAAEAIAAAACcBAABkcnMvZTJvRG9jLnht&#10;bFBLBQYAAAAABgAGAFkBAABWBQAAAAA=&#10;">
                      <v:path/>
                      <v:fill on="f" focussize="0,0"/>
                      <v:stroke on="f"/>
                      <v:imagedata o:title=""/>
                      <o:lock v:ext="edit" aspectratio="f"/>
                      <v:textbox inset="0mm,0mm,0mm,0mm">
                        <w:txbxContent>
                          <w:p w14:paraId="2EC166E1">
                            <w:pPr>
                              <w:spacing w:before="195" w:line="280" w:lineRule="auto"/>
                              <w:ind w:left="1528" w:right="20" w:hanging="1509"/>
                              <w:rPr>
                                <w:rFonts w:ascii="宋体" w:hAnsi="宋体" w:eastAsia="宋体" w:cs="宋体"/>
                                <w:sz w:val="24"/>
                                <w:szCs w:val="24"/>
                              </w:rPr>
                            </w:pPr>
                            <w:r>
                              <w:rPr>
                                <w:rFonts w:ascii="宋体" w:hAnsi="宋体" w:eastAsia="宋体" w:cs="宋体"/>
                                <w:spacing w:val="2"/>
                                <w:sz w:val="24"/>
                                <w:szCs w:val="24"/>
                              </w:rPr>
                              <w:t xml:space="preserve"> </w:t>
                            </w:r>
                          </w:p>
                        </w:txbxContent>
                      </v:textbox>
                    </v:shape>
                  </w:pict>
                </mc:Fallback>
              </mc:AlternateContent>
            </w:r>
            <w:r>
              <w:rPr>
                <w:rFonts w:ascii="宋体" w:hAnsi="宋体" w:eastAsia="宋体" w:cs="宋体"/>
                <w:b w:val="0"/>
                <w:bCs w:val="0"/>
                <w:spacing w:val="0"/>
                <w:w w:val="100"/>
                <w:position w:val="0"/>
                <w:sz w:val="24"/>
                <w:szCs w:val="24"/>
              </w:rPr>
              <w:t>承包人：</w:t>
            </w:r>
            <w:r>
              <w:rPr>
                <w:rFonts w:hint="eastAsia" w:ascii="宋体" w:hAnsi="宋体" w:eastAsia="宋体" w:cs="宋体"/>
                <w:b w:val="0"/>
                <w:bCs w:val="0"/>
                <w:spacing w:val="0"/>
                <w:w w:val="100"/>
                <w:position w:val="0"/>
                <w:sz w:val="24"/>
                <w:szCs w:val="24"/>
                <w:lang w:eastAsia="zh-CN"/>
              </w:rPr>
              <w:t>（</w:t>
            </w:r>
            <w:r>
              <w:rPr>
                <w:rFonts w:ascii="宋体" w:hAnsi="宋体" w:eastAsia="宋体" w:cs="宋体"/>
                <w:b w:val="0"/>
                <w:bCs w:val="0"/>
                <w:spacing w:val="0"/>
                <w:w w:val="100"/>
                <w:position w:val="0"/>
                <w:sz w:val="24"/>
                <w:szCs w:val="24"/>
              </w:rPr>
              <w:t>公章</w:t>
            </w:r>
            <w:r>
              <w:rPr>
                <w:rFonts w:hint="eastAsia" w:ascii="宋体" w:hAnsi="宋体" w:eastAsia="宋体" w:cs="宋体"/>
                <w:b w:val="0"/>
                <w:bCs w:val="0"/>
                <w:spacing w:val="0"/>
                <w:w w:val="100"/>
                <w:position w:val="0"/>
                <w:sz w:val="24"/>
                <w:szCs w:val="24"/>
                <w:lang w:eastAsia="zh-CN"/>
              </w:rPr>
              <w:t>）</w:t>
            </w:r>
          </w:p>
          <w:p w14:paraId="2B3C846A">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b w:val="0"/>
                <w:bCs w:val="0"/>
                <w:spacing w:val="0"/>
                <w:w w:val="100"/>
                <w:position w:val="0"/>
                <w:sz w:val="24"/>
                <w:szCs w:val="24"/>
                <w:u w:val="single" w:color="auto"/>
                <w:lang w:val="en-US" w:eastAsia="zh-CN"/>
              </w:rPr>
            </w:pPr>
            <w:r>
              <w:rPr>
                <w:rFonts w:hint="eastAsia" w:ascii="宋体" w:hAnsi="宋体" w:eastAsia="宋体" w:cs="宋体"/>
                <w:b w:val="0"/>
                <w:bCs w:val="0"/>
                <w:spacing w:val="0"/>
                <w:w w:val="100"/>
                <w:position w:val="0"/>
                <w:sz w:val="24"/>
                <w:szCs w:val="24"/>
                <w:u w:val="single" w:color="auto"/>
                <w:lang w:val="en-US" w:eastAsia="zh-CN"/>
              </w:rPr>
              <w:t xml:space="preserve">                              </w:t>
            </w:r>
          </w:p>
          <w:p w14:paraId="7AB39A21">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法定代表人：</w:t>
            </w:r>
          </w:p>
          <w:p w14:paraId="77D525B7">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委托代理人：</w:t>
            </w:r>
          </w:p>
          <w:p w14:paraId="5AAA3FC7">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b w:val="0"/>
                <w:bCs w:val="0"/>
                <w:spacing w:val="0"/>
                <w:w w:val="100"/>
                <w:position w:val="0"/>
                <w:sz w:val="24"/>
                <w:szCs w:val="24"/>
                <w:u w:val="single" w:color="auto"/>
                <w:lang w:val="en-US" w:eastAsia="zh-CN"/>
              </w:rPr>
            </w:pPr>
            <w:r>
              <w:rPr>
                <w:rFonts w:ascii="宋体" w:hAnsi="宋体" w:eastAsia="宋体" w:cs="宋体"/>
                <w:b w:val="0"/>
                <w:bCs w:val="0"/>
                <w:spacing w:val="0"/>
                <w:w w:val="100"/>
                <w:position w:val="0"/>
                <w:sz w:val="24"/>
                <w:szCs w:val="24"/>
              </w:rPr>
              <w:t>地址：</w:t>
            </w:r>
            <w:r>
              <w:rPr>
                <w:rFonts w:hint="eastAsia" w:ascii="宋体" w:hAnsi="宋体" w:eastAsia="宋体" w:cs="宋体"/>
                <w:b w:val="0"/>
                <w:bCs w:val="0"/>
                <w:spacing w:val="0"/>
                <w:w w:val="100"/>
                <w:position w:val="0"/>
                <w:sz w:val="24"/>
                <w:szCs w:val="24"/>
                <w:u w:val="single" w:color="auto"/>
                <w:lang w:val="en-US" w:eastAsia="zh-CN"/>
              </w:rPr>
              <w:t xml:space="preserve">                              </w:t>
            </w:r>
          </w:p>
          <w:p w14:paraId="2287964F">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邮政编码：</w:t>
            </w:r>
          </w:p>
          <w:p w14:paraId="25CA9363">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电话：</w:t>
            </w:r>
          </w:p>
          <w:p w14:paraId="074C4666">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传真：</w:t>
            </w:r>
          </w:p>
          <w:p w14:paraId="051350ED">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开户银行：</w:t>
            </w:r>
          </w:p>
          <w:p w14:paraId="0A3D3077">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b w:val="0"/>
                <w:bCs w:val="0"/>
                <w:spacing w:val="0"/>
                <w:w w:val="100"/>
                <w:position w:val="0"/>
                <w:sz w:val="24"/>
                <w:szCs w:val="24"/>
                <w:lang w:val="en-US" w:eastAsia="zh-CN"/>
              </w:rPr>
            </w:pPr>
            <w:r>
              <w:rPr>
                <w:rFonts w:hint="eastAsia" w:ascii="宋体" w:hAnsi="宋体" w:eastAsia="宋体" w:cs="宋体"/>
                <w:b w:val="0"/>
                <w:bCs w:val="0"/>
                <w:spacing w:val="0"/>
                <w:w w:val="100"/>
                <w:position w:val="0"/>
                <w:sz w:val="24"/>
                <w:szCs w:val="24"/>
                <w:lang w:eastAsia="zh-CN"/>
              </w:rPr>
              <w:t>账号</w:t>
            </w:r>
            <w:r>
              <w:rPr>
                <w:rFonts w:ascii="宋体" w:hAnsi="宋体" w:eastAsia="宋体" w:cs="宋体"/>
                <w:b w:val="0"/>
                <w:bCs w:val="0"/>
                <w:spacing w:val="0"/>
                <w:w w:val="100"/>
                <w:position w:val="0"/>
                <w:sz w:val="24"/>
                <w:szCs w:val="24"/>
              </w:rPr>
              <w:t>：</w:t>
            </w:r>
          </w:p>
        </w:tc>
      </w:tr>
    </w:tbl>
    <w:p w14:paraId="395B01DC">
      <w:pPr>
        <w:keepNext w:val="0"/>
        <w:keepLines w:val="0"/>
        <w:pageBreakBefore w:val="0"/>
        <w:widowControl/>
        <w:kinsoku/>
        <w:wordWrap/>
        <w:overflowPunct/>
        <w:topLinePunct w:val="0"/>
        <w:autoSpaceDE w:val="0"/>
        <w:autoSpaceDN w:val="0"/>
        <w:bidi w:val="0"/>
        <w:adjustRightInd w:val="0"/>
        <w:snapToGrid w:val="0"/>
        <w:spacing w:line="220" w:lineRule="auto"/>
        <w:textAlignment w:val="baseline"/>
        <w:rPr>
          <w:rFonts w:ascii="Times New Roman" w:hAnsi="Times New Roman" w:eastAsia="Times New Roman" w:cs="Times New Roman"/>
          <w:spacing w:val="0"/>
          <w:w w:val="100"/>
          <w:position w:val="0"/>
          <w:sz w:val="24"/>
          <w:szCs w:val="24"/>
        </w:rPr>
        <w:sectPr>
          <w:footerReference r:id="rId5" w:type="default"/>
          <w:pgSz w:w="11900" w:h="16830"/>
          <w:pgMar w:top="1417" w:right="1389" w:bottom="1417" w:left="1389" w:header="0" w:footer="867" w:gutter="0"/>
          <w:pgBorders>
            <w:top w:val="none" w:sz="0" w:space="0"/>
            <w:left w:val="none" w:sz="0" w:space="0"/>
            <w:bottom w:val="none" w:sz="0" w:space="0"/>
            <w:right w:val="none" w:sz="0" w:space="0"/>
          </w:pgBorders>
          <w:pgNumType w:fmt="decimal" w:start="1"/>
          <w:cols w:space="720" w:num="1"/>
          <w:rtlGutter w:val="0"/>
          <w:docGrid w:linePitch="1" w:charSpace="0"/>
        </w:sectPr>
      </w:pPr>
    </w:p>
    <w:p w14:paraId="7ACEA012">
      <w:pPr>
        <w:keepNext w:val="0"/>
        <w:keepLines w:val="0"/>
        <w:pageBreakBefore w:val="0"/>
        <w:widowControl/>
        <w:kinsoku/>
        <w:wordWrap/>
        <w:overflowPunct/>
        <w:topLinePunct w:val="0"/>
        <w:autoSpaceDE w:val="0"/>
        <w:autoSpaceDN w:val="0"/>
        <w:bidi w:val="0"/>
        <w:adjustRightInd w:val="0"/>
        <w:snapToGrid w:val="0"/>
        <w:spacing w:line="360" w:lineRule="auto"/>
        <w:ind w:left="2926"/>
        <w:textAlignment w:val="baseline"/>
        <w:outlineLvl w:val="0"/>
        <w:rPr>
          <w:rFonts w:ascii="宋体" w:hAnsi="宋体" w:eastAsia="宋体" w:cs="宋体"/>
          <w:spacing w:val="0"/>
          <w:w w:val="100"/>
          <w:position w:val="0"/>
          <w:sz w:val="44"/>
          <w:szCs w:val="44"/>
        </w:rPr>
      </w:pPr>
      <w:r>
        <w:rPr>
          <w:rFonts w:ascii="宋体" w:hAnsi="宋体" w:eastAsia="宋体" w:cs="宋体"/>
          <w:b/>
          <w:bCs/>
          <w:spacing w:val="0"/>
          <w:w w:val="100"/>
          <w:position w:val="0"/>
          <w:sz w:val="44"/>
          <w:szCs w:val="44"/>
        </w:rPr>
        <w:t>第二部分</w:t>
      </w:r>
      <w:r>
        <w:rPr>
          <w:rFonts w:hint="eastAsia" w:ascii="宋体" w:hAnsi="宋体" w:eastAsia="宋体" w:cs="宋体"/>
          <w:spacing w:val="0"/>
          <w:w w:val="100"/>
          <w:position w:val="0"/>
          <w:sz w:val="44"/>
          <w:szCs w:val="44"/>
          <w:lang w:val="en-US" w:eastAsia="zh-CN"/>
        </w:rPr>
        <w:t xml:space="preserve"> </w:t>
      </w:r>
      <w:r>
        <w:rPr>
          <w:rFonts w:ascii="宋体" w:hAnsi="宋体" w:eastAsia="宋体" w:cs="宋体"/>
          <w:b/>
          <w:bCs/>
          <w:spacing w:val="0"/>
          <w:w w:val="100"/>
          <w:position w:val="0"/>
          <w:sz w:val="44"/>
          <w:szCs w:val="44"/>
        </w:rPr>
        <w:t>通用条款</w:t>
      </w:r>
    </w:p>
    <w:p w14:paraId="3C6A7E5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一、词语定义及合同文件</w:t>
      </w:r>
    </w:p>
    <w:p w14:paraId="239FB06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1、词语定义</w:t>
      </w:r>
    </w:p>
    <w:p w14:paraId="2BF1548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下列词语除专用条款另有约定外，应具有本条所赋予的定义：</w:t>
      </w:r>
    </w:p>
    <w:p w14:paraId="1637533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1.1通用条款：是根据法律、行政法规规定及建设工程施工的需要订立，通用于建设工程施工的条款。</w:t>
      </w:r>
    </w:p>
    <w:p w14:paraId="4332766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1.2专用条款：是发包人与承包人根据法律、行政法规规定，结合具体工程实际，经协商达成一致意见的条款，是对通用条款的具体化、补充或修改。</w:t>
      </w:r>
    </w:p>
    <w:p w14:paraId="1A9E4C2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1.3发包人：指在协议书中约定，具有工程发包主体资格和支付工程价款能力的当事人以及取得该当事人资格的合法继承人。</w:t>
      </w:r>
    </w:p>
    <w:p w14:paraId="1DA998F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1.4承包人：指在协议书中约定，被发包人接受的具有工程施工承包主体资格的当事人以及取得该当事人资格的合法继承人。</w:t>
      </w:r>
    </w:p>
    <w:p w14:paraId="02238BD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1.5项目经理：指承包人在专用条款中指定的具有执业资格的负责施工管理和合同履行的代表。</w:t>
      </w:r>
    </w:p>
    <w:p w14:paraId="61E91CF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1.6设计单位：指发包人委托的负责本工程设计并取得相应工程设计资质等级证书的单位。</w:t>
      </w:r>
    </w:p>
    <w:p w14:paraId="4254428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1.7监理单位：指发包人委托的负责本工程监理并取得相应工程监理资质等级证书的单位。</w:t>
      </w:r>
    </w:p>
    <w:p w14:paraId="14431B3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1.8工程师：指本工程监理单位委派的总监理工程师或发包人指定的履行本合同的代表，其具体身份和职权由发包</w:t>
      </w:r>
      <w:r>
        <w:rPr>
          <w:rFonts w:hint="eastAsia" w:ascii="宋体" w:hAnsi="宋体" w:eastAsia="宋体" w:cs="宋体"/>
          <w:spacing w:val="0"/>
          <w:w w:val="100"/>
          <w:position w:val="0"/>
          <w:sz w:val="24"/>
          <w:szCs w:val="24"/>
          <w:lang w:eastAsia="zh-CN"/>
        </w:rPr>
        <w:t>人和</w:t>
      </w:r>
      <w:r>
        <w:rPr>
          <w:rFonts w:hint="eastAsia" w:ascii="宋体" w:hAnsi="宋体" w:eastAsia="宋体" w:cs="宋体"/>
          <w:spacing w:val="0"/>
          <w:w w:val="100"/>
          <w:position w:val="0"/>
          <w:sz w:val="24"/>
          <w:szCs w:val="24"/>
        </w:rPr>
        <w:t>承包人在专用条款中约定。</w:t>
      </w:r>
    </w:p>
    <w:p w14:paraId="450BE51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1.9工程造价管理部门：指国务院有关部门、县级以上人民政府建设行政主管部门或其委托的工程造价管理机构。</w:t>
      </w:r>
    </w:p>
    <w:p w14:paraId="1CEAC16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1.10工程：指发包人承包人在协议书中约定的承包范围内的工程。</w:t>
      </w:r>
    </w:p>
    <w:p w14:paraId="364855E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1.11工程量清单：表现拟建工程的分部分项工程项目、措施项目、其他项目名称和相应数量的明细清单。</w:t>
      </w:r>
    </w:p>
    <w:p w14:paraId="12BD1D8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1.12综合单价：完成工程量清单中一个规定计量单位项目所需的人工费、材料费、机械使用费、管理费和利润，并考虑风险因素。</w:t>
      </w:r>
    </w:p>
    <w:p w14:paraId="5BABEA7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1.13合同价款：指发包人承包人在协议书中约定，发包人用以支付承包人按照合同约定完成承包范围内全部工程并承担质量保修责任的款项。</w:t>
      </w:r>
    </w:p>
    <w:p w14:paraId="2ECB021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1.14预留金：指发包人为可能发生的工程量变更而预留的款额。</w:t>
      </w:r>
    </w:p>
    <w:p w14:paraId="2DB8DA9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1.15工程分包和材料购置费：指发包人将按有关规定准予分包的工作、指定分包人或指定材料供应商供应材料而预留的款额。</w:t>
      </w:r>
    </w:p>
    <w:p w14:paraId="3D7D202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1.16总承包服务费：为配合协调发包人进行的工程分包和材料采购所需的费用。</w:t>
      </w:r>
    </w:p>
    <w:p w14:paraId="7CC3710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1.17零星工作项目费：完成发包人提出的工程量暂估的零星工作所需的费用。</w:t>
      </w:r>
    </w:p>
    <w:p w14:paraId="1918239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1.18追加合同价款：指在合同履行中发生需要增加合同价款的情况，经发包人确认后按计算合同价款的方法增加的合同价款。</w:t>
      </w:r>
    </w:p>
    <w:p w14:paraId="60B1108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1.19费用：指不包含在合同价款之内的应当由发包人或承包人承担的经济支出。</w:t>
      </w:r>
    </w:p>
    <w:p w14:paraId="51D8383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1.20工期：指发包人承包人在协议书中约定，按总日历天数</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包括法定节假日</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计算的承包天数。</w:t>
      </w:r>
    </w:p>
    <w:p w14:paraId="3BA6960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1.21开工日期：指发包人承包人在协议书中约定，承包人开始施工的绝对或相对的日期。</w:t>
      </w:r>
    </w:p>
    <w:p w14:paraId="14BCB0D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1.22竣工日期：指发包人承包人在协议书中约定，承包人完成承包范围内工程的绝对或相对的日期。</w:t>
      </w:r>
    </w:p>
    <w:p w14:paraId="03288EB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1.23图纸：指由发包人提供或由承包人提供并经发包人批准，满足承包人施工需要的所有图纸</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包括配套说明和有关资料</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w:t>
      </w:r>
    </w:p>
    <w:p w14:paraId="20DE7AD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1.24施工场地：指由发包人提供的用于工程施工的场所以及发包人在图纸中具体指定的供施工使用的任何其他场所。</w:t>
      </w:r>
    </w:p>
    <w:p w14:paraId="549BDFC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1.25书面形式：指合同书、信件和数据电文</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包括电报、电传、传真、电子数据交换和电子邮件</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等可以有形地表现所载内容的形式。</w:t>
      </w:r>
    </w:p>
    <w:p w14:paraId="655610E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1.26违约责任：指合同一方不履行合同义务或履行合同义务不符合约定所应承担的责任。</w:t>
      </w:r>
    </w:p>
    <w:p w14:paraId="3878432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1.27索赔：指在合同履行过程中，对于并非自己的过错，而是应由对方承担责任的情况造成的实际损失，向对方提出经济补偿和</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或</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工期顺延的要求。</w:t>
      </w:r>
    </w:p>
    <w:p w14:paraId="1B48FD2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1.28不可抗力：指不能预见、不能避免并不能克服的客观情况。</w:t>
      </w:r>
    </w:p>
    <w:p w14:paraId="65776F1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1.29小时或天：本合同中规定按小时计算时间的，从事件有效开始时计算</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不扣除休息时间</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规定按天计算时间的，开始当天不计入，从次日开始计算。时限的最后一天是休息日或者其他法定节假日的，以节假日次日为时限的最后一天，但竣工日期除外。时限的最后一天的截止时间为当日24时。</w:t>
      </w:r>
    </w:p>
    <w:p w14:paraId="09E4F1F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2、合同文件及解释顺序</w:t>
      </w:r>
    </w:p>
    <w:p w14:paraId="1786C96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2.1合同文件应能相互解释，互为说明。除专用条款另有约定外，组成本合同的文件及优先解释顺序如下：</w:t>
      </w:r>
    </w:p>
    <w:p w14:paraId="6381AFE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1、本合同协议书</w:t>
      </w:r>
    </w:p>
    <w:p w14:paraId="765ABBD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2、本合同专用条款</w:t>
      </w:r>
    </w:p>
    <w:p w14:paraId="1059AE1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3、本合同通用条款</w:t>
      </w:r>
    </w:p>
    <w:p w14:paraId="5940720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4、中标通知书</w:t>
      </w:r>
    </w:p>
    <w:p w14:paraId="4613C10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5、投标书、工程报价单或预算书及其附件</w:t>
      </w:r>
    </w:p>
    <w:p w14:paraId="61B907D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6、招标文件、答疑纪要及工程量清单</w:t>
      </w:r>
    </w:p>
    <w:p w14:paraId="085C37E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7、图纸</w:t>
      </w:r>
    </w:p>
    <w:p w14:paraId="3AFD173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8、标准、规范及有关技术文件</w:t>
      </w:r>
    </w:p>
    <w:p w14:paraId="652659A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双方为履行本合同的有关洽商、变更等书面协议、文件，视为本合同的组成部分。</w:t>
      </w:r>
    </w:p>
    <w:p w14:paraId="4EE2C23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2.2当合同文件内容含糊不清或不相一致时，在不影响工程正常进行的情况下，由发包人承包人协商解决。双方也可以提请负责监理的工程师</w:t>
      </w:r>
      <w:r>
        <w:rPr>
          <w:rFonts w:hint="eastAsia" w:ascii="宋体" w:hAnsi="宋体" w:eastAsia="宋体" w:cs="宋体"/>
          <w:spacing w:val="0"/>
          <w:w w:val="100"/>
          <w:position w:val="0"/>
          <w:sz w:val="24"/>
          <w:szCs w:val="24"/>
          <w:lang w:eastAsia="zh-CN"/>
        </w:rPr>
        <w:t>作出解释</w:t>
      </w:r>
      <w:r>
        <w:rPr>
          <w:rFonts w:hint="eastAsia" w:ascii="宋体" w:hAnsi="宋体" w:eastAsia="宋体" w:cs="宋体"/>
          <w:spacing w:val="0"/>
          <w:w w:val="100"/>
          <w:position w:val="0"/>
          <w:sz w:val="24"/>
          <w:szCs w:val="24"/>
        </w:rPr>
        <w:t>。双方协商不成或不同意负责监理的工程师的解释时，按本通用条款第41条关于争议的约定处理。</w:t>
      </w:r>
    </w:p>
    <w:p w14:paraId="02EFF46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3、语言文字和适用</w:t>
      </w:r>
      <w:r>
        <w:rPr>
          <w:rFonts w:hint="eastAsia" w:ascii="宋体" w:hAnsi="宋体" w:eastAsia="宋体" w:cs="宋体"/>
          <w:spacing w:val="0"/>
          <w:w w:val="100"/>
          <w:position w:val="0"/>
          <w:sz w:val="24"/>
          <w:szCs w:val="24"/>
          <w:lang w:eastAsia="zh-CN"/>
        </w:rPr>
        <w:t>的法</w:t>
      </w:r>
      <w:r>
        <w:rPr>
          <w:rFonts w:hint="eastAsia" w:ascii="宋体" w:hAnsi="宋体" w:eastAsia="宋体" w:cs="宋体"/>
          <w:spacing w:val="0"/>
          <w:w w:val="100"/>
          <w:position w:val="0"/>
          <w:sz w:val="24"/>
          <w:szCs w:val="24"/>
        </w:rPr>
        <w:t>律、标准及规范</w:t>
      </w:r>
    </w:p>
    <w:p w14:paraId="302A822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3.1语言文字</w:t>
      </w:r>
    </w:p>
    <w:p w14:paraId="5C72AD4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本合同文件使用汉语语言文字书写、解释和说明。如专用条款约定使用两种以上</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含两种</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语言文字时，汉语应为解释和说明本合同的标准语言文字。</w:t>
      </w:r>
    </w:p>
    <w:p w14:paraId="652C4C0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3.2适用法律和法规</w:t>
      </w:r>
    </w:p>
    <w:p w14:paraId="6DAF4A0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本合同文件适用国家的法律和行政法规。需要明示的法律、行政法规，由双方在专用条款中约定。</w:t>
      </w:r>
    </w:p>
    <w:p w14:paraId="62C1F05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3.3适用标准、规范</w:t>
      </w:r>
    </w:p>
    <w:p w14:paraId="4B85D09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197E2F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0874FC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本条所发生的购买、翻译标准、规范或制定施工工艺的费用，由发包人承担。</w:t>
      </w:r>
    </w:p>
    <w:p w14:paraId="4512DF3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4、图纸</w:t>
      </w:r>
    </w:p>
    <w:p w14:paraId="1BF558F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658DFC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4.2承包人未经发包人同意，不得将本工程图纸转给第三人。工程质量保修期满后，除承包人存档需要的图纸外，应将全部图纸退还给发包人。</w:t>
      </w:r>
    </w:p>
    <w:p w14:paraId="52D4611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4.3承包人应在施工现场保留一套完整图纸，供工程师及有关人员进行工程检查时使用。</w:t>
      </w:r>
    </w:p>
    <w:p w14:paraId="520640F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二、双方一般权利和义务</w:t>
      </w:r>
    </w:p>
    <w:p w14:paraId="6698A30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5、工程师</w:t>
      </w:r>
    </w:p>
    <w:p w14:paraId="65962EF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5.1实行工程监理的，发包人应在实施监理前将委托的监理单位名称、监理内容及监理权限以书面形式通知承包人。</w:t>
      </w:r>
    </w:p>
    <w:p w14:paraId="45B5D6C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9E7D99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BED8AE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B9F1A4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5.5除合同内有明确约定或经发包人同意外，负责监理的工程师无权解除本合同约定的承包人的任何权利与义务。</w:t>
      </w:r>
    </w:p>
    <w:p w14:paraId="2E5A5B8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5.6不实行工程监理的，本合同中工程师专指发包人派驻施工场地履行合同的代表，其具体职权由发包人在专用条款内写明。</w:t>
      </w:r>
    </w:p>
    <w:p w14:paraId="29DE312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6、工程师的委派和指令</w:t>
      </w:r>
    </w:p>
    <w:p w14:paraId="49E3ACE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B30D48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sectPr>
          <w:footerReference r:id="rId6" w:type="default"/>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799C342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2374D5B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除工程师或工程师代表外，发包人派驻工地的其他人员均无权向承包人发出任何指令。</w:t>
      </w:r>
    </w:p>
    <w:p w14:paraId="4C4F750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CDB8F6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B14CE0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本款规定同样适用于由工程师代表发出的指令、通知。</w:t>
      </w:r>
    </w:p>
    <w:p w14:paraId="7130FE2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B233F9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6.4如需更换工程师，发包人应至少提前7天以书面形式通知承包人，后任继续行使合同文件约定的前任的职权，履行前任的义务。</w:t>
      </w:r>
    </w:p>
    <w:p w14:paraId="03DE2B8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7、项目经理</w:t>
      </w:r>
    </w:p>
    <w:p w14:paraId="4A34D11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7.1项目经理的姓名、职务在专用条款内写明。</w:t>
      </w:r>
    </w:p>
    <w:p w14:paraId="5745C3C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7.2承包人依据合同发出的通知，以书面形式由项目经理签字后送交工程师，工程师在回执上签署姓名和收到时间后生效。</w:t>
      </w:r>
    </w:p>
    <w:p w14:paraId="505E2E2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7.3项目经理按发包人认可的施工组织设计</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施工方案</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1E453D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7.4承包人如需要更换项目经理，应至少提前7天以书面形式通知发包人，并征得发包人同意。后任继续行使合同文件约定的前任的职权，履行前任的义务。</w:t>
      </w:r>
    </w:p>
    <w:p w14:paraId="159A617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7.5发包人可以与承包人协商，建议更换其认为不称职的项目经理。</w:t>
      </w:r>
    </w:p>
    <w:p w14:paraId="07CF53F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8、发包人工作</w:t>
      </w:r>
    </w:p>
    <w:p w14:paraId="1E118B7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8.1发包人按专用条款约定的内容和时间完成以下工作：</w:t>
      </w:r>
    </w:p>
    <w:p w14:paraId="76DE14B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办理土地征用、拆迁补偿、平整施工场地等工作，使施工场地具备施工条件，在开工后继续负责解决以上事项遗留问题；</w:t>
      </w:r>
    </w:p>
    <w:p w14:paraId="091A79D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将施工所需水、电、电讯线路从施工场地外部接至专用条款约定地点，保证施工期间的需要；</w:t>
      </w:r>
    </w:p>
    <w:p w14:paraId="68D4D0A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开通施工场地与城乡公共道路的通道，以及专用条款约定的施工场地内的主要道路，满足施工运输的需要，保证施工期间的畅通；</w:t>
      </w:r>
    </w:p>
    <w:p w14:paraId="5C2F03C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向承包人提供施工场地的工程地质和地下管线资料，对资料的真实准确性负责；</w:t>
      </w:r>
    </w:p>
    <w:p w14:paraId="0C6C8BF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办理施工许可证</w:t>
      </w:r>
      <w:r>
        <w:rPr>
          <w:rFonts w:hint="eastAsia" w:ascii="宋体" w:hAnsi="宋体" w:eastAsia="宋体" w:cs="宋体"/>
          <w:spacing w:val="0"/>
          <w:w w:val="100"/>
          <w:position w:val="0"/>
          <w:sz w:val="24"/>
          <w:szCs w:val="24"/>
          <w:lang w:eastAsia="zh-CN"/>
        </w:rPr>
        <w:t>及其他</w:t>
      </w:r>
      <w:r>
        <w:rPr>
          <w:rFonts w:hint="eastAsia" w:ascii="宋体" w:hAnsi="宋体" w:eastAsia="宋体" w:cs="宋体"/>
          <w:spacing w:val="0"/>
          <w:w w:val="100"/>
          <w:position w:val="0"/>
          <w:sz w:val="24"/>
          <w:szCs w:val="24"/>
        </w:rPr>
        <w:t>施工所需批件和临时用地、停水、停电、中断道路交通、爆破作业等的证件申请批准手续</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证明承包人自身资质的证件除外</w:t>
      </w:r>
      <w:r>
        <w:rPr>
          <w:rFonts w:hint="eastAsia" w:ascii="宋体" w:hAnsi="宋体" w:eastAsia="宋体" w:cs="宋体"/>
          <w:spacing w:val="0"/>
          <w:w w:val="100"/>
          <w:position w:val="0"/>
          <w:sz w:val="24"/>
          <w:szCs w:val="24"/>
          <w:lang w:eastAsia="zh-CN"/>
        </w:rPr>
        <w:t>）；</w:t>
      </w:r>
    </w:p>
    <w:p w14:paraId="4438AAF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确定水准点与坐标控制点，以书面形式交给承包人，进行现场交验；</w:t>
      </w:r>
    </w:p>
    <w:p w14:paraId="40189EA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7</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组织承包人和设计单位进行图纸会审和设计交底；</w:t>
      </w:r>
    </w:p>
    <w:p w14:paraId="642D4EC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8</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协调处理施工场地周围地下管线和邻近建筑物、构筑物</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包括文物保护建筑</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、古树名木的保护工作、承担有关费用；</w:t>
      </w:r>
    </w:p>
    <w:p w14:paraId="3AEB53D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9</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发包人应做的其他工作，双方在专用条款内约定。</w:t>
      </w:r>
    </w:p>
    <w:p w14:paraId="77601F8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8.2发包人可以将8.1款部分工作委托承包人办理，双方在专用条款内约定，其费用由发包人承担。</w:t>
      </w:r>
    </w:p>
    <w:p w14:paraId="4174618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8.3发包人未能履行8.1款各项义务，导致工期延误或给承包人造成损失的，发包人赔偿承包人有关损失，顺延延误的工期。</w:t>
      </w:r>
    </w:p>
    <w:p w14:paraId="3F3FCE5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9、承包人工作</w:t>
      </w:r>
    </w:p>
    <w:p w14:paraId="7DAE2E7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9.1承包人按专用条款约定的内容和时间完成以下工作：</w:t>
      </w:r>
    </w:p>
    <w:p w14:paraId="07612D7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根据发包人委托，在其设计资质等级和业务允许的范围内，完成施工图设计或与工程配套的设计，经工程师确认后使用，发包人承担由此发生的费用；</w:t>
      </w:r>
    </w:p>
    <w:p w14:paraId="30924EE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向工程师提供年、季、月度工程进度计划及相应进度统计报表；</w:t>
      </w:r>
    </w:p>
    <w:p w14:paraId="35541C1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sectPr>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1C65EBD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根据工程需要，提供和维修非夜间施工使用的照明、围栏设施；负责施工现场安全保卫；</w:t>
      </w:r>
    </w:p>
    <w:p w14:paraId="3D11D62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按专用条款约定的数量和要求，向发包人提供施工场地办公和生活的房屋及设施，发包人承担由此发生的费用；</w:t>
      </w:r>
    </w:p>
    <w:p w14:paraId="29536B9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遵守政府有关主管部门对施工场地安全防护、文明施工、环境保护以及场地交通等的管理规定，按规定办理有关手续，并以书面形式通知发包人。</w:t>
      </w:r>
    </w:p>
    <w:p w14:paraId="71F42BC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517844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7</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按专用条款约定做好施工场地地下管线和邻近建筑物、构筑物</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包括文物保护建筑</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、古树名木的保护工作；</w:t>
      </w:r>
    </w:p>
    <w:p w14:paraId="20A35E5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8</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保证施工场地清洁符合环境卫生管理的有关规定，交工前清理现场达到专用条款约定的要求，承担因自身原因违反有关规定造成的损失和罚款；</w:t>
      </w:r>
    </w:p>
    <w:p w14:paraId="7689615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9</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承包人应做的其他工作，双方在专用条款内约定。</w:t>
      </w:r>
    </w:p>
    <w:p w14:paraId="574F2BC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9.2承包人未能履行9.1款各项义务，造成发包人损失的，承包人赔偿发包人有关损失。</w:t>
      </w:r>
    </w:p>
    <w:p w14:paraId="1D3A24C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三、施工组织设计和工期</w:t>
      </w:r>
    </w:p>
    <w:p w14:paraId="6595219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10、进度计划</w:t>
      </w:r>
    </w:p>
    <w:p w14:paraId="51B8766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10.1承包人应按专用条款约定的日期，将施工组织设计和工程进度计划提交工程师，工程师按专用条款约定的时间予以确认或提出修改意见，逾期不确认也不提出书面意见的，视为同意。</w:t>
      </w:r>
    </w:p>
    <w:p w14:paraId="3D2B533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10.2群体工程中单位工程分期进行施工的，承包人应按照发包人提供图纸及有关资料的时间，按单位工程编制进度计划，其具体内容双方在专用条款中约定。</w:t>
      </w:r>
    </w:p>
    <w:p w14:paraId="4771D4D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10.3承包人必须按工程师确认的进度计划组织施工，接受工程师对进度的检查、监督。</w:t>
      </w:r>
    </w:p>
    <w:p w14:paraId="2C7EB85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工程实际进度与经确认的进度计划不符时，承包人应按工程师的要求提出改进措施，经工程师确认后执行。因承包人的原因导致实际进度与进度计划不符，承包人无权就改进措施提出追加合同价款。</w:t>
      </w:r>
    </w:p>
    <w:p w14:paraId="207AB9A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11、开工及延期开工</w:t>
      </w:r>
    </w:p>
    <w:p w14:paraId="0FD14C1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A7ADEE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11.2因发包人原因不能按照协议书约定的开工日期开工，工程师应以书面形式通知承包人，推迟开工日期。发包人赔偿承包人因延期开工造成的损失，并相应顺延工期。</w:t>
      </w:r>
    </w:p>
    <w:p w14:paraId="7956482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12、暂停施工</w:t>
      </w:r>
    </w:p>
    <w:p w14:paraId="567BC3C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工程师认为确有必要暂停施工时，应当以书面形式要求承包人暂停施工，并在提出要求后48小时内提出书面处理意见。承包人应当按工程师要求停止施工，并妥善保护</w:t>
      </w:r>
      <w:r>
        <w:rPr>
          <w:rFonts w:hint="eastAsia" w:ascii="宋体" w:hAnsi="宋体" w:eastAsia="宋体" w:cs="宋体"/>
          <w:spacing w:val="0"/>
          <w:w w:val="100"/>
          <w:position w:val="0"/>
          <w:sz w:val="24"/>
          <w:szCs w:val="24"/>
          <w:lang w:eastAsia="zh-CN"/>
        </w:rPr>
        <w:t>已完工程</w:t>
      </w:r>
      <w:r>
        <w:rPr>
          <w:rFonts w:hint="eastAsia" w:ascii="宋体" w:hAnsi="宋体" w:eastAsia="宋体" w:cs="宋体"/>
          <w:spacing w:val="0"/>
          <w:w w:val="100"/>
          <w:position w:val="0"/>
          <w:sz w:val="24"/>
          <w:szCs w:val="24"/>
        </w:rPr>
        <w:t>。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43CF14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13、工期延误</w:t>
      </w:r>
    </w:p>
    <w:p w14:paraId="2883ED4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13.1因以下原因造成工期延误，经工程师确认，工期相应顺延：</w:t>
      </w:r>
    </w:p>
    <w:p w14:paraId="1799F11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发包人未能按专用条款的约定提供图纸及开工条件；</w:t>
      </w:r>
    </w:p>
    <w:p w14:paraId="034FD11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发包人未能按约定日期支付工程预付款、进度款，致使施工不能正常进行；</w:t>
      </w:r>
    </w:p>
    <w:p w14:paraId="031D47A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工程师未按合同约定提供所需指令、批准等，致使施工不能正常进行；</w:t>
      </w:r>
    </w:p>
    <w:p w14:paraId="4FDED43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设计变更和工程量增加；</w:t>
      </w:r>
    </w:p>
    <w:p w14:paraId="0B688FF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一周内非承包人原因停水、停电、停气造成停工累计超过8小时；</w:t>
      </w:r>
    </w:p>
    <w:p w14:paraId="5A60E16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不可抗力；</w:t>
      </w:r>
    </w:p>
    <w:p w14:paraId="64B3DDC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7</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专用条款中约定或工程师同意工期顺延的其他情况。</w:t>
      </w:r>
    </w:p>
    <w:p w14:paraId="3E431F1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13.2承包人在13.1款情况发生后14天内，就延误的工期以书面形式向工程师提出报告。工程师在收到报告后14天内予以确认，逾期不予确认也不提出修改意见，视为同意顺延工期。</w:t>
      </w:r>
    </w:p>
    <w:p w14:paraId="6389BF6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14、工程竣工</w:t>
      </w:r>
    </w:p>
    <w:p w14:paraId="33AE6C1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14.1承包人必须按照协议书约定的竣工日期或工程师同意顺延的工期竣工。</w:t>
      </w:r>
    </w:p>
    <w:p w14:paraId="1CF9B71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14.2因承包人原因不能按照协议书约定的竣工日期或工程师同意顺延的工期竣工的，承包人承担违约责任。</w:t>
      </w:r>
    </w:p>
    <w:p w14:paraId="7DC8DB1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sectPr>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2C1B1AE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94181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四、质量与检验</w:t>
      </w:r>
    </w:p>
    <w:p w14:paraId="2660B22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15、工程质量</w:t>
      </w:r>
    </w:p>
    <w:p w14:paraId="4F2DA3F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15.1工程质量应当达到协议书约定的质量标准，质量标准的评定以国家或行业的质量检验评定标准为依据。因承包人原因工程质量达不到约定的质量标准，承包人承担违约责任。</w:t>
      </w:r>
    </w:p>
    <w:p w14:paraId="572BDDD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15.2双方对工程质量有争议，由双方同意的工程质量检测机构鉴定，所需费用及因此造成的损失，由责任方承担。双方均有责任，由双方根据其责任分别承担。</w:t>
      </w:r>
    </w:p>
    <w:p w14:paraId="19019EB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16、检查和返工</w:t>
      </w:r>
    </w:p>
    <w:p w14:paraId="2B974A8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16.1承包人应认真按照标准、规范和设计图纸要求以及工程师依据合同发出的指令施工，随时接受工程师的检查检验，为检查检验提供便利条件。</w:t>
      </w:r>
    </w:p>
    <w:p w14:paraId="7B2C87E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F77902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14:paraId="1D2467F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16.4因工程师指令失误或其他非承包人原因发生的追加合同价款，由发包人承担。</w:t>
      </w:r>
    </w:p>
    <w:p w14:paraId="43121E4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17、隐蔽工程和中间验收</w:t>
      </w:r>
    </w:p>
    <w:p w14:paraId="50E5423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E0A68F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6E078C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17.3经工程师验收，工程质量符合标准、规范和设计图纸等要求，验收24小时后，工程师不在验收记录上签字，视为工程师已经认可验收记录，承包人可进行隐蔽或继续施工。</w:t>
      </w:r>
    </w:p>
    <w:p w14:paraId="6D8C7D6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18、重新检验</w:t>
      </w:r>
    </w:p>
    <w:p w14:paraId="0082CF1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C0E0DC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19、工程试车</w:t>
      </w:r>
    </w:p>
    <w:p w14:paraId="25A0826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19.1双方约定需要试车的，试车内容应与承包人承包的安装范围相一致。</w:t>
      </w:r>
    </w:p>
    <w:p w14:paraId="6D08EAA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E0F1C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19.3工程师不能按时参加试车，须在开始试车前24小时以书面形式向承包人提出延期要求，延期不能超过48小时。工程师未能按以上时间提出延期要求，不参加试车，应承认试车记录。</w:t>
      </w:r>
    </w:p>
    <w:p w14:paraId="4C811C7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4FAB1D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19.5双方责任</w:t>
      </w:r>
    </w:p>
    <w:p w14:paraId="3E9C712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由于设计原因试车达不到验收要求，发包人应要求设计单位修改设计，承包人按修改后的设计重新安装。发包人承担修改设计、拆除及重新安装的全部费用和追加合同价款，工期相应顺延。</w:t>
      </w:r>
    </w:p>
    <w:p w14:paraId="04B4C6F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9B7F5F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由于承包人施工原因试车达不到验收要求，承包人按工程师要求重新安装和试车，并承担重新安装和试车的费用，工期不予顺延。</w:t>
      </w:r>
    </w:p>
    <w:p w14:paraId="0D9C40D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试车费用除已包括在合同价款之内或专用条款另有约定外，均由发包人承担。</w:t>
      </w:r>
    </w:p>
    <w:p w14:paraId="706A1F2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工程师在试车合格后不在试车记录上签字，试车结束24小时后，视为工程师已经认可试车记录，承包人可继续施工或办理竣工手续。</w:t>
      </w:r>
    </w:p>
    <w:p w14:paraId="2C276FA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19.6投料试车应在工程竣工验收后由发包人负责，如发包人要求在工程竣工验收前进行或需要承包人配合时，应征得承包人同意，另行签订补充协议。</w:t>
      </w:r>
    </w:p>
    <w:p w14:paraId="377D06D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五、安全防护、文明施工</w:t>
      </w:r>
    </w:p>
    <w:p w14:paraId="20C0169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20、发包人责任</w:t>
      </w:r>
    </w:p>
    <w:p w14:paraId="388F09E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20.1发包人应遵守安全防护和文明施工的规定，督促承包人落实安全防护、文明施工措施，并按规定支付安全防护、文明施工措施费。</w:t>
      </w:r>
    </w:p>
    <w:p w14:paraId="1D3662C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20.2发包人应对其在施工现场人员进行安全防护、文明施工教育，并对他们的安全负责。</w:t>
      </w:r>
    </w:p>
    <w:p w14:paraId="69DB421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385B90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20.4发包人违反上述规定或由于发包人原因导致安全事故的，由发包人承担相应责任和费用，顺延延误的工期。</w:t>
      </w:r>
    </w:p>
    <w:p w14:paraId="5B6C572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21、承包人责任</w:t>
      </w:r>
    </w:p>
    <w:p w14:paraId="307A2E7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21.1承包人应遵守安全防护和文明施工的规定，建立健全安全防护和文明施工的制度，对其在施工现场人员进行安全防护、文明施工教育，并对他们的安全负责。</w:t>
      </w:r>
    </w:p>
    <w:p w14:paraId="03DDF3E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21.2完善安全防护和文明施工条件，严格按照安全防护和文明施工的规定组织施工，采取必要的安全防护措施，消除事故隐患，自觉接受和配合依法实施的监督检查。</w:t>
      </w:r>
    </w:p>
    <w:p w14:paraId="688F4D7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w:t>
      </w:r>
      <w:r>
        <w:rPr>
          <w:rFonts w:hint="eastAsia" w:ascii="宋体" w:hAnsi="宋体" w:eastAsia="宋体" w:cs="宋体"/>
          <w:spacing w:val="0"/>
          <w:w w:val="100"/>
          <w:position w:val="0"/>
          <w:sz w:val="24"/>
          <w:szCs w:val="24"/>
          <w:lang w:eastAsia="zh-CN"/>
        </w:rPr>
        <w:t>其他</w:t>
      </w:r>
      <w:r>
        <w:rPr>
          <w:rFonts w:hint="eastAsia" w:ascii="宋体" w:hAnsi="宋体" w:eastAsia="宋体" w:cs="宋体"/>
          <w:spacing w:val="0"/>
          <w:w w:val="100"/>
          <w:position w:val="0"/>
          <w:sz w:val="24"/>
          <w:szCs w:val="24"/>
        </w:rPr>
        <w:t>工作等。</w:t>
      </w:r>
    </w:p>
    <w:p w14:paraId="49882CE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21.4应按规定的范围使用安全文明措施费，保证专款专用，不得</w:t>
      </w:r>
      <w:r>
        <w:rPr>
          <w:rFonts w:hint="eastAsia" w:ascii="宋体" w:hAnsi="宋体" w:eastAsia="宋体" w:cs="宋体"/>
          <w:spacing w:val="0"/>
          <w:w w:val="100"/>
          <w:position w:val="0"/>
          <w:sz w:val="24"/>
          <w:szCs w:val="24"/>
          <w:lang w:eastAsia="zh-CN"/>
        </w:rPr>
        <w:t>挪作他用</w:t>
      </w:r>
      <w:r>
        <w:rPr>
          <w:rFonts w:hint="eastAsia" w:ascii="宋体" w:hAnsi="宋体" w:eastAsia="宋体" w:cs="宋体"/>
          <w:spacing w:val="0"/>
          <w:w w:val="100"/>
          <w:position w:val="0"/>
          <w:sz w:val="24"/>
          <w:szCs w:val="24"/>
        </w:rPr>
        <w:t>。</w:t>
      </w:r>
    </w:p>
    <w:p w14:paraId="6BD33B0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21.5承包人对合同工程的安全施工负责，并应及时、如实报告生产安全事故。承包人违反上述规定或由于承包人原因造成的安全事故，由承包人承担相应责任和费用，工期不予顺延。</w:t>
      </w:r>
    </w:p>
    <w:p w14:paraId="16E7D90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22、合同工程临近动力设备、输电线路、地下管道、密封防震车间、易燃易爆地段、建</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构</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筑物以及临街交通要道施工时，按有关规定应当采取防护措施的，施工开始前承包人应向工程师提出安全防护措施，经工程师认可后实施。防护措施费由发包人承担。</w:t>
      </w:r>
    </w:p>
    <w:p w14:paraId="3CFE1E5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23、实施爆破作业，在放射、毒害性环境中施工</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含储存、运输、使用</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及使用毒害性、腐蚀性物品施工时，承包人应在施工前14天以书面通知工程师，并提出相应的安全防护措施，经工程师认可后实施，由发包人承担安全防护措施费用。</w:t>
      </w:r>
    </w:p>
    <w:p w14:paraId="79E015D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24、事故处理</w:t>
      </w:r>
    </w:p>
    <w:p w14:paraId="4AC3053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24.1发生伤亡及其他安全事故，承包人应按有关规定立即上报有关部门并通知工程师，同时按政府有关部门要求处理，由事故责任方承担发生的费用。</w:t>
      </w:r>
    </w:p>
    <w:p w14:paraId="345CF4A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24.2发包人承包人对事故责任有争议时，应按政府有关部门的认定处理。</w:t>
      </w:r>
    </w:p>
    <w:p w14:paraId="48FA562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2"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六、合同价款</w:t>
      </w:r>
    </w:p>
    <w:p w14:paraId="2778B2F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25、工程的计量规则和计价办法以《陕西省建设工程工程量清单计价规则》及相关规定为准，工程师应按照合同约定，依据上述规定进行工程计量和计价。</w:t>
      </w:r>
    </w:p>
    <w:p w14:paraId="0441B04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26、合同价款约定</w:t>
      </w:r>
    </w:p>
    <w:p w14:paraId="75489CF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26.1招标工程的合同价款由发包人承包人依据中标通知书中的中标价格在协议书内约定。非招标工程的合同价款由发包人承包人依据双方确认的工程预算书在协议书内约定。</w:t>
      </w:r>
    </w:p>
    <w:p w14:paraId="517690A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26.2合同价款在协议书内约定后，任何一方不得擅自改变。下列三种确定合同价款的方式，双方可在专用条款内约定采用其中一种：</w:t>
      </w:r>
    </w:p>
    <w:p w14:paraId="0E81278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固定总价合同。合同工期较短且工程合同总价较低的工程，可以采用固定总价合同方式。</w:t>
      </w:r>
    </w:p>
    <w:p w14:paraId="5DF206D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固定综合单价合同。一般适用于工程量清单计价项目。双方在专用条款内约定综合单价包含的风险范围，在约定的风险范围内综合单价不再调整。风险范围以外的综合单价调整方法应当在专用条款内约定。</w:t>
      </w:r>
    </w:p>
    <w:p w14:paraId="1A95F5B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可调价格合同。可调价格包括可调综合单价和措施项目费用等，双方应在专用条款内约定综合单价和措施项目费的调整方法。</w:t>
      </w:r>
    </w:p>
    <w:p w14:paraId="7B67E08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27、合同价款调整</w:t>
      </w:r>
    </w:p>
    <w:p w14:paraId="2E74CBE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27.1价格中工程量、综合单价、措施项目费用的调整因素包括：</w:t>
      </w:r>
    </w:p>
    <w:p w14:paraId="7E82AD5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法律、行政法规和国家有关政策变化影响合同价款；</w:t>
      </w:r>
    </w:p>
    <w:p w14:paraId="1037894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工程造价管理机构的价格调整；</w:t>
      </w:r>
    </w:p>
    <w:p w14:paraId="5BE277C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经批准的设计变更；</w:t>
      </w:r>
    </w:p>
    <w:p w14:paraId="639674D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发包人更改经审定批准的施工组织设计</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修正错误除外</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造成费用变化；</w:t>
      </w:r>
    </w:p>
    <w:p w14:paraId="1103C17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工程量清单的工程数量与实际工程量不符，按实际工程量进行调整计算；</w:t>
      </w:r>
    </w:p>
    <w:p w14:paraId="04DA197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费用索赔事件或发包人负责的其他情况；</w:t>
      </w:r>
    </w:p>
    <w:p w14:paraId="676E85C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7</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双方在专用条款中约定的其他因素。</w:t>
      </w:r>
    </w:p>
    <w:p w14:paraId="40A3251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F0C1CB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28、工程预付款</w:t>
      </w:r>
    </w:p>
    <w:p w14:paraId="02B40B0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28.1双方应当在专用条款内约定发包人向承包人预付工程款的比例、时间和抵扣方式，</w:t>
      </w:r>
    </w:p>
    <w:p w14:paraId="1E0D6A6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开工后按约定的时间和比例逐次扣回。预付款的预付比例不得低于合同总价的10%</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也不得高于合同总价的30%。预付时间应在双方签订合同后的10个工作日内。</w:t>
      </w:r>
    </w:p>
    <w:p w14:paraId="3657F84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28.2安全防护和文明施工措施费应在专用条款中约定预付方式。合同工期在一年以内的，预付比例不得低于总额的70%</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合同工期在一年以上的</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含一年</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预付比例不得低于总额的50%。</w:t>
      </w:r>
    </w:p>
    <w:p w14:paraId="649B1A8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29、已完工程量确认</w:t>
      </w:r>
    </w:p>
    <w:p w14:paraId="2D04773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29.1承包人应按专用条款约定的方法和时间，向工程师提交已完工程量的报告。工程师接到报告后14天内按设计图纸核实已完工程量</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以下称计量</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并在计量前24小时通知承包人，承包人为计量提供便利条件并派人参加。承包人收到通知后不参加计量，计量结果有效，作为工程价款支付的依据。</w:t>
      </w:r>
    </w:p>
    <w:p w14:paraId="4885DF6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CF2CB2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29.3对承包人超出设计图纸</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含设计变更</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范围和因承包人原因造成返工的工程量，工程师不予计量。</w:t>
      </w:r>
    </w:p>
    <w:p w14:paraId="4580CBE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30、工程进度款结算与支付</w:t>
      </w:r>
    </w:p>
    <w:p w14:paraId="2607A6F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30.1双方应在专用条款内约定工程进度款结算支付方式。结算支付方式分为按月结算支付与分阶段结算支付。</w:t>
      </w:r>
    </w:p>
    <w:p w14:paraId="77E1D4C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30.2在确认计量结果后14天内，发包人应向承包人支付不低于应付款额80%、不高于应付款额90%的工程进度款。按约定时间发包人应扣回的预付款，与工程进度款同期结算抵扣。</w:t>
      </w:r>
    </w:p>
    <w:p w14:paraId="1A3E028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30.3本通用条款第27条确定调整的合同价款，第35条工程变更调整的合同价款及其他条款中约定的追加合同价款，应与工程进度款同期调整支付。</w:t>
      </w:r>
    </w:p>
    <w:p w14:paraId="0416EC8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利率按同期银行贷款利率计</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w:t>
      </w:r>
    </w:p>
    <w:p w14:paraId="6B5A3B8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30.5发包人不按合同约定支付工程进度款，双方又未达成延期付款协议，导致施工无法进行，承包人可停止施工，由发包人承担违约责任。</w:t>
      </w:r>
    </w:p>
    <w:p w14:paraId="4AAFA17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七、材料设备供应</w:t>
      </w:r>
    </w:p>
    <w:p w14:paraId="105B191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31、发包人供应材料设备</w:t>
      </w:r>
    </w:p>
    <w:p w14:paraId="0FAE63B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31.1实行发包人供应材料设备的，双方应当约定发包人供应材料设备的一览表，作为本合同附件</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附件2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。一览表包括发包人供应材料设备的品种、规格、型号、数量、单价、质量等级、提供时间和地点。</w:t>
      </w:r>
    </w:p>
    <w:p w14:paraId="14BA022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31.2发包人按一览表约定的内容提供材料设备，并向承包人提供产品合格证明，对其质量负责。发包人在所供材料设备到货前24小时，以书面形式通知承包人，由承包人派人与发包人共同清点。</w:t>
      </w:r>
    </w:p>
    <w:p w14:paraId="0FDAFB4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55BAE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31.4发包人供应的材料设备与一览表不符时，发包人承担有关责任。发包人应承担责任的具体内容，双方根据下列情况在专用条款内约定：</w:t>
      </w:r>
    </w:p>
    <w:p w14:paraId="1FA491E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材料设备单价与一览表不符，由发包人承担所有价差；</w:t>
      </w:r>
    </w:p>
    <w:p w14:paraId="62D8731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材料设备的品种、规格、型号、质量等级与一览表不符，承包人可拒绝接收保管，由发包人运出施工场地并重新采购；</w:t>
      </w:r>
    </w:p>
    <w:p w14:paraId="7972BE5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发包人供应的材料规格、型号与一览表不符，经发包人同意，承包人可代为调剂串换，由发包人承担相应费用；</w:t>
      </w:r>
    </w:p>
    <w:p w14:paraId="05D9F54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到货地点与一览表不符，由发包人负责运至一览表指定地点；</w:t>
      </w:r>
    </w:p>
    <w:p w14:paraId="32F9A4D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供应数量少于一览表约定的数量时，由发包人补齐，多于一览表约定数量时，发包人负责将多出部分运出施工场地；</w:t>
      </w:r>
    </w:p>
    <w:p w14:paraId="7FF7DFC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到货时间早于一览表约定时间，由发包人承担因此发生的保管费用；到货时间迟于一览表约定的供应时间，发包人赔偿由此造成的承包人损失，造成工期延误的，相应顺延工期；</w:t>
      </w:r>
    </w:p>
    <w:p w14:paraId="3F463F4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31.5发包人供应的材料设备使用前，由承包人负责检验或试验，不合格的不得使用，检验或试验费用由发包人承担。</w:t>
      </w:r>
    </w:p>
    <w:p w14:paraId="55703B9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31.6发包人供应材料设备的结算方法，双方在专用条款内约定。</w:t>
      </w:r>
    </w:p>
    <w:p w14:paraId="7518C5E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32、承包人采购材料设备</w:t>
      </w:r>
    </w:p>
    <w:p w14:paraId="7430E2F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32.1承包人负责采购材料设备的，应按照专用条款约定及设计和有关标准要求采购，并提供产品合格证明，对材料设备质量负责。承包人在材料设备到货前24小时通知工程师清点。</w:t>
      </w:r>
    </w:p>
    <w:p w14:paraId="0886BB6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32.2承包人采购的材料设备与设计标准要求不符时，承包人应按工程师要求的时间运出施工场地，重新采购符合要求的产品，承担由此发生的费用，由此延误的工期不予顺延。</w:t>
      </w:r>
    </w:p>
    <w:p w14:paraId="6FCAF39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32.3承包人采购的材料设备在使用前，承包人应按工程师的要求进行检验或试验，不合格的不得使用，检验或试验费用由承包人承担。</w:t>
      </w:r>
    </w:p>
    <w:p w14:paraId="63907D1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32.4工程师发现承包人采购并使用不符合设计和标准要求的材料设备时，应要求承包人负责修复、拆除或重新采购，由承包人承担发生的费用，由此延误的工期不予顺延。</w:t>
      </w:r>
    </w:p>
    <w:p w14:paraId="11401E2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32.5承包人需要使用代用材料时，应经工程师认可后才能使用，由此增减的合同价款双方以书面形式议定。</w:t>
      </w:r>
    </w:p>
    <w:p w14:paraId="036D7AF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32.6由承包人采购的材料设备，发包人不得指定生产厂或供应商。</w:t>
      </w:r>
    </w:p>
    <w:p w14:paraId="3AD920E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八、工程变更</w:t>
      </w:r>
    </w:p>
    <w:p w14:paraId="19B6EE7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33、工程设计变更</w:t>
      </w:r>
    </w:p>
    <w:p w14:paraId="1E5E00E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0A1414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更改工程有关部分的标高、基线、位置和尺寸；</w:t>
      </w:r>
    </w:p>
    <w:p w14:paraId="1508524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增减合同中约定的工程量；</w:t>
      </w:r>
    </w:p>
    <w:p w14:paraId="4208F3A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改变有关工程的施工时间和顺序；</w:t>
      </w:r>
    </w:p>
    <w:p w14:paraId="3550470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其他有关工程变更需要的附加工作。</w:t>
      </w:r>
    </w:p>
    <w:p w14:paraId="6DFAB2F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因变更导致合同价款的增减及造成的承包人损失，由发包人承担，延误的工期相应顺延。</w:t>
      </w:r>
    </w:p>
    <w:p w14:paraId="77A67EE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33.2施工中承包人不得对原工程设计进行变更。因承包人擅自变更设计发生的费用和由此导致发包人的直接损失，由承包人承担，延误的工期不予顺延。</w:t>
      </w:r>
    </w:p>
    <w:p w14:paraId="1C560B3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33.3承包人在施工中提出的合理化建议涉及到对设计图纸或施工组织设计的更改及对材料、设备的换用，须经工程师同意。未经同意擅自更改或换用时，承包人承担由此发生的费用，</w:t>
      </w:r>
    </w:p>
    <w:p w14:paraId="4327E4F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并赔偿发包人的有关损失，延误的工期不予顺延。工程师同意采用承包人合理化建议，所发生的费用和获得的收益，发包</w:t>
      </w:r>
      <w:r>
        <w:rPr>
          <w:rFonts w:hint="eastAsia" w:ascii="宋体" w:hAnsi="宋体" w:eastAsia="宋体" w:cs="宋体"/>
          <w:spacing w:val="0"/>
          <w:w w:val="100"/>
          <w:position w:val="0"/>
          <w:sz w:val="24"/>
          <w:szCs w:val="24"/>
          <w:lang w:eastAsia="zh-CN"/>
        </w:rPr>
        <w:t>人与</w:t>
      </w:r>
      <w:r>
        <w:rPr>
          <w:rFonts w:hint="eastAsia" w:ascii="宋体" w:hAnsi="宋体" w:eastAsia="宋体" w:cs="宋体"/>
          <w:spacing w:val="0"/>
          <w:w w:val="100"/>
          <w:position w:val="0"/>
          <w:sz w:val="24"/>
          <w:szCs w:val="24"/>
        </w:rPr>
        <w:t>承包人另行约定分担或分享。</w:t>
      </w:r>
    </w:p>
    <w:p w14:paraId="12E5037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34、其他变更</w:t>
      </w:r>
    </w:p>
    <w:p w14:paraId="09FEA3F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合同履行中发包人要求变更工程质量标准及发生其他实质性变更，由双方协商解决。</w:t>
      </w:r>
    </w:p>
    <w:p w14:paraId="65C26F9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35、确定变更价款</w:t>
      </w:r>
    </w:p>
    <w:p w14:paraId="6549D1D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35.1承包人在工程变更确定后14天内，提出变更工程价款的报告，经工程师确认后调整合同价款。变更合同价款按下列方法进行：</w:t>
      </w:r>
    </w:p>
    <w:p w14:paraId="1DF5D53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合同中已有适用于变更工程的综合单价或价格，按合同已有的综合单价或价格变更合同价款；</w:t>
      </w:r>
    </w:p>
    <w:p w14:paraId="7F5384A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合同中只有</w:t>
      </w:r>
      <w:r>
        <w:rPr>
          <w:rFonts w:hint="eastAsia" w:ascii="宋体" w:hAnsi="宋体" w:eastAsia="宋体" w:cs="宋体"/>
          <w:spacing w:val="0"/>
          <w:w w:val="100"/>
          <w:position w:val="0"/>
          <w:sz w:val="24"/>
          <w:szCs w:val="24"/>
          <w:lang w:eastAsia="zh-CN"/>
        </w:rPr>
        <w:t>类似</w:t>
      </w:r>
      <w:r>
        <w:rPr>
          <w:rFonts w:hint="eastAsia" w:ascii="宋体" w:hAnsi="宋体" w:eastAsia="宋体" w:cs="宋体"/>
          <w:spacing w:val="0"/>
          <w:w w:val="100"/>
          <w:position w:val="0"/>
          <w:sz w:val="24"/>
          <w:szCs w:val="24"/>
        </w:rPr>
        <w:t>变更工程的综合单价或价格，可以参照类似综合单价或价格变更合同价款；</w:t>
      </w:r>
    </w:p>
    <w:p w14:paraId="090078D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合同中没有适用或类似于变更工程的综合单价或价格，由承包人或发包人提出综合单价或价格，经双方确认后执行。</w:t>
      </w:r>
    </w:p>
    <w:p w14:paraId="7D99F4B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35.2承包人在双方确定变更后14天内应向工程师提出变更工程价款报告，否则发包人可根据所掌握的资料决定是否调整合同价款和调整的具体金额，并书面通知承包人。</w:t>
      </w:r>
    </w:p>
    <w:p w14:paraId="24BFDB4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35.3工程师应在收到变更工程价款报告之日起14天内予以确认，工程师无正当理由不确认也未提出协商意见时，自变更工程价款报告送达之日起14天后视为变更工程价款报告已被确认。</w:t>
      </w:r>
    </w:p>
    <w:p w14:paraId="0ED8C90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35.4发承包双方对变更价款不能达成一致时，按本通用条款第41条关于争议的约定处理。</w:t>
      </w:r>
    </w:p>
    <w:p w14:paraId="480DE3C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35.5因承包人自身原因导致的工程变更，承包人无权要求追加合同价款。</w:t>
      </w:r>
    </w:p>
    <w:p w14:paraId="1584628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九、竣工验收与结算</w:t>
      </w:r>
    </w:p>
    <w:p w14:paraId="1DDE769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36、竣工验收</w:t>
      </w:r>
    </w:p>
    <w:p w14:paraId="586EEE9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36.1工程具备竣工验收条件，承包人按国家工程竣工验收有关规定，向发包人提供完整竣工资料及竣工验收报告。双方约定由承包人提供竣工图的，应当在专用条款内约定提供的日期和份数。</w:t>
      </w:r>
    </w:p>
    <w:p w14:paraId="13CE864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36.2发包人收到竣工验收报告后28天内组织有关单位验收，并在验收后14天内给予认可或提出修改意见。承包人按要求修改，并承担由自身原因造成修改的费用。</w:t>
      </w:r>
    </w:p>
    <w:p w14:paraId="1480E72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36.3发包人收到承包人送交的竣工验收报告后28天内不组织验收，或验收后14天内不提出修改意见，视为竣工验收报告已被认可。</w:t>
      </w:r>
    </w:p>
    <w:p w14:paraId="0259F5C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36.4工程竣工验收通过，承包人送交竣工验收报告的日期为实际竣工日期。工程按发包人要求修改后通过竣工验收的，实际竣工日期为承包人修改后提请发包人验收的日期。</w:t>
      </w:r>
    </w:p>
    <w:p w14:paraId="70D5A1D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36.5发包人收到承包人竣工验收报告后28天内不组织验收，从第29天起承担工程保管及一切意外责任。</w:t>
      </w:r>
    </w:p>
    <w:p w14:paraId="0E22188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36.6中间交工工程的范围和竣工时间，双方在专用条款内约定，其验收程序按本通用条款36.1款至36.4款办理。</w:t>
      </w:r>
    </w:p>
    <w:p w14:paraId="131B142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36.7因特殊原因，发包人要求部分单位工程或工程部位甩项竣工的，双方另行签订甩项竣工协议，明确双方责任和工程价款的支付方法。</w:t>
      </w:r>
    </w:p>
    <w:p w14:paraId="007EAE8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36.8工程未经竣工验收或竣工验收未通过的，发包人不得使用。发包人强行使用时，由此发生的质量及其他问题，由发包人承担责任。</w:t>
      </w:r>
    </w:p>
    <w:p w14:paraId="59AC5A4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37、竣工结算</w:t>
      </w:r>
    </w:p>
    <w:p w14:paraId="3ADE1AC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37.1工程竣工结算分为单位工程竣工结算、单项工程竣工结算和建设项目竣工总结算。</w:t>
      </w:r>
    </w:p>
    <w:p w14:paraId="346F44F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683DE2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建设项目总结算在最后一个单项工程竣工结算审查确认后，一般在15天以内向发包人提交竣工结算汇总资料。</w:t>
      </w:r>
    </w:p>
    <w:p w14:paraId="26EFA53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37.3发包人收到承包人递交的单位单项工程竣工结算报告及结算资料后，工程竣工结算报告金额在500万元以下的工程一般在20天以内、工程竣工结算报告金额在500万元以上的工程一般在60天以内</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合同约定有期限的，从其约定</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进行审查，给予确认或者提出修改意见。发包人确认竣工结算报告后向承包人支付工程竣工结算价款。</w:t>
      </w:r>
    </w:p>
    <w:p w14:paraId="2350060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37.4承包人收到竣工结算价款后14天内将竣工工程交付发包人。</w:t>
      </w:r>
    </w:p>
    <w:p w14:paraId="722BB96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37.5发包人收到承包人建设项目竣工总结算汇总资料后30天内，审查完成。</w:t>
      </w:r>
    </w:p>
    <w:p w14:paraId="6346E3A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37.6发包人收到竣工结算报告及结算资料后，在本条规定期限内对结算报告及资料没有提出意见则视同认可。</w:t>
      </w:r>
    </w:p>
    <w:p w14:paraId="49E1147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DC7CE8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2C8440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37.9发包人承包人对工程竣工结算价款发生争议时，按本通用条款第41条关于争议的约定处理。</w:t>
      </w:r>
    </w:p>
    <w:p w14:paraId="33055FF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38、质量保证</w:t>
      </w:r>
    </w:p>
    <w:p w14:paraId="1D24074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38.1承包人应按法律、行政法规或国家关于工程质量保修的有关规定，对交付发包人使用的工程在质量保修期内承担质量保修责任。</w:t>
      </w:r>
    </w:p>
    <w:p w14:paraId="2DAB551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38.2质量保修工作的实施。承包人与发包人签订质量保修书，作为本合同附件</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附件3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。发包人应明确保证金预留、返还等内容，并与承包人在合同条款中对涉及保证金的下列事项进行约定：</w:t>
      </w:r>
    </w:p>
    <w:p w14:paraId="3C348F7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保证金预留、返还方式；</w:t>
      </w:r>
    </w:p>
    <w:p w14:paraId="397A67D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保证金预留比例、期限；</w:t>
      </w:r>
    </w:p>
    <w:p w14:paraId="5BC7E76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保证金是否计付利息，如计利息，利息的计算方式；</w:t>
      </w:r>
    </w:p>
    <w:p w14:paraId="45CFD31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缺陷责任期的期限及计算方式；</w:t>
      </w:r>
    </w:p>
    <w:p w14:paraId="55D7613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保证金预留、返还及工程维修质量、费用等争议的处理程序；</w:t>
      </w:r>
    </w:p>
    <w:p w14:paraId="21D372C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缺陷责任期内出现缺陷的索赔方式。</w:t>
      </w:r>
    </w:p>
    <w:p w14:paraId="519B6AB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38.3质量保修书的主要内容包括：</w:t>
      </w:r>
    </w:p>
    <w:p w14:paraId="4CE2647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质量保修项目内容及范围；</w:t>
      </w:r>
    </w:p>
    <w:p w14:paraId="31282C5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质量保修期；</w:t>
      </w:r>
    </w:p>
    <w:p w14:paraId="6041B06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质量保修责任；</w:t>
      </w:r>
    </w:p>
    <w:p w14:paraId="49A82B4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质量保修金的支付方法。</w:t>
      </w:r>
    </w:p>
    <w:p w14:paraId="4AE2BC4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38.4质量保证金按工程价款结算总额3%以内的比例预留。</w:t>
      </w:r>
    </w:p>
    <w:p w14:paraId="4CFA5ED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十、违约、索赔和争议</w:t>
      </w:r>
    </w:p>
    <w:p w14:paraId="605BAE9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39、违约</w:t>
      </w:r>
    </w:p>
    <w:p w14:paraId="1E93CFC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39.1发包人违约。当发生下列情况时：</w:t>
      </w:r>
    </w:p>
    <w:p w14:paraId="72DB945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本通用条款第28.1款提到的发包人不按时支付工程预付款；</w:t>
      </w:r>
    </w:p>
    <w:p w14:paraId="1BC0515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本通用条款第30.5款提到的发包人不按合同约定支付工程款，导致施工无法进行；</w:t>
      </w:r>
    </w:p>
    <w:p w14:paraId="556E7E0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本通用条款第37.6款提到的发包人无正当理由不支付工程竣工结算价款；</w:t>
      </w:r>
    </w:p>
    <w:p w14:paraId="4D3259D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发包人不履行合同义务或不按合同约定履行义务的其他情况。</w:t>
      </w:r>
    </w:p>
    <w:p w14:paraId="39DE3AA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2FD281F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39.2承包人违约。当发生下列情况时：</w:t>
      </w:r>
    </w:p>
    <w:p w14:paraId="19373E8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本通用条款第14.2款提到的因承包人原因不能按照协议书约定的竣工日期或工程师同意顺延的工期竣工；</w:t>
      </w:r>
    </w:p>
    <w:p w14:paraId="3BCBCD5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本通用条款第15.1款提到的因承包人原因工程质量达不到协议书约定的质量标准；</w:t>
      </w:r>
    </w:p>
    <w:p w14:paraId="520ACEE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承包人不履行合同义务或不按合同约定履行义务的其他情况。</w:t>
      </w:r>
    </w:p>
    <w:p w14:paraId="645A5A4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承包人承担违约责任，赔偿因其违约给发包人造成的损失。双方在专用条款内约定承包人赔偿发包人损失的计算方法或者承包人应当支付违约金的数额和计算方法。</w:t>
      </w:r>
    </w:p>
    <w:p w14:paraId="46B76CB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39.3一方违约后，另一方要求违约方继续履行合同时，违约方承担上述违约责任后仍应继续履行合同。</w:t>
      </w:r>
    </w:p>
    <w:p w14:paraId="1795A46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40、索赔</w:t>
      </w:r>
    </w:p>
    <w:p w14:paraId="5125450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40.1当一方向另一方提出索赔时，要有正当索赔理由，且有索赔事件发生时的有效证据。</w:t>
      </w:r>
    </w:p>
    <w:p w14:paraId="4C4155B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40.2发包人未能按合同约定履行自己的各项义务或发生错误以及应由发包人承担责任的其他情况，造成工期延误和</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或</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承包人不能及时得到合同价款及承包人的其他经济损失，承包人可按下列程序以书面形式向发包人索赔：</w:t>
      </w:r>
    </w:p>
    <w:p w14:paraId="521269B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索赔事件发生后28天内，向工程师发出索赔意向通知；</w:t>
      </w:r>
    </w:p>
    <w:p w14:paraId="4CFE79D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发出索赔意向通知后28天内，向工程师提出延长工期和</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或</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补偿经济损失的索赔报告及有关资料；</w:t>
      </w:r>
    </w:p>
    <w:p w14:paraId="21C79A0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工程师在收到承包人送交的索赔报告和有关资料后，于28天内给予答复，或要求承包人进一步补充索赔理由和证据；</w:t>
      </w:r>
    </w:p>
    <w:p w14:paraId="0A17730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工程师在收到承包人送交的索赔报告和有关资料后28天内未予答复或未对承包人作进一步要求，视为该项索赔已经认可；</w:t>
      </w:r>
    </w:p>
    <w:p w14:paraId="42360ED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当该索赔事件持续进行时，承包人应当阶段性向工程师发出索赔意向，在索赔事件终了后28天内，向工程师送交索赔的有关资料和最终索赔报告。索赔答复程序与</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规定相同。</w:t>
      </w:r>
    </w:p>
    <w:p w14:paraId="1262756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40.3承包人未能按合同约定履行自己的各项义务或发生错误，给发包人造成经济损失，发包人可按40.2款确定的时限向承包人提出索赔。</w:t>
      </w:r>
    </w:p>
    <w:p w14:paraId="465D381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41、争议</w:t>
      </w:r>
    </w:p>
    <w:p w14:paraId="6D0E8BB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586497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十一、其他</w:t>
      </w:r>
    </w:p>
    <w:p w14:paraId="0BF8112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42、工程分包</w:t>
      </w:r>
    </w:p>
    <w:p w14:paraId="7DE5402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42.1承包人需要将专业工程或劳务进行分包的，应分包给具有相应资质的专业或劳务企业，并与分包企业签订分包合同。</w:t>
      </w:r>
    </w:p>
    <w:p w14:paraId="6B62DF7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42.2承包人不得将其承包的工程转包给他人，也不得将其承包的工程以分包的名义转包给他人。</w:t>
      </w:r>
    </w:p>
    <w:p w14:paraId="60C2F00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818C6B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42.4分包工程价款由承包人与分包单位结算。发包人未经承包人同意不得以任何形式向分包单位支付各种工程款项。</w:t>
      </w:r>
    </w:p>
    <w:p w14:paraId="5451B36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42.5承包人应按时支付分包工程款及劳务费。若承包人不能按时支付时，发包人可将此部分款项从向承包人支付的工程款中</w:t>
      </w:r>
      <w:r>
        <w:rPr>
          <w:rFonts w:hint="eastAsia" w:ascii="宋体" w:hAnsi="宋体" w:eastAsia="宋体" w:cs="宋体"/>
          <w:spacing w:val="0"/>
          <w:w w:val="100"/>
          <w:position w:val="0"/>
          <w:sz w:val="24"/>
          <w:szCs w:val="24"/>
          <w:lang w:eastAsia="zh-CN"/>
        </w:rPr>
        <w:t>扣除</w:t>
      </w:r>
      <w:r>
        <w:rPr>
          <w:rFonts w:hint="eastAsia" w:ascii="宋体" w:hAnsi="宋体" w:eastAsia="宋体" w:cs="宋体"/>
          <w:spacing w:val="0"/>
          <w:w w:val="100"/>
          <w:position w:val="0"/>
          <w:sz w:val="24"/>
          <w:szCs w:val="24"/>
        </w:rPr>
        <w:t>并直接支付给分包人和劳务人员。</w:t>
      </w:r>
    </w:p>
    <w:p w14:paraId="1889219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43、不可抗力</w:t>
      </w:r>
    </w:p>
    <w:p w14:paraId="3B11ECD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43.1不可抗力包括因战争、动乱、空中飞行物体坠落或其他非发包人承包人责任造成的爆炸、火灾，以及专用条款约定的风、雨、雪、洪、震等自然灾害。</w:t>
      </w:r>
    </w:p>
    <w:p w14:paraId="6BAB882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2D138A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43.3因不可抗力事件导致的费用及延误的工期由双方按以下方法分别承担：</w:t>
      </w:r>
    </w:p>
    <w:p w14:paraId="537E803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工程本身的损害、因工程损害导致第三人人员伤亡和财产损失以及运至施工场地用于施工的材料和待安装的设备的损害，由发包人承担；</w:t>
      </w:r>
    </w:p>
    <w:p w14:paraId="511427B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发包人承包人人员伤亡由其所在单位负责，并承担相应费用；</w:t>
      </w:r>
    </w:p>
    <w:p w14:paraId="61339DE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承包人机械设备损坏及停工损失，由承包人承担；</w:t>
      </w:r>
    </w:p>
    <w:p w14:paraId="0B52A24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停工期间，承包人应工程师要求留在施工场地的必要的管理人员及保卫人员的费用由发包人承担；</w:t>
      </w:r>
    </w:p>
    <w:p w14:paraId="6A98167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工程所需清理、修复费用，由发包人承担；</w:t>
      </w:r>
    </w:p>
    <w:p w14:paraId="0DF3CBF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延误的工期相应顺延。</w:t>
      </w:r>
    </w:p>
    <w:p w14:paraId="68695EE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43.4因合同一方迟延履行合同后发生不可抗力的，不能免除迟延履行方的相应责任。</w:t>
      </w:r>
    </w:p>
    <w:p w14:paraId="09AAD72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44、保险</w:t>
      </w:r>
    </w:p>
    <w:p w14:paraId="1A48C77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44.1工程开工前，发包人为建设工程和施工现场内的自有人员及第三人人员生命财产办理保险，支付保险费用。</w:t>
      </w:r>
    </w:p>
    <w:p w14:paraId="4B08503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44.2发包人供应的运至施工场地内用于工程的材料设备，由发包人办理保险，并支付保险费用。</w:t>
      </w:r>
    </w:p>
    <w:p w14:paraId="20736EF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44.3发包人可以将有关保险事项委托承包人办理，费用由发包人承担。</w:t>
      </w:r>
    </w:p>
    <w:p w14:paraId="2237565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44.4承包人必须为施工场地内施工人员办理意外伤害保险和工伤保险，并为施工场地内的施工机械设备办理财产保险，支付保险费用。</w:t>
      </w:r>
    </w:p>
    <w:p w14:paraId="0C8C8E7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44.5保险事故发生时，发包人承包人有责任尽力采取必要的措施，防止或者减少损失。</w:t>
      </w:r>
    </w:p>
    <w:p w14:paraId="031DCA5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44.6具体投保内容和相关责任，发包人承包人在专用条款中约定。</w:t>
      </w:r>
    </w:p>
    <w:p w14:paraId="38DA3C9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45、担保</w:t>
      </w:r>
    </w:p>
    <w:p w14:paraId="5D9FC74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45.1发包人承包人为了全面履行合同，应互相提供以下担保：</w:t>
      </w:r>
    </w:p>
    <w:p w14:paraId="36A25F7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发包人向承包人提供支付担保，按合同约定支付工程价款及履行合同约定的其他义务。</w:t>
      </w:r>
    </w:p>
    <w:p w14:paraId="1DF0F04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承包人向发包人提供履约担保，按合同约定履行自己的各项义务。</w:t>
      </w:r>
    </w:p>
    <w:p w14:paraId="7F04D8D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45.2一方违约后，另一方可要求提供担保的第三人承担相应责任。</w:t>
      </w:r>
    </w:p>
    <w:p w14:paraId="214262D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45.3提供担保的内容、方式和相关责任，发包人承包人除在专用条款中约定外，被担保方与担保方还应签订担保合同，作为本合同附件。</w:t>
      </w:r>
    </w:p>
    <w:p w14:paraId="3B41581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46、专利技术及特殊工艺</w:t>
      </w:r>
    </w:p>
    <w:p w14:paraId="502C4C1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6FD4510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46.2擅自使用专利技术侵犯他人专利权的，责任者依法承担相应责任。</w:t>
      </w:r>
    </w:p>
    <w:p w14:paraId="7AF4BAB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47、文物和地下障碍物</w:t>
      </w:r>
    </w:p>
    <w:p w14:paraId="34BB110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01B8BC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如发现后隐瞒不报，致使文物遭受破坏，责任者依法承担相应责任。</w:t>
      </w:r>
    </w:p>
    <w:p w14:paraId="63C779F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88CF6D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所发现的地下障碍物有归属单位时，发包人应报请有关部门协同处置。</w:t>
      </w:r>
    </w:p>
    <w:p w14:paraId="5E4A501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48、合同解除</w:t>
      </w:r>
    </w:p>
    <w:p w14:paraId="0AF3273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48.1发包</w:t>
      </w:r>
      <w:r>
        <w:rPr>
          <w:rFonts w:hint="eastAsia" w:ascii="宋体" w:hAnsi="宋体" w:eastAsia="宋体" w:cs="宋体"/>
          <w:spacing w:val="0"/>
          <w:w w:val="100"/>
          <w:position w:val="0"/>
          <w:sz w:val="24"/>
          <w:szCs w:val="24"/>
          <w:lang w:eastAsia="zh-CN"/>
        </w:rPr>
        <w:t>人与</w:t>
      </w:r>
      <w:r>
        <w:rPr>
          <w:rFonts w:hint="eastAsia" w:ascii="宋体" w:hAnsi="宋体" w:eastAsia="宋体" w:cs="宋体"/>
          <w:spacing w:val="0"/>
          <w:w w:val="100"/>
          <w:position w:val="0"/>
          <w:sz w:val="24"/>
          <w:szCs w:val="24"/>
        </w:rPr>
        <w:t>承包人协商一致，可以解除合同。</w:t>
      </w:r>
    </w:p>
    <w:p w14:paraId="73B00B3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48.2发生本通用条款第30.5款情况，停止施工超过56天，发包人仍不支付工程款</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进度款</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承包人有权解除合同。</w:t>
      </w:r>
    </w:p>
    <w:p w14:paraId="0F81927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48.3发生本通用条款第42.2款禁止的情况，发包人有权解除合同。</w:t>
      </w:r>
    </w:p>
    <w:p w14:paraId="038E67A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48.4有下列情形之一的，发包人承包人可以解除合同：</w:t>
      </w:r>
    </w:p>
    <w:p w14:paraId="45A0D0B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因不可抗力致使合同无法履行；</w:t>
      </w:r>
    </w:p>
    <w:p w14:paraId="5EC8BF6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因一方违约</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包括因发包人原因造成工程停建或缓建</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致使合同无法履行。</w:t>
      </w:r>
    </w:p>
    <w:p w14:paraId="78DEF6A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4C98D0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F58518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48.7合同解除后，不影响双方在合同中约定的结算和清理条款的效力。</w:t>
      </w:r>
    </w:p>
    <w:p w14:paraId="0628676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49、合同生效与终止</w:t>
      </w:r>
    </w:p>
    <w:p w14:paraId="12884A5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49.1双方在协议书中约定合同生效方式。</w:t>
      </w:r>
    </w:p>
    <w:p w14:paraId="20ADC65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49.2除本通用条款第38条外，发包人承包人履行合同全部义务，竣工结算价款支付完毕，承包人向发包人交付竣工工程后，本合同即告终止。</w:t>
      </w:r>
    </w:p>
    <w:p w14:paraId="78AD87C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49.3合同的权利义务终止后，发包人承包人应当遵循诚实信用原则，履行通知、协助、保密等义务。</w:t>
      </w:r>
    </w:p>
    <w:p w14:paraId="33771A5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50、合同份数</w:t>
      </w:r>
    </w:p>
    <w:p w14:paraId="3BC09E6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50.1本合同正本两份，具有同等效力，由发包人承包人分别保存一份。</w:t>
      </w:r>
    </w:p>
    <w:p w14:paraId="05BA4E0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50.2本合同副本份数，由双方根据需要在专用条款内约定。</w:t>
      </w:r>
    </w:p>
    <w:p w14:paraId="30D87CB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51、补充条款</w:t>
      </w:r>
    </w:p>
    <w:p w14:paraId="0AB22E2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双方根据有关法律、行政法规规定，结合工程实际经协商一致后，可对本通用条款内容具体化、补充或修改，在专用条款内约定。</w:t>
      </w:r>
    </w:p>
    <w:p w14:paraId="7CCCFF98">
      <w:pPr>
        <w:keepNext w:val="0"/>
        <w:keepLines w:val="0"/>
        <w:pageBreakBefore w:val="0"/>
        <w:widowControl w:val="0"/>
        <w:kinsoku/>
        <w:wordWrap/>
        <w:overflowPunct/>
        <w:topLinePunct w:val="0"/>
        <w:autoSpaceDE w:val="0"/>
        <w:autoSpaceDN w:val="0"/>
        <w:bidi w:val="0"/>
        <w:adjustRightInd w:val="0"/>
        <w:snapToGrid w:val="0"/>
        <w:spacing w:line="372" w:lineRule="auto"/>
        <w:textAlignment w:val="baseline"/>
        <w:rPr>
          <w:rFonts w:ascii="宋体" w:hAnsi="宋体" w:eastAsia="宋体" w:cs="宋体"/>
          <w:spacing w:val="0"/>
          <w:w w:val="100"/>
          <w:position w:val="0"/>
          <w:sz w:val="23"/>
          <w:szCs w:val="23"/>
        </w:rPr>
        <w:sectPr>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46D0E828">
      <w:pPr>
        <w:keepNext w:val="0"/>
        <w:keepLines w:val="0"/>
        <w:pageBreakBefore w:val="0"/>
        <w:widowControl/>
        <w:kinsoku/>
        <w:wordWrap/>
        <w:overflowPunct/>
        <w:topLinePunct w:val="0"/>
        <w:autoSpaceDE w:val="0"/>
        <w:autoSpaceDN w:val="0"/>
        <w:bidi w:val="0"/>
        <w:adjustRightInd w:val="0"/>
        <w:snapToGrid w:val="0"/>
        <w:spacing w:line="360" w:lineRule="auto"/>
        <w:ind w:left="2926"/>
        <w:textAlignment w:val="baseline"/>
        <w:outlineLvl w:val="0"/>
        <w:rPr>
          <w:rFonts w:ascii="宋体" w:hAnsi="宋体" w:eastAsia="宋体" w:cs="宋体"/>
          <w:b/>
          <w:bCs/>
          <w:spacing w:val="0"/>
          <w:w w:val="100"/>
          <w:position w:val="0"/>
          <w:sz w:val="44"/>
          <w:szCs w:val="44"/>
        </w:rPr>
      </w:pPr>
      <w:r>
        <w:rPr>
          <w:rFonts w:ascii="宋体" w:hAnsi="宋体" w:eastAsia="宋体" w:cs="宋体"/>
          <w:b/>
          <w:bCs/>
          <w:spacing w:val="0"/>
          <w:w w:val="100"/>
          <w:position w:val="0"/>
          <w:sz w:val="44"/>
          <w:szCs w:val="44"/>
        </w:rPr>
        <w:t>第三部分</w:t>
      </w:r>
      <w:r>
        <w:rPr>
          <w:rFonts w:hint="eastAsia" w:ascii="宋体" w:hAnsi="宋体" w:eastAsia="宋体" w:cs="宋体"/>
          <w:b/>
          <w:bCs/>
          <w:spacing w:val="0"/>
          <w:w w:val="100"/>
          <w:position w:val="0"/>
          <w:sz w:val="44"/>
          <w:szCs w:val="44"/>
          <w:lang w:val="en-US" w:eastAsia="zh-CN"/>
        </w:rPr>
        <w:t xml:space="preserve"> </w:t>
      </w:r>
      <w:r>
        <w:rPr>
          <w:rFonts w:ascii="宋体" w:hAnsi="宋体" w:eastAsia="宋体" w:cs="宋体"/>
          <w:b/>
          <w:bCs/>
          <w:spacing w:val="0"/>
          <w:w w:val="100"/>
          <w:position w:val="0"/>
          <w:sz w:val="44"/>
          <w:szCs w:val="44"/>
        </w:rPr>
        <w:t>专用条款</w:t>
      </w:r>
    </w:p>
    <w:p w14:paraId="0EEE600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一、词语定义及合同文件</w:t>
      </w:r>
    </w:p>
    <w:p w14:paraId="4CFDCB9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2、合同文件及解释顺序</w:t>
      </w:r>
    </w:p>
    <w:p w14:paraId="5F6C0944">
      <w:pPr>
        <w:keepNext w:val="0"/>
        <w:keepLines w:val="0"/>
        <w:pageBreakBefore w:val="0"/>
        <w:widowControl w:val="0"/>
        <w:tabs>
          <w:tab w:val="left" w:pos="9814"/>
        </w:tabs>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合同文件组成及解释顺序：</w:t>
      </w:r>
      <w:r>
        <w:rPr>
          <w:rFonts w:hint="eastAsia" w:ascii="宋体" w:hAnsi="宋体" w:eastAsia="宋体" w:cs="宋体"/>
          <w:spacing w:val="0"/>
          <w:w w:val="100"/>
          <w:position w:val="0"/>
          <w:sz w:val="24"/>
          <w:szCs w:val="24"/>
          <w:u w:val="single" w:color="auto"/>
        </w:rPr>
        <w:t>本合同协议书、本合同附加条款、本合同专用条款、本合同通用条款、中标通知书、答疑纪要、图纸、招标文件</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含工程量清单及经修订的工程量清单</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、标准、规范及有关技术文件</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其中强制性标准</w:t>
      </w:r>
      <w:r>
        <w:rPr>
          <w:rFonts w:hint="eastAsia" w:ascii="宋体" w:hAnsi="宋体" w:eastAsia="宋体" w:cs="宋体"/>
          <w:spacing w:val="0"/>
          <w:w w:val="100"/>
          <w:position w:val="0"/>
          <w:sz w:val="24"/>
          <w:szCs w:val="24"/>
          <w:u w:val="single" w:color="auto"/>
          <w:lang w:eastAsia="zh-CN"/>
        </w:rPr>
        <w:t>优于其他</w:t>
      </w:r>
      <w:r>
        <w:rPr>
          <w:rFonts w:hint="eastAsia" w:ascii="宋体" w:hAnsi="宋体" w:eastAsia="宋体" w:cs="宋体"/>
          <w:spacing w:val="0"/>
          <w:w w:val="100"/>
          <w:position w:val="0"/>
          <w:sz w:val="24"/>
          <w:szCs w:val="24"/>
          <w:u w:val="single" w:color="auto"/>
        </w:rPr>
        <w:t>条件</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、投标文件、工程报价单或预算书及其附件。</w:t>
      </w:r>
    </w:p>
    <w:p w14:paraId="660B826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3、语言文字和适用法律、标准及规范</w:t>
      </w:r>
    </w:p>
    <w:p w14:paraId="1E4FBC6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3.1本合同除使用</w:t>
      </w:r>
      <w:r>
        <w:rPr>
          <w:rFonts w:hint="eastAsia" w:ascii="宋体" w:hAnsi="宋体" w:eastAsia="宋体" w:cs="宋体"/>
          <w:spacing w:val="0"/>
          <w:w w:val="100"/>
          <w:position w:val="0"/>
          <w:sz w:val="24"/>
          <w:szCs w:val="24"/>
          <w:u w:val="single" w:color="auto"/>
        </w:rPr>
        <w:t>汉语</w:t>
      </w:r>
      <w:r>
        <w:rPr>
          <w:rFonts w:hint="eastAsia" w:ascii="宋体" w:hAnsi="宋体" w:eastAsia="宋体" w:cs="宋体"/>
          <w:spacing w:val="0"/>
          <w:w w:val="100"/>
          <w:position w:val="0"/>
          <w:sz w:val="24"/>
          <w:szCs w:val="24"/>
        </w:rPr>
        <w:t>外，还使用</w:t>
      </w:r>
      <w:r>
        <w:rPr>
          <w:rFonts w:hint="eastAsia" w:ascii="宋体" w:hAnsi="宋体" w:eastAsia="宋体" w:cs="宋体"/>
          <w:spacing w:val="0"/>
          <w:w w:val="100"/>
          <w:position w:val="0"/>
          <w:sz w:val="24"/>
          <w:szCs w:val="24"/>
          <w:u w:val="single" w:color="auto"/>
        </w:rPr>
        <w:t>阿拉伯数字</w:t>
      </w:r>
      <w:r>
        <w:rPr>
          <w:rFonts w:hint="eastAsia" w:ascii="宋体" w:hAnsi="宋体" w:eastAsia="宋体" w:cs="宋体"/>
          <w:spacing w:val="0"/>
          <w:w w:val="100"/>
          <w:position w:val="0"/>
          <w:sz w:val="24"/>
          <w:szCs w:val="24"/>
        </w:rPr>
        <w:t>语言文字</w:t>
      </w:r>
    </w:p>
    <w:p w14:paraId="559BCF9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3.2适用法律、法规和规定</w:t>
      </w:r>
    </w:p>
    <w:p w14:paraId="7C7B60E0">
      <w:pPr>
        <w:keepNext w:val="0"/>
        <w:keepLines w:val="0"/>
        <w:pageBreakBefore w:val="0"/>
        <w:widowControl w:val="0"/>
        <w:tabs>
          <w:tab w:val="left" w:pos="150"/>
          <w:tab w:val="left" w:pos="9724"/>
        </w:tabs>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需要明示的法律、行政法规</w:t>
      </w:r>
      <w:r>
        <w:rPr>
          <w:rFonts w:hint="eastAsia" w:ascii="宋体" w:hAnsi="宋体" w:eastAsia="宋体" w:cs="宋体"/>
          <w:spacing w:val="0"/>
          <w:w w:val="100"/>
          <w:position w:val="0"/>
          <w:sz w:val="24"/>
          <w:szCs w:val="24"/>
          <w:u w:val="none" w:color="auto"/>
        </w:rPr>
        <w:t>：</w:t>
      </w:r>
      <w:r>
        <w:rPr>
          <w:rFonts w:hint="eastAsia" w:ascii="宋体" w:hAnsi="宋体" w:eastAsia="宋体" w:cs="宋体"/>
          <w:spacing w:val="0"/>
          <w:w w:val="100"/>
          <w:position w:val="0"/>
          <w:sz w:val="24"/>
          <w:szCs w:val="24"/>
          <w:u w:val="single" w:color="auto"/>
        </w:rPr>
        <w:t>《中华人民共和国</w:t>
      </w:r>
      <w:r>
        <w:rPr>
          <w:rFonts w:hint="eastAsia" w:ascii="宋体" w:hAnsi="宋体" w:eastAsia="宋体" w:cs="宋体"/>
          <w:spacing w:val="0"/>
          <w:w w:val="100"/>
          <w:position w:val="0"/>
          <w:sz w:val="24"/>
          <w:szCs w:val="24"/>
          <w:u w:val="single" w:color="auto"/>
          <w:lang w:val="en-US" w:eastAsia="zh-CN"/>
        </w:rPr>
        <w:t>民法典</w:t>
      </w:r>
      <w:r>
        <w:rPr>
          <w:rFonts w:hint="eastAsia" w:ascii="宋体" w:hAnsi="宋体" w:eastAsia="宋体" w:cs="宋体"/>
          <w:spacing w:val="0"/>
          <w:w w:val="100"/>
          <w:position w:val="0"/>
          <w:sz w:val="24"/>
          <w:szCs w:val="24"/>
          <w:u w:val="single" w:color="auto"/>
        </w:rPr>
        <w:t>》、《中华人民共和国建筑法》、《建筑工程质量管理条列》、《建设工程安全生产管理条例》、《建筑工程强制性标准条文》、《建筑工程质量保修办法》、《陕西省建筑市场管理条列》、《建设工程工程量清单计价规范》</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GB50500-2008</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、财政部、建设部财建【2004】369号关于印发《建设工程价款结算暂行办法》的通知、《陕西省建设工程工程量清单计价规则》、陕建发【2005】102号《关于实施</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陕西省建设工程工程量清单计价规则</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的意见》</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以及国家、地方政府与本工程相关的建筑法律、法规文件等。</w:t>
      </w:r>
    </w:p>
    <w:p w14:paraId="1A38675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3.3适用标准、规范</w:t>
      </w:r>
    </w:p>
    <w:p w14:paraId="6235D20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适用标准、规范的名称：</w:t>
      </w:r>
    </w:p>
    <w:p w14:paraId="452AFAD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3.3.1现行国家标准、规范和建设部等有关施工技术标准、规程、规范以及本工程设计要求，陕西省有关工程质量、安全文明施工、竣工验收等规定。</w:t>
      </w:r>
    </w:p>
    <w:p w14:paraId="2C95F44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3.3.2工程招投标及施工期间，如果有新版的规范和标准颁布，原则上应执行新版的规范和标准，仍需执行非最新版本规范和标准的，需征得发包人和监理工程师的同意。</w:t>
      </w:r>
    </w:p>
    <w:p w14:paraId="497AF29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3.3.3对不在规范验评范围</w:t>
      </w:r>
      <w:r>
        <w:rPr>
          <w:rFonts w:hint="eastAsia" w:ascii="宋体" w:hAnsi="宋体" w:eastAsia="宋体" w:cs="宋体"/>
          <w:spacing w:val="0"/>
          <w:w w:val="100"/>
          <w:position w:val="0"/>
          <w:sz w:val="24"/>
          <w:szCs w:val="24"/>
          <w:u w:val="single" w:color="auto"/>
          <w:lang w:eastAsia="zh-CN"/>
        </w:rPr>
        <w:t>内的</w:t>
      </w:r>
      <w:r>
        <w:rPr>
          <w:rFonts w:hint="eastAsia" w:ascii="宋体" w:hAnsi="宋体" w:eastAsia="宋体" w:cs="宋体"/>
          <w:spacing w:val="0"/>
          <w:w w:val="100"/>
          <w:position w:val="0"/>
          <w:sz w:val="24"/>
          <w:szCs w:val="24"/>
          <w:u w:val="single" w:color="auto"/>
        </w:rPr>
        <w:t>项目，执行发包人和承包人双方议定的补充技术标准，本招标文件、设计院、制造厂家的施工技术要求，如有冲突，按上述排序解释。</w:t>
      </w:r>
    </w:p>
    <w:p w14:paraId="21FE3BA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3.3.4如遇设计与国家相关规范、标准对同一问题的处理出现互相矛盾的情况时，原则上以设计单位解释为准，同时承包人</w:t>
      </w:r>
      <w:r>
        <w:rPr>
          <w:rFonts w:hint="eastAsia" w:ascii="宋体" w:hAnsi="宋体" w:eastAsia="宋体" w:cs="宋体"/>
          <w:spacing w:val="0"/>
          <w:w w:val="100"/>
          <w:position w:val="0"/>
          <w:sz w:val="24"/>
          <w:szCs w:val="24"/>
          <w:u w:val="single" w:color="auto"/>
          <w:lang w:eastAsia="zh-CN"/>
        </w:rPr>
        <w:t>应</w:t>
      </w:r>
      <w:r>
        <w:rPr>
          <w:rFonts w:hint="eastAsia" w:ascii="宋体" w:hAnsi="宋体" w:eastAsia="宋体" w:cs="宋体"/>
          <w:spacing w:val="0"/>
          <w:w w:val="100"/>
          <w:position w:val="0"/>
          <w:sz w:val="24"/>
          <w:szCs w:val="24"/>
          <w:u w:val="single" w:color="auto"/>
        </w:rPr>
        <w:t>及时通知发包人、监理工程师，并提出解决办法，征得发包人、设计单位、监理工程师的同意后实施。</w:t>
      </w:r>
    </w:p>
    <w:p w14:paraId="713332E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3.3.5新材料、新工艺必须具有省级以上行业主管部门技术鉴定。</w:t>
      </w:r>
    </w:p>
    <w:p w14:paraId="5C2D107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发包人提供标准、规范的时间：</w:t>
      </w:r>
    </w:p>
    <w:p w14:paraId="286EC7D7">
      <w:pPr>
        <w:keepNext w:val="0"/>
        <w:keepLines w:val="0"/>
        <w:pageBreakBefore w:val="0"/>
        <w:widowControl w:val="0"/>
        <w:tabs>
          <w:tab w:val="left" w:pos="9724"/>
        </w:tabs>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color="auto"/>
        </w:rPr>
      </w:pPr>
      <w:r>
        <w:rPr>
          <w:rFonts w:hint="eastAsia" w:ascii="宋体" w:hAnsi="宋体" w:eastAsia="宋体" w:cs="宋体"/>
          <w:spacing w:val="0"/>
          <w:w w:val="100"/>
          <w:position w:val="0"/>
          <w:sz w:val="24"/>
          <w:szCs w:val="24"/>
          <w:u w:val="single" w:color="auto"/>
        </w:rPr>
        <w:t>除施工图纸外所有标准、规范、规程及标准图集等均由承包人自备，费用承包人自理。</w:t>
      </w:r>
    </w:p>
    <w:p w14:paraId="681AD953">
      <w:pPr>
        <w:keepNext w:val="0"/>
        <w:keepLines w:val="0"/>
        <w:pageBreakBefore w:val="0"/>
        <w:widowControl w:val="0"/>
        <w:tabs>
          <w:tab w:val="left" w:pos="9724"/>
        </w:tabs>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国内没有相应标准、规定时的约定：</w:t>
      </w:r>
      <w:r>
        <w:rPr>
          <w:rFonts w:hint="eastAsia" w:ascii="宋体" w:hAnsi="宋体" w:eastAsia="宋体" w:cs="宋体"/>
          <w:spacing w:val="0"/>
          <w:w w:val="100"/>
          <w:position w:val="0"/>
          <w:sz w:val="24"/>
          <w:szCs w:val="24"/>
          <w:u w:val="single" w:color="auto"/>
        </w:rPr>
        <w:t>凡涉及国内没有相应标准、规范、规程的，承包人应立即通知发包人及监理工程师，并提供相应标准</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如企业标准、国外标准等</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、规范或经验做法、需要的理由和时间，由发包人与监理工程师、设计院确认方可执行、本条所发生的购买、翻译标准、规范或指定施工工艺的费用，由承包人承担。</w:t>
      </w:r>
    </w:p>
    <w:p w14:paraId="76F9E11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4、图纸</w:t>
      </w:r>
    </w:p>
    <w:p w14:paraId="559AD0D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4.1发包人向承包人提供图纸日期和套数：</w:t>
      </w:r>
    </w:p>
    <w:p w14:paraId="2E35E41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中标通知书发出后提供施工图2套、承包人陆续增加套数，发包人负责联系解决，费用由承包人自行支付。</w:t>
      </w:r>
    </w:p>
    <w:p w14:paraId="0F6ED07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发包人对图纸的保密要求：承包人未经发包人许可不得泄露给第三方。</w:t>
      </w:r>
    </w:p>
    <w:p w14:paraId="0CC0BB2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使用国外图纸的要求及费用承担：</w:t>
      </w:r>
      <w:r>
        <w:rPr>
          <w:rFonts w:hint="eastAsia" w:ascii="宋体" w:hAnsi="宋体" w:eastAsia="宋体" w:cs="宋体"/>
          <w:spacing w:val="0"/>
          <w:w w:val="100"/>
          <w:position w:val="0"/>
          <w:sz w:val="24"/>
          <w:szCs w:val="24"/>
          <w:u w:val="single" w:color="auto"/>
        </w:rPr>
        <w:t>无</w:t>
      </w:r>
    </w:p>
    <w:p w14:paraId="1DAE469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二、双方一般权利和义务</w:t>
      </w:r>
    </w:p>
    <w:p w14:paraId="7A2708A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default"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rPr>
        <w:t>5、工程师</w:t>
      </w:r>
    </w:p>
    <w:p w14:paraId="4144E00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5.2监理单位委派的工程师</w:t>
      </w:r>
    </w:p>
    <w:p w14:paraId="7CE5AA6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姓名：</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val="en-US" w:eastAsia="zh-CN"/>
        </w:rPr>
        <w:t xml:space="preserve"> </w:t>
      </w:r>
      <w:r>
        <w:rPr>
          <w:rFonts w:hint="eastAsia" w:ascii="宋体" w:hAnsi="宋体" w:eastAsia="宋体" w:cs="宋体"/>
          <w:spacing w:val="0"/>
          <w:w w:val="100"/>
          <w:position w:val="0"/>
          <w:sz w:val="24"/>
          <w:szCs w:val="24"/>
        </w:rPr>
        <w:t>职务：</w:t>
      </w:r>
      <w:r>
        <w:rPr>
          <w:rFonts w:hint="eastAsia" w:ascii="宋体" w:hAnsi="宋体" w:eastAsia="宋体" w:cs="宋体"/>
          <w:spacing w:val="0"/>
          <w:w w:val="100"/>
          <w:position w:val="0"/>
          <w:sz w:val="24"/>
          <w:szCs w:val="24"/>
          <w:u w:val="single" w:color="auto"/>
          <w:lang w:val="en-US" w:eastAsia="zh-CN"/>
        </w:rPr>
        <w:t xml:space="preserve">         </w:t>
      </w:r>
    </w:p>
    <w:p w14:paraId="58F26E4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发包人委托的职权：</w:t>
      </w:r>
      <w:r>
        <w:rPr>
          <w:rFonts w:hint="eastAsia" w:ascii="宋体" w:hAnsi="宋体" w:eastAsia="宋体" w:cs="宋体"/>
          <w:spacing w:val="0"/>
          <w:w w:val="100"/>
          <w:position w:val="0"/>
          <w:sz w:val="24"/>
          <w:szCs w:val="24"/>
          <w:u w:val="single" w:color="auto"/>
        </w:rPr>
        <w:t>本工程监理合同授予的权限。</w:t>
      </w:r>
    </w:p>
    <w:p w14:paraId="2CD0059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需要取得发包人批准才能行使的职权：</w:t>
      </w:r>
      <w:r>
        <w:rPr>
          <w:rFonts w:hint="eastAsia" w:ascii="宋体" w:hAnsi="宋体" w:eastAsia="宋体" w:cs="宋体"/>
          <w:spacing w:val="0"/>
          <w:w w:val="100"/>
          <w:position w:val="0"/>
          <w:sz w:val="24"/>
          <w:szCs w:val="24"/>
          <w:u w:val="single" w:color="auto"/>
        </w:rPr>
        <w:t>重大工程洽商、设计变更、现场签证、暂定材料的认质认价、任何付款凭证等。</w:t>
      </w:r>
    </w:p>
    <w:p w14:paraId="5265A78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5.3发包人派驻的工程师</w:t>
      </w:r>
    </w:p>
    <w:p w14:paraId="06271E8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姓名：</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val="en-US" w:eastAsia="zh-CN"/>
        </w:rPr>
        <w:t xml:space="preserve"> </w:t>
      </w:r>
      <w:r>
        <w:rPr>
          <w:rFonts w:hint="eastAsia" w:ascii="宋体" w:hAnsi="宋体" w:eastAsia="宋体" w:cs="宋体"/>
          <w:spacing w:val="0"/>
          <w:w w:val="100"/>
          <w:position w:val="0"/>
          <w:sz w:val="24"/>
          <w:szCs w:val="24"/>
        </w:rPr>
        <w:t>职务：</w:t>
      </w:r>
      <w:r>
        <w:rPr>
          <w:rFonts w:hint="eastAsia" w:ascii="宋体" w:hAnsi="宋体" w:eastAsia="宋体" w:cs="宋体"/>
          <w:spacing w:val="0"/>
          <w:w w:val="100"/>
          <w:position w:val="0"/>
          <w:sz w:val="24"/>
          <w:szCs w:val="24"/>
          <w:u w:val="single" w:color="auto"/>
          <w:lang w:val="en-US" w:eastAsia="zh-CN"/>
        </w:rPr>
        <w:t xml:space="preserve">         </w:t>
      </w:r>
    </w:p>
    <w:p w14:paraId="773CC95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职权：</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1</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有对工程设计变更、现场签证的初审权和审批权；</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2</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参与工程质量、安全、投资、进度的管理及有关配合单位的协调；</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3</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参与审核工程进度款的支付和确认工程结算价款。</w:t>
      </w:r>
    </w:p>
    <w:p w14:paraId="320DD67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5.6不实行监理的，工程师的职权：</w:t>
      </w:r>
    </w:p>
    <w:p w14:paraId="17D2233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7、项目经理</w:t>
      </w:r>
    </w:p>
    <w:p w14:paraId="1C578A7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姓名：</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val="en-US" w:eastAsia="zh-CN"/>
        </w:rPr>
        <w:t xml:space="preserve"> </w:t>
      </w:r>
      <w:r>
        <w:rPr>
          <w:rFonts w:hint="eastAsia" w:ascii="宋体" w:hAnsi="宋体" w:eastAsia="宋体" w:cs="宋体"/>
          <w:spacing w:val="0"/>
          <w:w w:val="100"/>
          <w:position w:val="0"/>
          <w:sz w:val="24"/>
          <w:szCs w:val="24"/>
        </w:rPr>
        <w:t>职务：</w:t>
      </w:r>
      <w:r>
        <w:rPr>
          <w:rFonts w:hint="eastAsia" w:ascii="宋体" w:hAnsi="宋体" w:eastAsia="宋体" w:cs="宋体"/>
          <w:spacing w:val="0"/>
          <w:w w:val="100"/>
          <w:position w:val="0"/>
          <w:sz w:val="24"/>
          <w:szCs w:val="24"/>
          <w:u w:val="single" w:color="auto"/>
          <w:lang w:val="en-US" w:eastAsia="zh-CN"/>
        </w:rPr>
        <w:t xml:space="preserve">         </w:t>
      </w:r>
    </w:p>
    <w:p w14:paraId="644C74D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sectPr>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3E21D77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8、发包人工作</w:t>
      </w:r>
    </w:p>
    <w:p w14:paraId="415BD91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8.1发包人应按约定的时间和要求完成以下工作：</w:t>
      </w:r>
    </w:p>
    <w:p w14:paraId="7643B75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8.1.1施工场地具备施工条件的要求及完成的时间：</w:t>
      </w:r>
      <w:r>
        <w:rPr>
          <w:rFonts w:hint="eastAsia" w:ascii="宋体" w:hAnsi="宋体" w:eastAsia="宋体" w:cs="宋体"/>
          <w:spacing w:val="0"/>
          <w:w w:val="100"/>
          <w:position w:val="0"/>
          <w:sz w:val="24"/>
          <w:szCs w:val="24"/>
          <w:u w:val="single" w:color="auto"/>
        </w:rPr>
        <w:t>已具备施工条件。</w:t>
      </w:r>
    </w:p>
    <w:p w14:paraId="43AC42D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8.1.2将施工所需的水、电、电讯线路接至施工场地的时间、地点和供应要求</w:t>
      </w:r>
      <w:r>
        <w:rPr>
          <w:rFonts w:hint="eastAsia" w:ascii="宋体" w:hAnsi="宋体" w:eastAsia="宋体" w:cs="宋体"/>
          <w:spacing w:val="0"/>
          <w:w w:val="100"/>
          <w:position w:val="0"/>
          <w:sz w:val="24"/>
          <w:szCs w:val="24"/>
          <w:u w:val="single" w:color="auto"/>
        </w:rPr>
        <w:t>施工用电、用水已接通至本项目的施工现场，场内水、电接引工作及费用由承包人自理。计量装置由承包人自行安装。电讯线路由承包人自行承担。水、电供应由双方签订水电使用合同。</w:t>
      </w:r>
    </w:p>
    <w:p w14:paraId="3B78C69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8.1.3施工场地与公共道路的通道开通时间和要求：</w:t>
      </w:r>
    </w:p>
    <w:p w14:paraId="1420700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区域内道路已修建完毕，承包人在施工中应予以保护，因承包人使用造成道路损坏由承包人自行修复，费用含在投标报价中。</w:t>
      </w:r>
    </w:p>
    <w:p w14:paraId="42BC7A9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8.1.4工程地质和地下管线资料的提供时间：</w:t>
      </w:r>
    </w:p>
    <w:p w14:paraId="79B9371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lang w:val="en-US" w:eastAsia="zh-CN"/>
        </w:rPr>
        <w:t xml:space="preserve">     /    </w:t>
      </w:r>
    </w:p>
    <w:p w14:paraId="0B47BE1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8.1.5由发包人办理的施工所需证件、批件的名称和完成时间：</w:t>
      </w:r>
    </w:p>
    <w:p w14:paraId="6E91B0A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发包人在开工前已具备项目立项批文及相关报建手续。</w:t>
      </w:r>
    </w:p>
    <w:p w14:paraId="4220757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8.1.6水准点与坐标</w:t>
      </w:r>
      <w:r>
        <w:rPr>
          <w:rFonts w:hint="eastAsia" w:ascii="宋体" w:hAnsi="宋体" w:eastAsia="宋体" w:cs="宋体"/>
          <w:spacing w:val="0"/>
          <w:w w:val="100"/>
          <w:position w:val="0"/>
          <w:sz w:val="24"/>
          <w:szCs w:val="24"/>
          <w:lang w:eastAsia="zh-CN"/>
        </w:rPr>
        <w:t>控制点校验</w:t>
      </w:r>
      <w:r>
        <w:rPr>
          <w:rFonts w:hint="eastAsia" w:ascii="宋体" w:hAnsi="宋体" w:eastAsia="宋体" w:cs="宋体"/>
          <w:spacing w:val="0"/>
          <w:w w:val="100"/>
          <w:position w:val="0"/>
          <w:sz w:val="24"/>
          <w:szCs w:val="24"/>
        </w:rPr>
        <w:t>要求：</w:t>
      </w:r>
    </w:p>
    <w:p w14:paraId="6059BCD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中标通知书发出后7日内，发包人将水准点与坐标以书面形式交给承包人，双方进行现场交验，承包人接受后应对交验的坐标控制点与水准点进行复核并报监理审核。承包人对水准点及坐标点承担保护责任。</w:t>
      </w:r>
    </w:p>
    <w:p w14:paraId="08C218E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8.1.7图纸会审和设计交底时间：</w:t>
      </w:r>
      <w:r>
        <w:rPr>
          <w:rFonts w:hint="eastAsia" w:ascii="宋体" w:hAnsi="宋体" w:eastAsia="宋体" w:cs="宋体"/>
          <w:spacing w:val="0"/>
          <w:w w:val="100"/>
          <w:position w:val="0"/>
          <w:sz w:val="24"/>
          <w:szCs w:val="24"/>
          <w:u w:val="single" w:color="auto"/>
        </w:rPr>
        <w:t>接到中标通知书后7天内。</w:t>
      </w:r>
    </w:p>
    <w:p w14:paraId="7D7A009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8.1.8协调处理施工场地周围地下管线和邻近建筑物、构筑物</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含文物保护建筑</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、古树名木的保护工作：</w:t>
      </w:r>
      <w:r>
        <w:rPr>
          <w:rFonts w:hint="eastAsia" w:ascii="宋体" w:hAnsi="宋体" w:eastAsia="宋体" w:cs="宋体"/>
          <w:spacing w:val="0"/>
          <w:w w:val="100"/>
          <w:position w:val="0"/>
          <w:sz w:val="24"/>
          <w:szCs w:val="24"/>
          <w:u w:val="single" w:color="auto"/>
        </w:rPr>
        <w:t>承包人应妥善做好保护工作。</w:t>
      </w:r>
    </w:p>
    <w:p w14:paraId="50D8BAB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8.1.9双方约定发包人应做的其他工作：</w:t>
      </w:r>
      <w:r>
        <w:rPr>
          <w:rFonts w:hint="eastAsia" w:ascii="宋体" w:hAnsi="宋体" w:eastAsia="宋体" w:cs="宋体"/>
          <w:spacing w:val="0"/>
          <w:w w:val="100"/>
          <w:position w:val="0"/>
          <w:sz w:val="24"/>
          <w:szCs w:val="24"/>
          <w:u w:val="single" w:color="auto"/>
          <w:lang w:val="en-US" w:eastAsia="zh-CN"/>
        </w:rPr>
        <w:t xml:space="preserve"> / </w:t>
      </w:r>
      <w:r>
        <w:rPr>
          <w:rFonts w:hint="eastAsia" w:ascii="宋体" w:hAnsi="宋体" w:eastAsia="宋体" w:cs="宋体"/>
          <w:spacing w:val="0"/>
          <w:w w:val="100"/>
          <w:position w:val="0"/>
          <w:sz w:val="24"/>
          <w:szCs w:val="24"/>
          <w:u w:val="none" w:color="auto"/>
        </w:rPr>
        <w:t>。</w:t>
      </w:r>
    </w:p>
    <w:p w14:paraId="4E10D18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8.2发包人委托承包人办理的工作：</w:t>
      </w:r>
      <w:r>
        <w:rPr>
          <w:rFonts w:hint="eastAsia" w:ascii="宋体" w:hAnsi="宋体" w:eastAsia="宋体" w:cs="宋体"/>
          <w:spacing w:val="0"/>
          <w:w w:val="100"/>
          <w:position w:val="0"/>
          <w:sz w:val="24"/>
          <w:szCs w:val="24"/>
          <w:u w:val="single" w:color="auto"/>
        </w:rPr>
        <w:t>施工期间承包人应积极做好外围关系的协调工作，确保施工顺利进行。</w:t>
      </w:r>
    </w:p>
    <w:p w14:paraId="3181334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9、承包人工作</w:t>
      </w:r>
    </w:p>
    <w:p w14:paraId="17DD064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9.1承包人应按约定时间和要求，完成以下工作：</w:t>
      </w:r>
    </w:p>
    <w:p w14:paraId="76ADC28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9.1.1需由设计资质等级和业务范围允许的承包人完成的设计文件提供时间：</w:t>
      </w:r>
      <w:r>
        <w:rPr>
          <w:rFonts w:hint="eastAsia" w:ascii="宋体" w:hAnsi="宋体" w:eastAsia="宋体" w:cs="宋体"/>
          <w:spacing w:val="0"/>
          <w:w w:val="100"/>
          <w:position w:val="0"/>
          <w:sz w:val="24"/>
          <w:szCs w:val="24"/>
          <w:u w:val="single" w:color="auto"/>
        </w:rPr>
        <w:t>应在分部分项工程施工开展前7日报监理及发包人审定。</w:t>
      </w:r>
    </w:p>
    <w:p w14:paraId="3F6ABE3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9.1.2应提供计划、报表的名称及完成时间：</w:t>
      </w:r>
      <w:r>
        <w:rPr>
          <w:rFonts w:hint="eastAsia" w:ascii="宋体" w:hAnsi="宋体" w:eastAsia="宋体" w:cs="宋体"/>
          <w:spacing w:val="0"/>
          <w:w w:val="100"/>
          <w:position w:val="0"/>
          <w:sz w:val="24"/>
          <w:szCs w:val="24"/>
          <w:u w:val="single" w:color="auto"/>
        </w:rPr>
        <w:t>每月25日提交当月完成的工程量统计报表及下月的施工进度计划；甲供材料进场应提前20日提交计划，乙供</w:t>
      </w:r>
      <w:r>
        <w:rPr>
          <w:rFonts w:hint="eastAsia" w:ascii="宋体" w:hAnsi="宋体" w:eastAsia="宋体" w:cs="宋体"/>
          <w:spacing w:val="0"/>
          <w:w w:val="100"/>
          <w:position w:val="0"/>
          <w:sz w:val="24"/>
          <w:szCs w:val="24"/>
          <w:u w:val="single" w:color="auto"/>
          <w:lang w:eastAsia="zh-CN"/>
        </w:rPr>
        <w:t>材料</w:t>
      </w:r>
      <w:r>
        <w:rPr>
          <w:rFonts w:hint="eastAsia" w:ascii="宋体" w:hAnsi="宋体" w:eastAsia="宋体" w:cs="宋体"/>
          <w:spacing w:val="0"/>
          <w:w w:val="100"/>
          <w:position w:val="0"/>
          <w:sz w:val="24"/>
          <w:szCs w:val="24"/>
          <w:u w:val="single" w:color="auto"/>
        </w:rPr>
        <w:t>进场应提前3日提交</w:t>
      </w:r>
      <w:r>
        <w:rPr>
          <w:rFonts w:hint="eastAsia" w:ascii="宋体" w:hAnsi="宋体" w:eastAsia="宋体" w:cs="宋体"/>
          <w:spacing w:val="0"/>
          <w:w w:val="100"/>
          <w:position w:val="0"/>
          <w:sz w:val="24"/>
          <w:szCs w:val="24"/>
          <w:u w:val="single" w:color="auto"/>
          <w:lang w:val="en-US" w:eastAsia="zh-CN"/>
        </w:rPr>
        <w:t>计划</w:t>
      </w:r>
      <w:r>
        <w:rPr>
          <w:rFonts w:hint="eastAsia" w:ascii="宋体" w:hAnsi="宋体" w:eastAsia="宋体" w:cs="宋体"/>
          <w:spacing w:val="0"/>
          <w:w w:val="100"/>
          <w:position w:val="0"/>
          <w:sz w:val="24"/>
          <w:szCs w:val="24"/>
          <w:u w:val="single" w:color="auto"/>
        </w:rPr>
        <w:t>；每周例会研究计划应提前2日提出。</w:t>
      </w:r>
    </w:p>
    <w:p w14:paraId="60DCCBE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9.1.3承担施工安全保卫工作及非夜间施工照明的责任和要求：</w:t>
      </w:r>
      <w:r>
        <w:rPr>
          <w:rFonts w:hint="eastAsia" w:ascii="宋体" w:hAnsi="宋体" w:eastAsia="宋体" w:cs="宋体"/>
          <w:spacing w:val="0"/>
          <w:w w:val="100"/>
          <w:position w:val="0"/>
          <w:sz w:val="24"/>
          <w:szCs w:val="24"/>
          <w:u w:val="single" w:color="auto"/>
        </w:rPr>
        <w:t>承包人全权负责现场的施工安全、保卫、夜间照明及场内、场内外接口交通疏导，按国家、省、市有关规定搞好施工现场管理。</w:t>
      </w:r>
    </w:p>
    <w:p w14:paraId="7FAF0EF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9.1.4向发包人提供的办公和生活房屋及设施的要求：</w:t>
      </w:r>
      <w:r>
        <w:rPr>
          <w:rFonts w:hint="eastAsia" w:ascii="宋体" w:hAnsi="宋体" w:eastAsia="宋体" w:cs="宋体"/>
          <w:spacing w:val="0"/>
          <w:w w:val="100"/>
          <w:position w:val="0"/>
          <w:sz w:val="24"/>
          <w:szCs w:val="24"/>
          <w:u w:val="single" w:color="auto"/>
        </w:rPr>
        <w:t>在开工前7日内免费为发包人和监理工程师提供办公房2间，提供可供20人开会的会议室一间，上述费用均已包含在合同总价中发包人不另增加费用。</w:t>
      </w:r>
    </w:p>
    <w:p w14:paraId="266A841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9.1.5需承包人办理的有关施工场地交通、环卫和施工噪音管理等手续：</w:t>
      </w:r>
      <w:r>
        <w:rPr>
          <w:rFonts w:hint="eastAsia" w:ascii="宋体" w:hAnsi="宋体" w:eastAsia="宋体" w:cs="宋体"/>
          <w:spacing w:val="0"/>
          <w:w w:val="100"/>
          <w:position w:val="0"/>
          <w:sz w:val="24"/>
          <w:szCs w:val="24"/>
          <w:u w:val="single" w:color="auto"/>
        </w:rPr>
        <w:t>按省市政府相关规定办理，如施工中出现因环境卫生污染、</w:t>
      </w:r>
      <w:r>
        <w:rPr>
          <w:rFonts w:hint="eastAsia" w:ascii="宋体" w:hAnsi="宋体" w:eastAsia="宋体" w:cs="宋体"/>
          <w:spacing w:val="0"/>
          <w:w w:val="100"/>
          <w:position w:val="0"/>
          <w:sz w:val="24"/>
          <w:szCs w:val="24"/>
          <w:u w:val="single" w:color="auto"/>
          <w:lang w:eastAsia="zh-CN"/>
        </w:rPr>
        <w:t>噪声污染</w:t>
      </w:r>
      <w:r>
        <w:rPr>
          <w:rFonts w:hint="eastAsia" w:ascii="宋体" w:hAnsi="宋体" w:eastAsia="宋体" w:cs="宋体"/>
          <w:spacing w:val="0"/>
          <w:w w:val="100"/>
          <w:position w:val="0"/>
          <w:sz w:val="24"/>
          <w:szCs w:val="24"/>
          <w:u w:val="single" w:color="auto"/>
        </w:rPr>
        <w:t>、工地周围居民灯光污染、建筑材料有害物质污染及生活区的卫生条件</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食堂</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差造成的停工、窝工、投诉由承包人承担全部责任包括接受罚款。</w:t>
      </w:r>
    </w:p>
    <w:p w14:paraId="631D0EB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9.1.6已完工程成品保护的特殊要求及费用承担：</w:t>
      </w:r>
      <w:r>
        <w:rPr>
          <w:rFonts w:hint="eastAsia" w:ascii="宋体" w:hAnsi="宋体" w:eastAsia="宋体" w:cs="宋体"/>
          <w:spacing w:val="0"/>
          <w:w w:val="100"/>
          <w:position w:val="0"/>
          <w:sz w:val="24"/>
          <w:szCs w:val="24"/>
          <w:u w:val="single" w:color="auto"/>
        </w:rPr>
        <w:t>工程竣工验收未交给发包人之前，承包人负责保护，承包人保护期间发生损坏，承包人出资修复；发包人提前使用后发生的损坏，由承包人负责修复，费用由发包人承担。</w:t>
      </w:r>
    </w:p>
    <w:p w14:paraId="571AC8E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9.1.7施工场地周围地下管线和邻近建筑物、构筑物</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含文物保护建筑</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w:t>
      </w:r>
      <w:r>
        <w:rPr>
          <w:rFonts w:hint="eastAsia" w:ascii="宋体" w:hAnsi="宋体" w:eastAsia="宋体" w:cs="宋体"/>
          <w:spacing w:val="0"/>
          <w:w w:val="100"/>
          <w:position w:val="0"/>
          <w:sz w:val="24"/>
          <w:szCs w:val="24"/>
          <w:lang w:eastAsia="zh-CN"/>
        </w:rPr>
        <w:t>古树名木</w:t>
      </w:r>
      <w:r>
        <w:rPr>
          <w:rFonts w:hint="eastAsia" w:ascii="宋体" w:hAnsi="宋体" w:eastAsia="宋体" w:cs="宋体"/>
          <w:spacing w:val="0"/>
          <w:w w:val="100"/>
          <w:position w:val="0"/>
          <w:sz w:val="24"/>
          <w:szCs w:val="24"/>
        </w:rPr>
        <w:t>的保护要求及费用承担：</w:t>
      </w:r>
      <w:r>
        <w:rPr>
          <w:rFonts w:hint="eastAsia" w:ascii="宋体" w:hAnsi="宋体" w:eastAsia="宋体" w:cs="宋体"/>
          <w:spacing w:val="0"/>
          <w:w w:val="100"/>
          <w:position w:val="0"/>
          <w:sz w:val="24"/>
          <w:szCs w:val="24"/>
          <w:u w:val="single" w:color="auto"/>
        </w:rPr>
        <w:t>/</w:t>
      </w:r>
    </w:p>
    <w:p w14:paraId="5F52D45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9.1.8施工场地清洁卫生的要求：</w:t>
      </w:r>
      <w:r>
        <w:rPr>
          <w:rFonts w:hint="eastAsia" w:ascii="宋体" w:hAnsi="宋体" w:eastAsia="宋体" w:cs="宋体"/>
          <w:spacing w:val="0"/>
          <w:w w:val="100"/>
          <w:position w:val="0"/>
          <w:sz w:val="24"/>
          <w:szCs w:val="24"/>
          <w:u w:val="single" w:color="auto"/>
        </w:rPr>
        <w:t>按通用条款规定及陕西省有关安全生产、文明施工和创建卫生城市管理的规定执行，在工程施工期间，承包人应保持现场整洁，确保雨水、污水</w:t>
      </w:r>
      <w:r>
        <w:rPr>
          <w:rFonts w:hint="eastAsia" w:ascii="宋体" w:hAnsi="宋体" w:eastAsia="宋体" w:cs="宋体"/>
          <w:spacing w:val="0"/>
          <w:w w:val="100"/>
          <w:position w:val="0"/>
          <w:sz w:val="24"/>
          <w:szCs w:val="24"/>
          <w:u w:val="single" w:color="auto"/>
          <w:lang w:eastAsia="zh-CN"/>
        </w:rPr>
        <w:t>排出</w:t>
      </w:r>
      <w:r>
        <w:rPr>
          <w:rFonts w:hint="eastAsia" w:ascii="宋体" w:hAnsi="宋体" w:eastAsia="宋体" w:cs="宋体"/>
          <w:spacing w:val="0"/>
          <w:w w:val="100"/>
          <w:position w:val="0"/>
          <w:sz w:val="24"/>
          <w:szCs w:val="24"/>
          <w:u w:val="single" w:color="auto"/>
        </w:rPr>
        <w:t>畅通，现场垃圾及时清运；并对现场设备、材料储存做妥善安排。因承包人违反陕西省有关安全生产、文明施工和城市创卫管理等规定而发生的费用由承包人承担。交工前，承包人需将自身的人员及材料设备清退出场，并按照相关验收要求将室内外环境打扫干净，达到居住和办公的卫生、环境条件，否则发包人可酌情扣除费用。</w:t>
      </w:r>
    </w:p>
    <w:p w14:paraId="2E2DE24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9.1.9双方约定的承包人应</w:t>
      </w:r>
      <w:r>
        <w:rPr>
          <w:rFonts w:hint="eastAsia" w:ascii="宋体" w:hAnsi="宋体" w:eastAsia="宋体" w:cs="宋体"/>
          <w:spacing w:val="0"/>
          <w:w w:val="100"/>
          <w:position w:val="0"/>
          <w:sz w:val="24"/>
          <w:szCs w:val="24"/>
          <w:lang w:eastAsia="zh-CN"/>
        </w:rPr>
        <w:t>做</w:t>
      </w:r>
      <w:r>
        <w:rPr>
          <w:rFonts w:hint="eastAsia" w:ascii="宋体" w:hAnsi="宋体" w:eastAsia="宋体" w:cs="宋体"/>
          <w:spacing w:val="0"/>
          <w:w w:val="100"/>
          <w:position w:val="0"/>
          <w:sz w:val="24"/>
          <w:szCs w:val="24"/>
        </w:rPr>
        <w:t>的其他工作：</w:t>
      </w:r>
    </w:p>
    <w:p w14:paraId="7C69060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在合同要求许可的范围内，在施工、完成工程及保修过程中，承包人所必需的一切操作均不应对公众的便利及公用道路，以及通往属于发包人或他人财产的人行道的进入，使用或占有，产生不必要及不适当的干扰。</w:t>
      </w:r>
    </w:p>
    <w:p w14:paraId="6557608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"9.1.9.2"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9.1.9.2</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承包人的施工管理区及施工场地应设有临时的污水处理设施和施工排水设施，生活、施工垃圾等处置应妥当，施工材料如涂料、化学品等妥善存放保管，并设有防雨、防风等措施。</w:t>
      </w:r>
    </w:p>
    <w:p w14:paraId="638069F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"9.1.9.3"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9.1.9.3</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竣工验收合格后，承包人应立即从签发了移交证书的那部分工地上将所有有关承包人的设备、多余材料、垃圾及各种临时工程清除、移走，并使这一部分工程及工地保持清洁，使发包人满意。在保修期结束之前，未完成保修期内的义务，将其需要的材料、承包人的设备、临时设施保留在发包人指定的位置。</w:t>
      </w:r>
    </w:p>
    <w:p w14:paraId="7D031FF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"9.1.9.4"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9.1.9.4</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全权负责其劳务及资源的雇佣、工资的支付、住宿、膳食及运输的安排。承包人在任何时候应采取一切合理的预防措施，以防止其职员发生任何违法的、妨害治安的行为，并维护治安和保护工程附近的个人或财产免遭上述行为的破坏。</w:t>
      </w:r>
    </w:p>
    <w:p w14:paraId="15E7AE0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"9.1.9.5"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9.1.9.5</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承包人应按安全施工管理有关规定，配备安全管理机构，配备合格的安全管理人员，负责处理全体工作人员及设备使用、用电、防火、饮食等全方位的安全保护，防止事故发生。</w:t>
      </w:r>
    </w:p>
    <w:p w14:paraId="371948B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"9.1.9.6"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9.1.9.6</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承包人应以迅速而有序的方式将所采购的材料运至工地现场，并按工程规范要求做相应的试验、试样</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检测工作，当这些工作不符合现行有关规定</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包括不及时开展相关工作</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时，发包人有权直接指定有相关资质的检测单位进行试验、试样、检测工作，由此发生的所有费用由承包人承担。</w:t>
      </w:r>
    </w:p>
    <w:p w14:paraId="460C0D5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"9.1.9.7"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9.1.9.7</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负起本工程的总承包管理责任，不论是合同内取得批准的分包项目，还是由发包人单独分包的项目。承包人均不解除合同规定的任何责任或义务，承包人应当对分包人加强监督和管理，并对分包人的工程质量及其职工的行为、违约和疏忽负完全责任。由于承包人违反操作规程施工所造成的对工程的影响，由承包人自行负责。由此而造成发包人的一切损失，经评估后均由承包人承担。</w:t>
      </w:r>
    </w:p>
    <w:p w14:paraId="1C04C83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"9.1.9.8"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9.1.9.8</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承包人应负责各分包人在施工过程的之前、之中、之后协调工作，包括工序、场地、材料堆放、人员食宿、水、电供应等。</w:t>
      </w:r>
    </w:p>
    <w:p w14:paraId="6C1A36D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"9.1.9.9"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9.1.9.9</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承包人应负责实施本工程的档案管理，竣工资料的检查汇总及各分包人的资料汇总。</w:t>
      </w:r>
    </w:p>
    <w:p w14:paraId="489F910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"9.1.9.10"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9.1.9.10</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承担地方政府管理部门规定应由承包人交纳的费用，如承包人不能按要求支付而影响办理工程相关手续时，发包人可代其支付，所发生的费用从支付给承包人的工程款中双倍扣除。</w:t>
      </w:r>
    </w:p>
    <w:p w14:paraId="45BCECA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"9.1.9.11"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9.1.9.11</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本工程施工中的内外运输，必须遵守省市政府有关交通、环卫、安全、防噪声等行业管理法规的规定，并按照有关规定办理相关手续，承担相关费用。</w:t>
      </w:r>
    </w:p>
    <w:p w14:paraId="751FCFE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"9.1.9.12"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9.1.9.12</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w:t>
      </w:r>
      <w:r>
        <w:rPr>
          <w:rFonts w:hint="eastAsia" w:ascii="宋体" w:hAnsi="宋体" w:eastAsia="宋体" w:cs="宋体"/>
          <w:spacing w:val="0"/>
          <w:w w:val="100"/>
          <w:position w:val="0"/>
          <w:sz w:val="24"/>
          <w:szCs w:val="24"/>
          <w:u w:val="single" w:color="auto"/>
          <w:lang w:eastAsia="zh-CN"/>
        </w:rPr>
        <w:t>人在</w:t>
      </w:r>
      <w:r>
        <w:rPr>
          <w:rFonts w:hint="eastAsia" w:ascii="宋体" w:hAnsi="宋体" w:eastAsia="宋体" w:cs="宋体"/>
          <w:spacing w:val="0"/>
          <w:w w:val="100"/>
          <w:position w:val="0"/>
          <w:sz w:val="24"/>
          <w:szCs w:val="24"/>
          <w:u w:val="single" w:color="auto"/>
        </w:rPr>
        <w:t>施工中因违反有关规定，引起政府职能部门或建设管理部门罚款和停工整改，由此责任而发生的费用与损失将由承包人自行承担</w:t>
      </w:r>
    </w:p>
    <w:p w14:paraId="0AB799A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"9.1.9.13"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9.1.9.13</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已承诺并经发包人认定的本工程相应资质的专业技术、管理人员，未经发包人同意，不得任意调换或撤离，否则视为违约并承担相关责任。</w:t>
      </w:r>
    </w:p>
    <w:p w14:paraId="6510627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"9.1.9.14"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9.1.9.14</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承包人负责投保有关下属员工的工伤赔偿、现场所有材料、设备的损失或损毁等所需的保险费用。承包人必须对其员工的意外或伤亡负全责，承包人需保障发包人免负任何有关的索赔诉讼等费用和支出。</w:t>
      </w:r>
    </w:p>
    <w:p w14:paraId="1A11890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"9.1.9.15"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9.1.9.15</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承包人在安全、消防和治安方面的违章按国家相关规定执行。</w:t>
      </w:r>
    </w:p>
    <w:p w14:paraId="58F3857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"9.1.9.16"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9.1.9.16</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必须服从发包人对总平面管理和现场平面管理的要求，现场设施搭建必须按发包人批准的搭建方案实施。严禁擅自乱建或扩大面积。未经批准承包人自行搭建的临时设施，发包人有权要求承包人限期拆除，并由承包人自行承担一切责任及费用。工程竣工后，承包人必须及时、无偿地将所建临时建筑、剩余材料、物全部拆除撤离现场，做到工完场清。承包人如逾期不迁，发包人有权强制清场，费用由承包人负责。</w:t>
      </w:r>
    </w:p>
    <w:p w14:paraId="383FD65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"9.1.9.17"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9.1.9.17</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承包人应在开工前根据发包人要求报送开工报告和施工组织设计及施工方案，并按发包人批准的方案组织实施。</w:t>
      </w:r>
    </w:p>
    <w:p w14:paraId="4B83FB7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fldChar w:fldCharType="begin"/>
      </w:r>
      <w:r>
        <w:rPr>
          <w:rFonts w:hint="eastAsia" w:ascii="宋体" w:hAnsi="宋体" w:eastAsia="宋体" w:cs="宋体"/>
          <w:spacing w:val="0"/>
          <w:w w:val="100"/>
          <w:position w:val="0"/>
          <w:sz w:val="24"/>
          <w:szCs w:val="24"/>
        </w:rPr>
        <w:instrText xml:space="preserve"> HYPERLINK "9.1.9.18" </w:instrText>
      </w:r>
      <w:r>
        <w:rPr>
          <w:rFonts w:hint="eastAsia" w:ascii="宋体" w:hAnsi="宋体" w:eastAsia="宋体" w:cs="宋体"/>
          <w:spacing w:val="0"/>
          <w:w w:val="100"/>
          <w:position w:val="0"/>
          <w:sz w:val="24"/>
          <w:szCs w:val="24"/>
        </w:rPr>
        <w:fldChar w:fldCharType="separate"/>
      </w:r>
      <w:r>
        <w:rPr>
          <w:rFonts w:hint="eastAsia" w:ascii="宋体" w:hAnsi="宋体" w:eastAsia="宋体" w:cs="宋体"/>
          <w:spacing w:val="0"/>
          <w:w w:val="100"/>
          <w:position w:val="0"/>
          <w:sz w:val="24"/>
          <w:szCs w:val="24"/>
        </w:rPr>
        <w:t>9.1.9.18</w:t>
      </w:r>
      <w:r>
        <w:rPr>
          <w:rFonts w:hint="eastAsia" w:ascii="宋体" w:hAnsi="宋体" w:eastAsia="宋体" w:cs="宋体"/>
          <w:spacing w:val="0"/>
          <w:w w:val="100"/>
          <w:position w:val="0"/>
          <w:sz w:val="24"/>
          <w:szCs w:val="24"/>
        </w:rPr>
        <w:fldChar w:fldCharType="end"/>
      </w:r>
      <w:r>
        <w:rPr>
          <w:rFonts w:hint="eastAsia" w:ascii="宋体" w:hAnsi="宋体" w:eastAsia="宋体" w:cs="宋体"/>
          <w:spacing w:val="0"/>
          <w:w w:val="100"/>
          <w:position w:val="0"/>
          <w:sz w:val="24"/>
          <w:szCs w:val="24"/>
          <w:u w:val="single" w:color="auto"/>
        </w:rPr>
        <w:t>承包人应按发包人规定的日期，按时报送年、季建设、资金计划和月度施工计划及相应的统计、财务报表，并确保发包人下达的年、季计划的完成。有关计划、统计和财务的管理均按发包人现行的办法执行。</w:t>
      </w:r>
    </w:p>
    <w:p w14:paraId="1486E32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三、施工组织设计和工期</w:t>
      </w:r>
    </w:p>
    <w:p w14:paraId="6A9148E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10、进度计划</w:t>
      </w:r>
    </w:p>
    <w:p w14:paraId="3EA49C7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10.1承包人提供施工组织设计</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施工方案</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和进度计划的时间：</w:t>
      </w:r>
      <w:r>
        <w:rPr>
          <w:rFonts w:hint="eastAsia" w:ascii="宋体" w:hAnsi="宋体" w:eastAsia="宋体" w:cs="宋体"/>
          <w:spacing w:val="0"/>
          <w:w w:val="100"/>
          <w:position w:val="0"/>
          <w:sz w:val="24"/>
          <w:szCs w:val="24"/>
          <w:u w:val="single" w:color="auto"/>
        </w:rPr>
        <w:t>为工程开工日期前5天。</w:t>
      </w:r>
    </w:p>
    <w:p w14:paraId="272E05A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10.2群体工程中有关进度计划的要</w:t>
      </w:r>
      <w:r>
        <w:rPr>
          <w:rFonts w:hint="eastAsia" w:ascii="宋体" w:hAnsi="宋体" w:eastAsia="宋体" w:cs="宋体"/>
          <w:spacing w:val="0"/>
          <w:w w:val="100"/>
          <w:position w:val="0"/>
          <w:sz w:val="24"/>
          <w:szCs w:val="24"/>
          <w:u w:val="single" w:color="auto"/>
        </w:rPr>
        <w:t>求：无</w:t>
      </w:r>
      <w:r>
        <w:rPr>
          <w:rFonts w:hint="eastAsia" w:ascii="宋体" w:hAnsi="宋体" w:eastAsia="宋体" w:cs="宋体"/>
          <w:spacing w:val="0"/>
          <w:w w:val="100"/>
          <w:position w:val="0"/>
          <w:sz w:val="24"/>
          <w:szCs w:val="24"/>
        </w:rPr>
        <w:t>工程师确认的时间：</w:t>
      </w:r>
      <w:r>
        <w:rPr>
          <w:rFonts w:hint="eastAsia" w:ascii="宋体" w:hAnsi="宋体" w:eastAsia="宋体" w:cs="宋体"/>
          <w:spacing w:val="0"/>
          <w:w w:val="100"/>
          <w:position w:val="0"/>
          <w:sz w:val="24"/>
          <w:szCs w:val="24"/>
          <w:u w:val="single" w:color="auto"/>
        </w:rPr>
        <w:t>为承包人提交后3天内。</w:t>
      </w:r>
    </w:p>
    <w:p w14:paraId="6F6C491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13、工期延误</w:t>
      </w:r>
    </w:p>
    <w:p w14:paraId="2C535FE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13.1双方约定工期顺延的</w:t>
      </w:r>
      <w:r>
        <w:rPr>
          <w:rFonts w:hint="eastAsia" w:ascii="宋体" w:hAnsi="宋体" w:eastAsia="宋体" w:cs="宋体"/>
          <w:spacing w:val="0"/>
          <w:w w:val="100"/>
          <w:position w:val="0"/>
          <w:sz w:val="24"/>
          <w:szCs w:val="24"/>
          <w:lang w:eastAsia="zh-CN"/>
        </w:rPr>
        <w:t>其他情况</w:t>
      </w:r>
      <w:r>
        <w:rPr>
          <w:rFonts w:hint="eastAsia" w:ascii="宋体" w:hAnsi="宋体" w:eastAsia="宋体" w:cs="宋体"/>
          <w:spacing w:val="0"/>
          <w:w w:val="100"/>
          <w:position w:val="0"/>
          <w:sz w:val="24"/>
          <w:szCs w:val="24"/>
        </w:rPr>
        <w:t>：</w:t>
      </w:r>
    </w:p>
    <w:p w14:paraId="342CBEB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13.1.1</w:t>
      </w:r>
      <w:r>
        <w:rPr>
          <w:rFonts w:hint="eastAsia" w:ascii="宋体" w:hAnsi="宋体" w:eastAsia="宋体" w:cs="宋体"/>
          <w:spacing w:val="0"/>
          <w:w w:val="100"/>
          <w:position w:val="0"/>
          <w:sz w:val="24"/>
          <w:szCs w:val="24"/>
          <w:u w:val="single" w:color="auto"/>
        </w:rPr>
        <w:t>因发包人原因导致工程拖期的，经发包人认可后只予以工期顺延，</w:t>
      </w:r>
      <w:r>
        <w:rPr>
          <w:rFonts w:hint="eastAsia" w:ascii="宋体" w:hAnsi="宋体" w:eastAsia="宋体" w:cs="宋体"/>
          <w:spacing w:val="0"/>
          <w:w w:val="100"/>
          <w:position w:val="0"/>
          <w:sz w:val="24"/>
          <w:szCs w:val="24"/>
          <w:u w:val="single" w:color="auto"/>
          <w:lang w:eastAsia="zh-CN"/>
        </w:rPr>
        <w:t>不计其他</w:t>
      </w:r>
      <w:r>
        <w:rPr>
          <w:rFonts w:hint="eastAsia" w:ascii="宋体" w:hAnsi="宋体" w:eastAsia="宋体" w:cs="宋体"/>
          <w:spacing w:val="0"/>
          <w:w w:val="100"/>
          <w:position w:val="0"/>
          <w:sz w:val="24"/>
          <w:szCs w:val="24"/>
          <w:u w:val="single" w:color="auto"/>
        </w:rPr>
        <w:t>。</w:t>
      </w:r>
    </w:p>
    <w:p w14:paraId="275F15F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13.1.2</w:t>
      </w:r>
      <w:r>
        <w:rPr>
          <w:rFonts w:hint="eastAsia" w:ascii="宋体" w:hAnsi="宋体" w:eastAsia="宋体" w:cs="宋体"/>
          <w:spacing w:val="0"/>
          <w:w w:val="100"/>
          <w:position w:val="0"/>
          <w:sz w:val="24"/>
          <w:szCs w:val="24"/>
          <w:u w:val="single" w:color="auto"/>
        </w:rPr>
        <w:t>在施工过程中因设计变更引起承包人不能正常施工，承包人应随时进行工种调整，不计取误工费，经发包人和监理单位确认后工期顺延。</w:t>
      </w:r>
    </w:p>
    <w:p w14:paraId="39E02D0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13.2工期提前和延误的奖惩：</w:t>
      </w:r>
    </w:p>
    <w:p w14:paraId="3C3BA9D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发包人与承包人约定：</w:t>
      </w:r>
      <w:r>
        <w:rPr>
          <w:rFonts w:hint="eastAsia" w:ascii="宋体" w:hAnsi="宋体" w:eastAsia="宋体" w:cs="宋体"/>
          <w:spacing w:val="0"/>
          <w:w w:val="100"/>
          <w:position w:val="0"/>
          <w:sz w:val="24"/>
          <w:szCs w:val="24"/>
          <w:u w:val="single" w:color="auto"/>
        </w:rPr>
        <w:t>按合同工期每</w:t>
      </w:r>
      <w:r>
        <w:rPr>
          <w:rFonts w:hint="eastAsia" w:ascii="宋体" w:hAnsi="宋体" w:eastAsia="宋体" w:cs="宋体"/>
          <w:spacing w:val="0"/>
          <w:w w:val="100"/>
          <w:position w:val="0"/>
          <w:sz w:val="24"/>
          <w:szCs w:val="24"/>
          <w:u w:val="single" w:color="auto"/>
          <w:lang w:eastAsia="zh-CN"/>
        </w:rPr>
        <w:t>延后</w:t>
      </w:r>
      <w:r>
        <w:rPr>
          <w:rFonts w:hint="eastAsia" w:ascii="宋体" w:hAnsi="宋体" w:eastAsia="宋体" w:cs="宋体"/>
          <w:spacing w:val="0"/>
          <w:w w:val="100"/>
          <w:position w:val="0"/>
          <w:sz w:val="24"/>
          <w:szCs w:val="24"/>
          <w:u w:val="single" w:color="auto"/>
        </w:rPr>
        <w:t>一天，按合同价的千分之一向发包方支付违约金，但不超过合同总价的</w:t>
      </w:r>
      <w:r>
        <w:rPr>
          <w:rFonts w:hint="eastAsia" w:ascii="宋体" w:hAnsi="宋体" w:eastAsia="宋体" w:cs="宋体"/>
          <w:spacing w:val="0"/>
          <w:w w:val="100"/>
          <w:position w:val="0"/>
          <w:sz w:val="24"/>
          <w:szCs w:val="24"/>
          <w:u w:val="single" w:color="auto"/>
          <w:lang w:val="en-US" w:eastAsia="zh-CN"/>
        </w:rPr>
        <w:t>5</w:t>
      </w:r>
      <w:r>
        <w:rPr>
          <w:rFonts w:hint="eastAsia" w:ascii="宋体" w:hAnsi="宋体" w:eastAsia="宋体" w:cs="宋体"/>
          <w:spacing w:val="0"/>
          <w:w w:val="100"/>
          <w:position w:val="0"/>
          <w:sz w:val="24"/>
          <w:szCs w:val="24"/>
          <w:u w:val="single" w:color="auto"/>
        </w:rPr>
        <w:t>%。</w:t>
      </w:r>
    </w:p>
    <w:p w14:paraId="5FF53DD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四、质量与验收</w:t>
      </w:r>
    </w:p>
    <w:p w14:paraId="69C83A5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17.隐蔽工程和中间验收</w:t>
      </w:r>
    </w:p>
    <w:p w14:paraId="5A180EC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17.1双方约定中间验收部位：</w:t>
      </w:r>
    </w:p>
    <w:p w14:paraId="31BAEC4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17.2</w:t>
      </w:r>
      <w:r>
        <w:rPr>
          <w:rFonts w:hint="eastAsia" w:ascii="宋体" w:hAnsi="宋体" w:eastAsia="宋体" w:cs="宋体"/>
          <w:spacing w:val="0"/>
          <w:w w:val="100"/>
          <w:position w:val="0"/>
          <w:sz w:val="24"/>
          <w:szCs w:val="24"/>
          <w:u w:val="single" w:color="auto"/>
        </w:rPr>
        <w:t>工程完工的整体验收</w:t>
      </w:r>
    </w:p>
    <w:p w14:paraId="4A6927F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17.3</w:t>
      </w:r>
      <w:r>
        <w:rPr>
          <w:rFonts w:hint="eastAsia" w:ascii="宋体" w:hAnsi="宋体" w:eastAsia="宋体" w:cs="宋体"/>
          <w:spacing w:val="0"/>
          <w:w w:val="100"/>
          <w:position w:val="0"/>
          <w:sz w:val="24"/>
          <w:szCs w:val="24"/>
          <w:u w:val="single" w:color="auto"/>
        </w:rPr>
        <w:t>各分部分项工程施工质量必须达到一次性验收合格标准；质量标准争创结构示范工程。</w:t>
      </w:r>
    </w:p>
    <w:p w14:paraId="0B43FC7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19.工程试车</w:t>
      </w:r>
    </w:p>
    <w:p w14:paraId="6A196E5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19.5试车费用的承担：</w:t>
      </w:r>
      <w:r>
        <w:rPr>
          <w:rFonts w:hint="eastAsia" w:ascii="宋体" w:hAnsi="宋体" w:eastAsia="宋体" w:cs="宋体"/>
          <w:spacing w:val="0"/>
          <w:w w:val="100"/>
          <w:position w:val="0"/>
          <w:sz w:val="24"/>
          <w:szCs w:val="24"/>
          <w:u w:val="single" w:color="auto"/>
        </w:rPr>
        <w:t>无</w:t>
      </w:r>
    </w:p>
    <w:p w14:paraId="4B1E6CB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五、安全防护、文明施工</w:t>
      </w:r>
    </w:p>
    <w:p w14:paraId="4048FAE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施工现场发生的一切安全事故由承包人负责，并承担全部责任及费用。</w:t>
      </w:r>
    </w:p>
    <w:p w14:paraId="7355390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u w:val="single" w:color="auto"/>
        </w:rPr>
        <w:t>参照市级文明施工工地相关规定执行。</w:t>
      </w:r>
    </w:p>
    <w:p w14:paraId="75A44D8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六、合同价款</w:t>
      </w:r>
    </w:p>
    <w:p w14:paraId="262FFE5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26.合同价款约定</w:t>
      </w:r>
    </w:p>
    <w:p w14:paraId="30C9F0D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26.2本合同价款采用</w:t>
      </w:r>
      <w:r>
        <w:rPr>
          <w:rFonts w:hint="eastAsia" w:ascii="宋体" w:hAnsi="宋体" w:eastAsia="宋体" w:cs="宋体"/>
          <w:spacing w:val="0"/>
          <w:w w:val="100"/>
          <w:position w:val="0"/>
          <w:sz w:val="24"/>
          <w:szCs w:val="24"/>
          <w:u w:val="single" w:color="auto"/>
        </w:rPr>
        <w:t>固定综合单价</w:t>
      </w:r>
      <w:r>
        <w:rPr>
          <w:rFonts w:hint="eastAsia" w:ascii="宋体" w:hAnsi="宋体" w:eastAsia="宋体" w:cs="宋体"/>
          <w:spacing w:val="0"/>
          <w:w w:val="100"/>
          <w:position w:val="0"/>
          <w:sz w:val="24"/>
          <w:szCs w:val="24"/>
        </w:rPr>
        <w:t>方式确定。</w:t>
      </w:r>
    </w:p>
    <w:p w14:paraId="45F136A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26.2.1采用固定总价合同：</w:t>
      </w:r>
      <w:r>
        <w:rPr>
          <w:rFonts w:hint="eastAsia" w:ascii="宋体" w:hAnsi="宋体" w:eastAsia="宋体" w:cs="宋体"/>
          <w:spacing w:val="0"/>
          <w:w w:val="100"/>
          <w:position w:val="0"/>
          <w:sz w:val="24"/>
          <w:szCs w:val="24"/>
          <w:u w:val="single" w:color="auto"/>
        </w:rPr>
        <w:t>本条不适用</w:t>
      </w:r>
    </w:p>
    <w:p w14:paraId="7827609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26.2.2采用固定综合单价合同，综合单价中包括的风险范围：</w:t>
      </w:r>
      <w:r>
        <w:rPr>
          <w:rFonts w:hint="eastAsia" w:ascii="宋体" w:hAnsi="宋体" w:eastAsia="宋体" w:cs="宋体"/>
          <w:spacing w:val="0"/>
          <w:w w:val="100"/>
          <w:position w:val="0"/>
          <w:sz w:val="24"/>
          <w:szCs w:val="24"/>
          <w:u w:val="single" w:color="auto"/>
        </w:rPr>
        <w:t>人工费、材料费、机械费的社会价格浮动，本合同第43条规定以外发生的自然灾害、雨季施工的防御措施费、停水、停电及停工、窝工在连续48小时以内的费用及国家政策调整、金融汇率变化、银行存贷款利率调整、承包人在投标前及合同明示或暗示的所有风险、责任和义务等。承包人承担的风险费用已由承包人根据其自身经验作了充分估计并已计入合同协议确定的合同价款中。</w:t>
      </w:r>
    </w:p>
    <w:p w14:paraId="03B2304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风险范围以外综合单价调整方法：</w:t>
      </w:r>
    </w:p>
    <w:p w14:paraId="52024F1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26.2.3采用可调价格合同，合同价款调整方法：</w:t>
      </w:r>
      <w:r>
        <w:rPr>
          <w:rFonts w:hint="eastAsia" w:ascii="宋体" w:hAnsi="宋体" w:eastAsia="宋体" w:cs="宋体"/>
          <w:spacing w:val="0"/>
          <w:w w:val="100"/>
          <w:position w:val="0"/>
          <w:sz w:val="24"/>
          <w:szCs w:val="24"/>
          <w:u w:val="single" w:color="auto"/>
        </w:rPr>
        <w:t>/</w:t>
      </w:r>
    </w:p>
    <w:p w14:paraId="27687A2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27、合同价款调整</w:t>
      </w:r>
    </w:p>
    <w:p w14:paraId="4675929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27.1双方约定合同价款的其他调整因素：</w:t>
      </w:r>
    </w:p>
    <w:p w14:paraId="4E23EA3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27.1.1</w:t>
      </w:r>
      <w:r>
        <w:rPr>
          <w:rFonts w:hint="eastAsia" w:ascii="宋体" w:hAnsi="宋体" w:eastAsia="宋体" w:cs="宋体"/>
          <w:spacing w:val="0"/>
          <w:w w:val="100"/>
          <w:position w:val="0"/>
          <w:sz w:val="24"/>
          <w:szCs w:val="24"/>
          <w:u w:val="single" w:color="auto"/>
        </w:rPr>
        <w:t>因发包人设计变更引起的新增项目按工程变更对待，按《专用条款》第35条规定确定变更价款。因承包人漏报的项目不予调整。</w:t>
      </w:r>
    </w:p>
    <w:p w14:paraId="092360E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28、工程预付款</w:t>
      </w:r>
    </w:p>
    <w:p w14:paraId="7781683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发包人向承包人预付工程款的时间和金额或占合同价款总额的比例：/</w:t>
      </w:r>
    </w:p>
    <w:p w14:paraId="41E9858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default"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rPr>
        <w:t>扣回工程预付款的时间、比例：</w:t>
      </w:r>
      <w:r>
        <w:rPr>
          <w:rFonts w:hint="eastAsia" w:ascii="宋体" w:hAnsi="宋体" w:eastAsia="宋体" w:cs="宋体"/>
          <w:spacing w:val="0"/>
          <w:w w:val="100"/>
          <w:position w:val="0"/>
          <w:sz w:val="24"/>
          <w:szCs w:val="24"/>
          <w:u w:val="single"/>
          <w:lang w:val="en-US" w:eastAsia="zh-CN"/>
        </w:rPr>
        <w:t xml:space="preserve">    </w:t>
      </w:r>
    </w:p>
    <w:p w14:paraId="275D633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29、工程量确认</w:t>
      </w:r>
    </w:p>
    <w:p w14:paraId="7D9EF45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29.1承包人向工程师提交已完工程量报告的时间：</w:t>
      </w:r>
      <w:r>
        <w:rPr>
          <w:rFonts w:hint="eastAsia" w:ascii="宋体" w:hAnsi="宋体" w:eastAsia="宋体" w:cs="宋体"/>
          <w:spacing w:val="0"/>
          <w:w w:val="100"/>
          <w:position w:val="0"/>
          <w:sz w:val="24"/>
          <w:szCs w:val="24"/>
          <w:u w:val="single" w:color="auto"/>
        </w:rPr>
        <w:t>每月15日。</w:t>
      </w:r>
    </w:p>
    <w:p w14:paraId="07DAFED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30、工程款</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进度款</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结算与支付</w:t>
      </w:r>
    </w:p>
    <w:p w14:paraId="0648EF7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双方约定的工程进度款支付的方式、时间和比例是：</w:t>
      </w:r>
    </w:p>
    <w:p w14:paraId="348AEA8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合同签订后，每月按照月进度报表经检查验收合格后，按审批的月进度完成图纸内工作量的80%支付</w:t>
      </w:r>
      <w:r>
        <w:rPr>
          <w:rFonts w:hint="eastAsia" w:ascii="宋体" w:hAnsi="宋体" w:eastAsia="宋体" w:cs="宋体"/>
          <w:spacing w:val="0"/>
          <w:w w:val="100"/>
          <w:position w:val="0"/>
          <w:sz w:val="24"/>
          <w:szCs w:val="24"/>
          <w:u w:val="single" w:color="auto"/>
          <w:lang w:val="en-US" w:eastAsia="zh-CN"/>
        </w:rPr>
        <w:t>至</w:t>
      </w:r>
      <w:r>
        <w:rPr>
          <w:rFonts w:hint="eastAsia" w:ascii="宋体" w:hAnsi="宋体" w:eastAsia="宋体" w:cs="宋体"/>
          <w:spacing w:val="0"/>
          <w:w w:val="100"/>
          <w:position w:val="0"/>
          <w:sz w:val="24"/>
          <w:szCs w:val="24"/>
          <w:u w:val="single" w:color="auto"/>
        </w:rPr>
        <w:t>工程</w:t>
      </w:r>
      <w:r>
        <w:rPr>
          <w:rFonts w:hint="eastAsia" w:ascii="宋体" w:hAnsi="宋体" w:eastAsia="宋体" w:cs="宋体"/>
          <w:spacing w:val="0"/>
          <w:w w:val="100"/>
          <w:position w:val="0"/>
          <w:sz w:val="24"/>
          <w:szCs w:val="24"/>
          <w:u w:val="single" w:color="auto"/>
          <w:lang w:val="en-US" w:eastAsia="zh-CN"/>
        </w:rPr>
        <w:t>总价款的70%</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完成工竣工验收合格后成交供应商报送结算资料</w:t>
      </w:r>
      <w:r>
        <w:rPr>
          <w:rFonts w:hint="eastAsia" w:ascii="宋体" w:hAnsi="宋体" w:eastAsia="宋体" w:cs="宋体"/>
          <w:spacing w:val="0"/>
          <w:w w:val="100"/>
          <w:position w:val="0"/>
          <w:sz w:val="24"/>
          <w:szCs w:val="24"/>
          <w:u w:val="single" w:color="auto"/>
        </w:rPr>
        <w:t>，工程决算审计完成并交付全部工程备案资料和结算资料后付至</w:t>
      </w:r>
      <w:r>
        <w:rPr>
          <w:rFonts w:hint="eastAsia" w:ascii="宋体" w:hAnsi="宋体" w:eastAsia="宋体" w:cs="宋体"/>
          <w:spacing w:val="0"/>
          <w:w w:val="100"/>
          <w:position w:val="0"/>
          <w:sz w:val="24"/>
          <w:szCs w:val="24"/>
          <w:u w:val="single" w:color="auto"/>
          <w:lang w:val="en-US" w:eastAsia="zh-CN"/>
        </w:rPr>
        <w:t>决算价款</w:t>
      </w:r>
      <w:r>
        <w:rPr>
          <w:rFonts w:hint="eastAsia" w:ascii="宋体" w:hAnsi="宋体" w:eastAsia="宋体" w:cs="宋体"/>
          <w:spacing w:val="0"/>
          <w:w w:val="100"/>
          <w:position w:val="0"/>
          <w:sz w:val="24"/>
          <w:szCs w:val="24"/>
          <w:u w:val="single" w:color="auto"/>
        </w:rPr>
        <w:t>的97%</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预留3%质量保修金，待保修期满后30日内付清余款</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无利息</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w:t>
      </w:r>
    </w:p>
    <w:p w14:paraId="3DCDA16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七、材料设备供应</w:t>
      </w:r>
    </w:p>
    <w:p w14:paraId="1582877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31、发包人供应材料设备</w:t>
      </w:r>
    </w:p>
    <w:p w14:paraId="5613CD6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31.1发包人供应材料设备见《甲供材一览表》。</w:t>
      </w:r>
    </w:p>
    <w:p w14:paraId="51E2E45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31.4发包人供应的材料设备与一览表不符时，双方约定发包人承担责任如下：</w:t>
      </w:r>
    </w:p>
    <w:p w14:paraId="587AD03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材料设备单价与一览表不符：</w:t>
      </w:r>
    </w:p>
    <w:p w14:paraId="0CCD9F3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发包人供应材料与一览表或招标暂定价格不符，由发包人承担价差并入工程结算</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差价只计税金，其他费用不计</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w:t>
      </w:r>
    </w:p>
    <w:p w14:paraId="2BAD7F2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材料设备的品种、规格、型号、质量等级与一览表不符：</w:t>
      </w:r>
    </w:p>
    <w:p w14:paraId="399F18E7">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执行《通用条款》31.4</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2</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款。</w:t>
      </w:r>
    </w:p>
    <w:p w14:paraId="08E1A078">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承包人可代为调剂串换的材料：</w:t>
      </w:r>
    </w:p>
    <w:p w14:paraId="616235E5">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执行《通用条款》31.4</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3</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款。</w:t>
      </w:r>
    </w:p>
    <w:p w14:paraId="2B8A53B4">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到货地点与一览表不符：</w:t>
      </w:r>
    </w:p>
    <w:p w14:paraId="3202BA67">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执行《通用条款》31.4</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4</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款。</w:t>
      </w:r>
    </w:p>
    <w:p w14:paraId="64B0BC3C">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供应数量与一览表不符：</w:t>
      </w:r>
    </w:p>
    <w:p w14:paraId="208174C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执行《通用条款》31.4</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5</w:t>
      </w:r>
      <w:r>
        <w:rPr>
          <w:rFonts w:hint="eastAsia" w:ascii="宋体" w:hAnsi="宋体" w:eastAsia="宋体" w:cs="宋体"/>
          <w:spacing w:val="0"/>
          <w:w w:val="100"/>
          <w:position w:val="0"/>
          <w:sz w:val="24"/>
          <w:szCs w:val="24"/>
          <w:u w:val="single"/>
          <w:lang w:eastAsia="zh-CN"/>
        </w:rPr>
        <w:t>）</w:t>
      </w:r>
      <w:r>
        <w:rPr>
          <w:rFonts w:hint="eastAsia" w:ascii="宋体" w:hAnsi="宋体" w:eastAsia="宋体" w:cs="宋体"/>
          <w:spacing w:val="0"/>
          <w:w w:val="100"/>
          <w:position w:val="0"/>
          <w:sz w:val="24"/>
          <w:szCs w:val="24"/>
          <w:u w:val="single"/>
        </w:rPr>
        <w:t>款。</w:t>
      </w:r>
    </w:p>
    <w:p w14:paraId="331C9A1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到货时间与一览表不符：</w:t>
      </w:r>
    </w:p>
    <w:p w14:paraId="761F9BC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到货时间无论何时、早晚，承包人都有材料的保管责任且不再另向发包人索要保管费</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合同价中已经包含</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rPr>
        <w:t>。</w:t>
      </w:r>
    </w:p>
    <w:p w14:paraId="4E7062A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31.6发包人供应材料设备的结算方法：</w:t>
      </w:r>
    </w:p>
    <w:p w14:paraId="7237B42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在发生当月工程进度款中按实际用量及招标暂定价格扣除。认质认价所产生的差价</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差价进入工程结算时只计取税金</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在竣工决算时从工程结算款中扣除。</w:t>
      </w:r>
    </w:p>
    <w:p w14:paraId="27CB0CC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32、承包人采购材料设备</w:t>
      </w:r>
    </w:p>
    <w:p w14:paraId="2CCBCEB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32.1承包人采购材料设备的约定：</w:t>
      </w:r>
    </w:p>
    <w:p w14:paraId="73ADCC4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暂定价材料均应由发包人认质认价签字确认后方可采购并用于工程，否则不予结算。承包人采购的所有材料、设备均应达到国家规范“合格”标准以上。采购前须将材料、设备样品报发包人确认签字并封样后方可订货，材料进场必须经发包人和监理单位共同验收合格后方可使用，否则发包人有权要求承包人退货。如因材料、设备质量造成的工程损失由承包人负全部责任。</w:t>
      </w:r>
    </w:p>
    <w:p w14:paraId="098AC48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八、工程变更</w:t>
      </w:r>
    </w:p>
    <w:p w14:paraId="176303A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35.确定变更价款</w:t>
      </w:r>
    </w:p>
    <w:p w14:paraId="1D7AA95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35.1变更合同价款的方法</w:t>
      </w:r>
    </w:p>
    <w:p w14:paraId="37A1E6B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35.1.1本工程施工图纸发生变更，需发包人下达变更通知、经发包人认可的由监理工程师发出的变更指令、发包人</w:t>
      </w:r>
      <w:r>
        <w:rPr>
          <w:rFonts w:hint="eastAsia" w:ascii="宋体" w:hAnsi="宋体" w:eastAsia="宋体" w:cs="宋体"/>
          <w:spacing w:val="0"/>
          <w:w w:val="100"/>
          <w:position w:val="0"/>
          <w:sz w:val="24"/>
          <w:szCs w:val="24"/>
          <w:u w:val="single" w:color="auto"/>
          <w:lang w:eastAsia="zh-CN"/>
        </w:rPr>
        <w:t>指定</w:t>
      </w:r>
      <w:r>
        <w:rPr>
          <w:rFonts w:hint="eastAsia" w:ascii="宋体" w:hAnsi="宋体" w:eastAsia="宋体" w:cs="宋体"/>
          <w:spacing w:val="0"/>
          <w:w w:val="100"/>
          <w:position w:val="0"/>
          <w:sz w:val="24"/>
          <w:szCs w:val="24"/>
          <w:u w:val="single" w:color="auto"/>
        </w:rPr>
        <w:t>定价材料认质认价单以及不可抗力事件发生的现场签证均按变更对待，发生费用由发包人承担。如承包人更改施工方法，而引起费用增加时，其费用均由承包人负责。</w:t>
      </w:r>
    </w:p>
    <w:p w14:paraId="7A80119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35.1.2本工程施工过程中，发生设计变更，若其增减工程量涉及的款额累计不超过合同价的8%时，依照实际发生的工程量按原合同中双方确认的综合单价进行结算，且原合同中措施项目费不变。</w:t>
      </w:r>
    </w:p>
    <w:p w14:paraId="10C8ADB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35.1.3若增减工程量涉及的款额超过上述范围时，原合同综合单价不变，工程量按实际增减后工程量为准。超过限额标准以外工程量相应措施项目费应按以下标准调整：造价变更减少时，除原合同价中所含临时设施费不变外，其余应按原合同价中措施项目费占工程造价的相同比例核减；造价增加时，按合同承包价中措施项目费所占比例的95%标准计取。经双方确认后，作为结算的依据。</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只计算超过8%的部分</w:t>
      </w:r>
      <w:r>
        <w:rPr>
          <w:rFonts w:hint="eastAsia" w:ascii="宋体" w:hAnsi="宋体" w:eastAsia="宋体" w:cs="宋体"/>
          <w:spacing w:val="0"/>
          <w:w w:val="100"/>
          <w:position w:val="0"/>
          <w:sz w:val="24"/>
          <w:szCs w:val="24"/>
          <w:u w:val="single" w:color="auto"/>
          <w:lang w:eastAsia="zh-CN"/>
        </w:rPr>
        <w:t>）</w:t>
      </w:r>
    </w:p>
    <w:p w14:paraId="5726CFE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35.1.4新增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相同主材单价时，则执行经发包人认质认价程序确认的价格，差价只计取规费和税金，在类似工程价格的基础上组成新的单价，按新的单价办理结算；合同中没有适用或类似于工程变更的价格，按招标文件编制最高限价综合单价的原则组价，并按原中标价同原最高限价相比下浮相同比例确定结算单价，按确认的结算单价办理结算。</w:t>
      </w:r>
    </w:p>
    <w:p w14:paraId="2A2A88B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九、竣工验收与结算</w:t>
      </w:r>
    </w:p>
    <w:p w14:paraId="6FBE1CF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36、竣工验收</w:t>
      </w:r>
    </w:p>
    <w:p w14:paraId="7DFB6AB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36.1承包人提供竣工图的约定：</w:t>
      </w:r>
    </w:p>
    <w:p w14:paraId="58C0D50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当工程具备竣工验收条件时，承包人负责向建设主管部门提交符合要求的竣工档案资料；同时向发包人提供4套竣工资料。</w:t>
      </w:r>
    </w:p>
    <w:p w14:paraId="237B6AA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36.2中间交工工程的范围和竣工时间：</w:t>
      </w:r>
    </w:p>
    <w:p w14:paraId="3508796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37、竣工结算</w:t>
      </w:r>
    </w:p>
    <w:p w14:paraId="6870052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工程竣工验收后，发包人收到承包人递交的工程结算报告及结算资料后及时组织工程结算审核工作，审核完毕后支付至结算工程造价的97%</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留3%保修金。其余执行《通用条款》37条。</w:t>
      </w:r>
    </w:p>
    <w:p w14:paraId="5EBE474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十、违约、索赔和争议</w:t>
      </w:r>
    </w:p>
    <w:p w14:paraId="7B3EE86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39、违约</w:t>
      </w:r>
    </w:p>
    <w:p w14:paraId="36C0C86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39.1本合同中关于发包人违约的具体责任如下：</w:t>
      </w:r>
    </w:p>
    <w:p w14:paraId="3316F2B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本合同通用条款第28.1条约定发包人违约应承担的违约责任：</w:t>
      </w:r>
    </w:p>
    <w:p w14:paraId="6EB1FC5D">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w:t>
      </w:r>
    </w:p>
    <w:p w14:paraId="0BDC49A4">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本合同通用条款第30.5款约定发包人违约应承担的违约责任：</w:t>
      </w:r>
    </w:p>
    <w:p w14:paraId="1B50BB65">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w:t>
      </w:r>
    </w:p>
    <w:p w14:paraId="0F8236F2">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本合同通用条款第37.6款约定发包人违约应承担的违约责任：</w:t>
      </w:r>
    </w:p>
    <w:p w14:paraId="62014FE2">
      <w:pPr>
        <w:pStyle w:val="7"/>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rPr>
      </w:pPr>
      <w:r>
        <w:rPr>
          <w:rFonts w:hint="eastAsia" w:ascii="宋体" w:hAnsi="宋体" w:eastAsia="宋体" w:cs="宋体"/>
          <w:spacing w:val="0"/>
          <w:w w:val="100"/>
          <w:position w:val="0"/>
          <w:sz w:val="24"/>
          <w:szCs w:val="24"/>
          <w:u w:val="single"/>
        </w:rPr>
        <w:t>执行通用条款</w:t>
      </w:r>
    </w:p>
    <w:p w14:paraId="60E04F7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default"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rPr>
        <w:t>双方约定的发包人其他违约责任：</w:t>
      </w:r>
      <w:r>
        <w:rPr>
          <w:rFonts w:hint="eastAsia" w:ascii="宋体" w:hAnsi="宋体" w:eastAsia="宋体" w:cs="宋体"/>
          <w:spacing w:val="0"/>
          <w:w w:val="100"/>
          <w:position w:val="0"/>
          <w:sz w:val="24"/>
          <w:szCs w:val="24"/>
          <w:u w:val="single"/>
          <w:lang w:val="en-US" w:eastAsia="zh-CN"/>
        </w:rPr>
        <w:t xml:space="preserve">   /   </w:t>
      </w:r>
    </w:p>
    <w:p w14:paraId="68DAC93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39.2本合同中关于承包人违约的具体责任如下：</w:t>
      </w:r>
    </w:p>
    <w:p w14:paraId="28AB569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本合同通用条款第14.2款约定承包人违约应承担的责任：</w:t>
      </w:r>
    </w:p>
    <w:p w14:paraId="48C1196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该项违约，承包人按合同工期每推后一天，按合同价的万分之一向发包方支付违约金，但不超过合同总价的</w:t>
      </w:r>
      <w:r>
        <w:rPr>
          <w:rFonts w:hint="eastAsia" w:ascii="宋体" w:hAnsi="宋体" w:eastAsia="宋体" w:cs="宋体"/>
          <w:spacing w:val="0"/>
          <w:w w:val="100"/>
          <w:position w:val="0"/>
          <w:sz w:val="24"/>
          <w:szCs w:val="24"/>
          <w:u w:val="single" w:color="auto"/>
          <w:lang w:val="en-US" w:eastAsia="zh-CN"/>
        </w:rPr>
        <w:t>5</w:t>
      </w:r>
      <w:r>
        <w:rPr>
          <w:rFonts w:hint="eastAsia" w:ascii="宋体" w:hAnsi="宋体" w:eastAsia="宋体" w:cs="宋体"/>
          <w:spacing w:val="0"/>
          <w:w w:val="100"/>
          <w:position w:val="0"/>
          <w:sz w:val="24"/>
          <w:szCs w:val="24"/>
          <w:u w:val="single" w:color="auto"/>
        </w:rPr>
        <w:t>%。</w:t>
      </w:r>
    </w:p>
    <w:p w14:paraId="62496FC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本合同通用条款第15.1款约定承包人违约应承担的责任：</w:t>
      </w:r>
    </w:p>
    <w:p w14:paraId="6AB834D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承包人承担因工程质量达不到技术规定的质量标准所造成检测、返工、加固等所有质量补救措施的全部费用。当质量问题严重，或承包人拒绝尽快采取弥补质量缺陷措施时，承包人承担发包人因此终止合同更换施工单位的全部责任，承担因此产生的发包人费用。因此造成的工期延误和直接经济损失均由承包人承担。并按总额不超过承包合同价的10%支付质量违约金。</w:t>
      </w:r>
    </w:p>
    <w:p w14:paraId="34A3383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双方约定的承包人</w:t>
      </w:r>
      <w:r>
        <w:rPr>
          <w:rFonts w:hint="eastAsia" w:ascii="宋体" w:hAnsi="宋体" w:eastAsia="宋体" w:cs="宋体"/>
          <w:spacing w:val="0"/>
          <w:w w:val="100"/>
          <w:position w:val="0"/>
          <w:sz w:val="24"/>
          <w:szCs w:val="24"/>
          <w:lang w:eastAsia="zh-CN"/>
        </w:rPr>
        <w:t>其他</w:t>
      </w:r>
      <w:r>
        <w:rPr>
          <w:rFonts w:hint="eastAsia" w:ascii="宋体" w:hAnsi="宋体" w:eastAsia="宋体" w:cs="宋体"/>
          <w:spacing w:val="0"/>
          <w:w w:val="100"/>
          <w:position w:val="0"/>
          <w:sz w:val="24"/>
          <w:szCs w:val="24"/>
        </w:rPr>
        <w:t>违约责任：</w:t>
      </w:r>
      <w:r>
        <w:rPr>
          <w:rFonts w:hint="eastAsia" w:ascii="宋体" w:hAnsi="宋体" w:eastAsia="宋体" w:cs="宋体"/>
          <w:spacing w:val="0"/>
          <w:w w:val="100"/>
          <w:position w:val="0"/>
          <w:sz w:val="24"/>
          <w:szCs w:val="24"/>
          <w:u w:val="single" w:color="auto"/>
        </w:rPr>
        <w:t>承包人在投标文件中承诺的工程管理人员在实际施工中未完全到场的，将在合同结算时直接扣除人民币20万元整。</w:t>
      </w:r>
      <w:r>
        <w:rPr>
          <w:rFonts w:hint="eastAsia" w:ascii="宋体" w:hAnsi="宋体" w:eastAsia="宋体" w:cs="宋体"/>
          <w:spacing w:val="0"/>
          <w:w w:val="100"/>
          <w:position w:val="0"/>
          <w:sz w:val="24"/>
          <w:szCs w:val="24"/>
          <w:u w:val="single" w:color="auto"/>
          <w:lang w:eastAsia="zh-CN"/>
        </w:rPr>
        <w:t>其他</w:t>
      </w:r>
      <w:r>
        <w:rPr>
          <w:rFonts w:hint="eastAsia" w:ascii="宋体" w:hAnsi="宋体" w:eastAsia="宋体" w:cs="宋体"/>
          <w:spacing w:val="0"/>
          <w:w w:val="100"/>
          <w:position w:val="0"/>
          <w:sz w:val="24"/>
          <w:szCs w:val="24"/>
        </w:rPr>
        <w:t>违约双方协商解决。</w:t>
      </w:r>
    </w:p>
    <w:p w14:paraId="2C3681D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41.争议</w:t>
      </w:r>
    </w:p>
    <w:p w14:paraId="2674F4B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41.1双方当事人约定，在履行合同过程中产生争议时：双方协商解决，如未能达成一致时，可提交主管部门协调，如仍未能达成一致时，</w:t>
      </w:r>
      <w:r>
        <w:rPr>
          <w:rFonts w:hint="eastAsia" w:ascii="宋体" w:hAnsi="宋体" w:eastAsia="宋体" w:cs="宋体"/>
          <w:spacing w:val="0"/>
          <w:w w:val="100"/>
          <w:position w:val="0"/>
          <w:sz w:val="24"/>
          <w:szCs w:val="24"/>
          <w:u w:val="single" w:color="auto"/>
        </w:rPr>
        <w:t>可向合同签约地的人民法院提起诉讼。</w:t>
      </w:r>
    </w:p>
    <w:p w14:paraId="6877F18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2"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十一、其他</w:t>
      </w:r>
    </w:p>
    <w:p w14:paraId="43FF823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42、工程分包</w:t>
      </w:r>
    </w:p>
    <w:p w14:paraId="4F7F7DF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color="auto"/>
        </w:rPr>
      </w:pPr>
      <w:r>
        <w:rPr>
          <w:rFonts w:hint="eastAsia" w:ascii="宋体" w:hAnsi="宋体" w:eastAsia="宋体" w:cs="宋体"/>
          <w:spacing w:val="0"/>
          <w:w w:val="100"/>
          <w:position w:val="0"/>
          <w:sz w:val="24"/>
          <w:szCs w:val="24"/>
          <w:u w:val="single" w:color="auto"/>
        </w:rPr>
        <w:t>本工程分包项目，分包项目承包单位必须具有相应的资质，其实施方案需经发包人、总包方、监理方三方认可，分包项目承包单位最终由发包人认可。</w:t>
      </w:r>
    </w:p>
    <w:p w14:paraId="618EA48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43、不可抗力</w:t>
      </w:r>
    </w:p>
    <w:p w14:paraId="2806046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43.1双方关于不可抗力的约定：</w:t>
      </w:r>
    </w:p>
    <w:p w14:paraId="5389FC8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1、24小时连续雨量达150mm以上的暴雨</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以气象台发布的公告为准</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w:t>
      </w:r>
    </w:p>
    <w:p w14:paraId="449564B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2、台风、里氏6.9级以上地震、战争、动乱、洪水、空中飞行物坠落或</w:t>
      </w:r>
      <w:r>
        <w:rPr>
          <w:rFonts w:hint="eastAsia" w:ascii="宋体" w:hAnsi="宋体" w:eastAsia="宋体" w:cs="宋体"/>
          <w:spacing w:val="0"/>
          <w:w w:val="100"/>
          <w:position w:val="0"/>
          <w:sz w:val="24"/>
          <w:szCs w:val="24"/>
          <w:u w:val="single" w:color="auto"/>
          <w:lang w:eastAsia="zh-CN"/>
        </w:rPr>
        <w:t>其他</w:t>
      </w:r>
      <w:r>
        <w:rPr>
          <w:rFonts w:hint="eastAsia" w:ascii="宋体" w:hAnsi="宋体" w:eastAsia="宋体" w:cs="宋体"/>
          <w:spacing w:val="0"/>
          <w:w w:val="100"/>
          <w:position w:val="0"/>
          <w:sz w:val="24"/>
          <w:szCs w:val="24"/>
          <w:u w:val="single" w:color="auto"/>
        </w:rPr>
        <w:t>非发包人、承包人责任造成的爆炸火灾。</w:t>
      </w:r>
    </w:p>
    <w:p w14:paraId="3D7E753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遇有上述不可抗力的一方，应立即将事故情况通报发包人，并应在7日内提供详情及合同不能履行或部分不能履行或需要延期履行的理由的有效证明文件。</w:t>
      </w:r>
    </w:p>
    <w:p w14:paraId="602B617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44、保险</w:t>
      </w:r>
    </w:p>
    <w:p w14:paraId="674C090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44.1本工程双方约定投保内容如下：</w:t>
      </w:r>
    </w:p>
    <w:p w14:paraId="20E9C15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发包人投保内容：</w:t>
      </w:r>
    </w:p>
    <w:p w14:paraId="08174D7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本合同通用条款44.1条、44.1条保险费由发包人承担。</w:t>
      </w:r>
    </w:p>
    <w:p w14:paraId="6D291BD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发包人委托承包人办理的保险事项：</w:t>
      </w:r>
    </w:p>
    <w:p w14:paraId="65713F3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由承包人自行办理属于承包人自己应办理的保险。</w:t>
      </w:r>
    </w:p>
    <w:p w14:paraId="05EFD26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承包人投保内容：</w:t>
      </w:r>
      <w:r>
        <w:rPr>
          <w:rFonts w:hint="eastAsia" w:ascii="宋体" w:hAnsi="宋体" w:eastAsia="宋体" w:cs="宋体"/>
          <w:spacing w:val="0"/>
          <w:w w:val="100"/>
          <w:position w:val="0"/>
          <w:sz w:val="24"/>
          <w:szCs w:val="24"/>
          <w:u w:val="single" w:color="auto"/>
        </w:rPr>
        <w:t>执行《通用条款》44.4条。</w:t>
      </w:r>
    </w:p>
    <w:p w14:paraId="5FCA892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45、担保</w:t>
      </w:r>
    </w:p>
    <w:p w14:paraId="7B9BD97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45.3本工程双方约定担保事项如下：</w:t>
      </w:r>
    </w:p>
    <w:p w14:paraId="31AF8A6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none" w:color="auto"/>
          <w:lang w:eastAsia="zh-CN"/>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发包人以银行保函的形式向承包人提供支付担保，担保方式为：</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担保金额：</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担保有效期：</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none" w:color="auto"/>
          <w:lang w:eastAsia="zh-CN"/>
        </w:rPr>
        <w:t>。</w:t>
      </w:r>
    </w:p>
    <w:p w14:paraId="37145B9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承包人向发包人提供履约担保，担保方式为：</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rPr>
        <w:t>。担保金额：</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担保有效期：</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none" w:color="auto"/>
          <w:lang w:eastAsia="zh-CN"/>
        </w:rPr>
        <w:t>。</w:t>
      </w:r>
    </w:p>
    <w:p w14:paraId="46FE399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双方约定的其他担保事项：履约担保的返还：</w:t>
      </w:r>
      <w:r>
        <w:rPr>
          <w:rFonts w:hint="eastAsia" w:ascii="宋体" w:hAnsi="宋体" w:eastAsia="宋体" w:cs="宋体"/>
          <w:spacing w:val="0"/>
          <w:w w:val="100"/>
          <w:position w:val="0"/>
          <w:sz w:val="24"/>
          <w:szCs w:val="24"/>
          <w:u w:val="single" w:color="auto"/>
        </w:rPr>
        <w:t>待工程竣工验收合格后30日内返还。</w:t>
      </w:r>
    </w:p>
    <w:p w14:paraId="3852F33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50、合同份数</w:t>
      </w:r>
    </w:p>
    <w:p w14:paraId="0C7C784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50.2双方约定合同份数：</w:t>
      </w:r>
      <w:r>
        <w:rPr>
          <w:rFonts w:hint="eastAsia" w:ascii="宋体" w:hAnsi="宋体" w:eastAsia="宋体" w:cs="宋体"/>
          <w:spacing w:val="0"/>
          <w:w w:val="100"/>
          <w:position w:val="0"/>
          <w:sz w:val="24"/>
          <w:szCs w:val="24"/>
          <w:u w:val="single" w:color="auto"/>
        </w:rPr>
        <w:t>本合同正本二份，副本六份，双方各执正本一份，副本三份。</w:t>
      </w:r>
    </w:p>
    <w:p w14:paraId="1F2F04F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51、补充条款</w:t>
      </w:r>
    </w:p>
    <w:p w14:paraId="6A35217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本工程竣工验收合格后，经发包人接收，承包人清理退场提交竣工资料，发包人核实无误后应办理工程结算，同时要求承包人应将建筑物和施工单位生活区范围内施工现场清除干净；无建筑材料、无建筑设备、无临时垃圾、无坑池渠沟、无掩埋的硬化道路和垃圾，场地整洁无修复争议。否则发包人不予支付工程款。</w:t>
      </w:r>
    </w:p>
    <w:p w14:paraId="69C765B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51.2合同期内，承包人不得</w:t>
      </w:r>
      <w:r>
        <w:rPr>
          <w:rFonts w:hint="eastAsia" w:ascii="宋体" w:hAnsi="宋体" w:eastAsia="宋体" w:cs="宋体"/>
          <w:spacing w:val="0"/>
          <w:w w:val="100"/>
          <w:position w:val="0"/>
          <w:sz w:val="24"/>
          <w:szCs w:val="24"/>
          <w:u w:val="single" w:color="auto"/>
          <w:lang w:val="en-US" w:eastAsia="zh-CN"/>
        </w:rPr>
        <w:t>随意</w:t>
      </w:r>
      <w:r>
        <w:rPr>
          <w:rFonts w:hint="eastAsia" w:ascii="宋体" w:hAnsi="宋体" w:eastAsia="宋体" w:cs="宋体"/>
          <w:spacing w:val="0"/>
          <w:w w:val="100"/>
          <w:position w:val="0"/>
          <w:sz w:val="24"/>
          <w:szCs w:val="24"/>
          <w:u w:val="single" w:color="auto"/>
        </w:rPr>
        <w:t>更换项目经理。确保项目经理、技术负责人及主要项目部构成人员常驻现场，项目经理及技术负责人保证不少于法定的工作日天数在现场工作。并参加每周举行的工地例会及其</w:t>
      </w:r>
      <w:r>
        <w:rPr>
          <w:rFonts w:hint="eastAsia" w:ascii="宋体" w:hAnsi="宋体" w:eastAsia="宋体" w:cs="宋体"/>
          <w:spacing w:val="0"/>
          <w:w w:val="100"/>
          <w:position w:val="0"/>
          <w:sz w:val="24"/>
          <w:szCs w:val="24"/>
          <w:u w:val="single" w:color="auto"/>
          <w:lang w:eastAsia="zh-CN"/>
        </w:rPr>
        <w:t>他</w:t>
      </w:r>
      <w:r>
        <w:rPr>
          <w:rFonts w:hint="eastAsia" w:ascii="宋体" w:hAnsi="宋体" w:eastAsia="宋体" w:cs="宋体"/>
          <w:spacing w:val="0"/>
          <w:w w:val="100"/>
          <w:position w:val="0"/>
          <w:sz w:val="24"/>
          <w:szCs w:val="24"/>
          <w:u w:val="single" w:color="auto"/>
        </w:rPr>
        <w:t>专题会议。与发包方的行政事务联系，必须由项目经理出面协调解决</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其他人员不得代替</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施工进行至关键部位项目经理必须在场。项目经理离开工地超过一天的，必须事先通知甲方代表。项目经理现场工作时间少于法定工作日或不参加工地例会，工程师有权做出经济处罚承包人的决定，按每天500元进行处罚，并有权要求撤换项目经理。</w:t>
      </w:r>
    </w:p>
    <w:p w14:paraId="492FA6E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51.3严格按文明工地施工，设立专用垃圾场，不得任意堆放或乱倒垃圾，定期将建筑垃圾清运至场外。现场出入口道路必须硬化，必须进行净化处理，并配备专门的清洗设备和人员，负责清除驶出施工工地运输车体和车轮的泥土，车体和车轮不得带泥土驶出工地。承包人负责承担违反上述规定所发生的费用；承包人要管理好自己的职工做到文明施工，服从发包人及监理单位管理。管理及施工人员必须挂牌上岗</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标明姓名、年龄、职务并贴照片</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w:t>
      </w:r>
    </w:p>
    <w:p w14:paraId="09DF4D0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51.4施工过程中，资料和工程进度必须做到同步整理。发包人管理人员定期对施工资料进行检查，并对出现的问题限期整改，同时进行</w:t>
      </w:r>
      <w:r>
        <w:rPr>
          <w:rFonts w:hint="eastAsia" w:ascii="宋体" w:hAnsi="宋体" w:eastAsia="宋体" w:cs="宋体"/>
          <w:spacing w:val="0"/>
          <w:w w:val="100"/>
          <w:position w:val="0"/>
          <w:sz w:val="24"/>
          <w:szCs w:val="24"/>
          <w:u w:val="single" w:color="auto"/>
          <w:lang w:eastAsia="zh-CN"/>
        </w:rPr>
        <w:t>一定</w:t>
      </w:r>
      <w:r>
        <w:rPr>
          <w:rFonts w:hint="eastAsia" w:ascii="宋体" w:hAnsi="宋体" w:eastAsia="宋体" w:cs="宋体"/>
          <w:spacing w:val="0"/>
          <w:w w:val="100"/>
          <w:position w:val="0"/>
          <w:sz w:val="24"/>
          <w:szCs w:val="24"/>
          <w:u w:val="single" w:color="auto"/>
        </w:rPr>
        <w:t>罚款。在工程竣工验收前，承包人要按规定将竣工资料交监理验收，由监理</w:t>
      </w:r>
      <w:r>
        <w:rPr>
          <w:rFonts w:hint="eastAsia" w:ascii="宋体" w:hAnsi="宋体" w:eastAsia="宋体" w:cs="宋体"/>
          <w:spacing w:val="0"/>
          <w:w w:val="100"/>
          <w:position w:val="0"/>
          <w:sz w:val="24"/>
          <w:szCs w:val="24"/>
          <w:u w:val="single" w:color="auto"/>
          <w:lang w:eastAsia="zh-CN"/>
        </w:rPr>
        <w:t>出具</w:t>
      </w:r>
      <w:r>
        <w:rPr>
          <w:rFonts w:hint="eastAsia" w:ascii="宋体" w:hAnsi="宋体" w:eastAsia="宋体" w:cs="宋体"/>
          <w:spacing w:val="0"/>
          <w:w w:val="100"/>
          <w:position w:val="0"/>
          <w:sz w:val="24"/>
          <w:szCs w:val="24"/>
          <w:u w:val="single" w:color="auto"/>
        </w:rPr>
        <w:t>相应证明后，发包人方可组织验收。</w:t>
      </w:r>
    </w:p>
    <w:p w14:paraId="0410849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51.5安全管理人员必须持证上岗，并负责检查现场和施工人员安全情况，如监理和发包人管理人员发现有不安全因素存在，经指出后仍不改正的，每次罚款500元人民币；出现安全事故，施工单位自负。承包人必须办理民工的人身安全保险，工地工人的生命及财产安全均由承包人负责。</w:t>
      </w:r>
    </w:p>
    <w:p w14:paraId="29289A3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现场用电必须按照发包人要求，三相五线制，一机一闸必须带漏电保护，不许用电炉；用水必须安装水表。如施工现场出现用电漏电或短路跳闸，造成周围群众或生产区停电、影响周围群众用电或影响生产，由承包人立即整改到位、承担由此造成的损失费用并罚款1000元。</w:t>
      </w:r>
    </w:p>
    <w:p w14:paraId="5D3543F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51.6承包人不得转包或变相转包工程，不得随意更换施工队伍，在施工中不得出现拖</w:t>
      </w:r>
      <w:r>
        <w:rPr>
          <w:rFonts w:hint="eastAsia" w:ascii="宋体" w:hAnsi="宋体" w:eastAsia="宋体" w:cs="宋体"/>
          <w:spacing w:val="0"/>
          <w:w w:val="100"/>
          <w:position w:val="0"/>
          <w:sz w:val="24"/>
          <w:szCs w:val="24"/>
          <w:u w:val="single" w:color="auto"/>
          <w:lang w:eastAsia="zh-CN"/>
        </w:rPr>
        <w:t>欠农</w:t>
      </w:r>
      <w:r>
        <w:rPr>
          <w:rFonts w:hint="eastAsia" w:ascii="宋体" w:hAnsi="宋体" w:eastAsia="宋体" w:cs="宋体"/>
          <w:spacing w:val="0"/>
          <w:w w:val="100"/>
          <w:position w:val="0"/>
          <w:sz w:val="24"/>
          <w:szCs w:val="24"/>
          <w:u w:val="single" w:color="auto"/>
        </w:rPr>
        <w:t>民工工资现象，按地方政府关于农民工工资保证金制度处理。并由承包人承担一切法律责任。</w:t>
      </w:r>
    </w:p>
    <w:p w14:paraId="6D90DE2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51.7承包人对确需分包才能完成的项目，须书面向发包人提出申请，经发包人书面同意方可分包，否则不得随意分包。</w:t>
      </w:r>
    </w:p>
    <w:p w14:paraId="1FE8DB9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51.8承包人应按照与农民工签订的协议或合同按时发放工资，承包人在申报当期进度款计划时应一并报发包人农民工工资发放计划，发包人有权监督承包人在支付当期进度款中发放农民工工资。如承包人未按照与农民工签订的协议或合同按时发放工资，影响到本工程的质量、进度以及发包人声誉时，发包人有权从剩余进度款中按承包人所报的农民工工资发放计划直接发放农民工工资，并按发放金额的50%从承包人的剩余工程款中扣除予以处罚。</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参照按照陕西省政府主管部门关于农民工工资保证金管理办法执行</w:t>
      </w:r>
      <w:r>
        <w:rPr>
          <w:rFonts w:hint="eastAsia" w:ascii="宋体" w:hAnsi="宋体" w:eastAsia="宋体" w:cs="宋体"/>
          <w:spacing w:val="0"/>
          <w:w w:val="100"/>
          <w:position w:val="0"/>
          <w:sz w:val="24"/>
          <w:szCs w:val="24"/>
          <w:u w:val="single" w:color="auto"/>
          <w:lang w:eastAsia="zh-CN"/>
        </w:rPr>
        <w:t>）</w:t>
      </w:r>
    </w:p>
    <w:p w14:paraId="1E61302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51.9承包人负责协调与本合同相关条款涉及的外部关系，如发生问题、出现矛盾，一切责任和后果均由承包人承担；</w:t>
      </w:r>
    </w:p>
    <w:p w14:paraId="21989A2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51.10承包人已收取了总承包服务费。结算时以各分包工程的合同价之和乘以承包人所报费率为总承包服务费。总承包服务费包括了与分包单位的安全、文明、质量、配合等费用，承包单位不能再收取分包单位的任何费用。</w:t>
      </w:r>
    </w:p>
    <w:p w14:paraId="32584C0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51.11承包人进入施工现场前，应与发包人签订安全协议、保密协议、文明施工协议。</w:t>
      </w:r>
    </w:p>
    <w:p w14:paraId="3A407C7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51.12现场建筑垃圾由承包人无条件</w:t>
      </w:r>
      <w:r>
        <w:rPr>
          <w:rFonts w:hint="eastAsia" w:ascii="宋体" w:hAnsi="宋体" w:eastAsia="宋体" w:cs="宋体"/>
          <w:spacing w:val="0"/>
          <w:w w:val="100"/>
          <w:position w:val="0"/>
          <w:sz w:val="24"/>
          <w:szCs w:val="24"/>
          <w:u w:val="single" w:color="auto"/>
          <w:lang w:eastAsia="zh-CN"/>
        </w:rPr>
        <w:t>地</w:t>
      </w:r>
      <w:r>
        <w:rPr>
          <w:rFonts w:hint="eastAsia" w:ascii="宋体" w:hAnsi="宋体" w:eastAsia="宋体" w:cs="宋体"/>
          <w:spacing w:val="0"/>
          <w:w w:val="100"/>
          <w:position w:val="0"/>
          <w:sz w:val="24"/>
          <w:szCs w:val="24"/>
          <w:u w:val="single" w:color="auto"/>
        </w:rPr>
        <w:t>清理出场。</w:t>
      </w:r>
    </w:p>
    <w:p w14:paraId="285B987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51.13总承包人应全面负责其管理保障区域、材料及生产区域、施工区域的安全，杜绝人身伤亡、火灾、财产等安全事故发生。一旦发生事故，总承包人承担全部经济责任及相应的法律责任。</w:t>
      </w:r>
    </w:p>
    <w:p w14:paraId="16E138C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51.14总承包人对本项目所有工程内容</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含分包、发包人供材项目</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的质量、安全、进度全权负责。</w:t>
      </w:r>
    </w:p>
    <w:p w14:paraId="6C565F1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51.15施工中由于承包方施工组织措施得力、引用新技术等原因，如产生甲供材料节余量部分，按暂定价×节余量奖励承包方；如实现清水砼墙，奖励粉刷层费用等。</w:t>
      </w:r>
    </w:p>
    <w:p w14:paraId="28B766A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51.16工程管理过程中，发包方项目管理负责人有权在质量、安全文明、进度、制度管理等方面对承包方进行惩罚或奖励，费用在当月进度款中执行。</w:t>
      </w:r>
    </w:p>
    <w:p w14:paraId="02FB756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51.17工程款支付：必须先提供发票后再办理相应工程款的支付。</w:t>
      </w:r>
    </w:p>
    <w:p w14:paraId="64F21FE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51.18投标方应认真查看施工图及相关规范、标准图集等，对于可以按两种及两种以上的方案施工时，发包方可选用任何一种，中标综合单价费用不做任何调整。</w:t>
      </w:r>
    </w:p>
    <w:p w14:paraId="7355005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51.19投标方应认真查看施工图及相关规范、标准图集等，对于清单中项目内容描述不清的，按正常施工规范标准执行，不作解释，中标综合单价费用不做任何调整。</w:t>
      </w:r>
    </w:p>
    <w:p w14:paraId="0AE2435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51.20承包方因材料、劳务付款等造成工期严重拖延的，发包方有权进行相应处置。</w:t>
      </w:r>
    </w:p>
    <w:p w14:paraId="5ACEAF6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52、合同附加条款</w:t>
      </w:r>
    </w:p>
    <w:p w14:paraId="6BF4FEE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52.1材料设备供应</w:t>
      </w:r>
    </w:p>
    <w:p w14:paraId="3A03430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52.1.1</w:t>
      </w:r>
      <w:r>
        <w:rPr>
          <w:rFonts w:hint="eastAsia" w:ascii="宋体" w:hAnsi="宋体" w:eastAsia="宋体" w:cs="宋体"/>
          <w:spacing w:val="0"/>
          <w:w w:val="100"/>
          <w:position w:val="0"/>
          <w:sz w:val="24"/>
          <w:szCs w:val="24"/>
          <w:u w:val="single" w:color="auto"/>
        </w:rPr>
        <w:t>凡由发包人采购供应的材料，货到现场并落地，交由承包人接收、保管、使用。合同总价中应包含以上所有费用。</w:t>
      </w:r>
    </w:p>
    <w:p w14:paraId="2753588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52.1.2发包人采购供应的所有材料数量以基准数量</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发包人的参考数量</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为上限，结算时在此范围</w:t>
      </w:r>
      <w:r>
        <w:rPr>
          <w:rFonts w:hint="eastAsia" w:ascii="宋体" w:hAnsi="宋体" w:eastAsia="宋体" w:cs="宋体"/>
          <w:spacing w:val="0"/>
          <w:w w:val="100"/>
          <w:position w:val="0"/>
          <w:sz w:val="24"/>
          <w:szCs w:val="24"/>
          <w:u w:val="single" w:color="auto"/>
          <w:lang w:eastAsia="zh-CN"/>
        </w:rPr>
        <w:t>内的</w:t>
      </w:r>
      <w:r>
        <w:rPr>
          <w:rFonts w:hint="eastAsia" w:ascii="宋体" w:hAnsi="宋体" w:eastAsia="宋体" w:cs="宋体"/>
          <w:spacing w:val="0"/>
          <w:w w:val="100"/>
          <w:position w:val="0"/>
          <w:sz w:val="24"/>
          <w:szCs w:val="24"/>
          <w:u w:val="single" w:color="auto"/>
        </w:rPr>
        <w:t>材料供应量按发包人招标时的暂定价扣回，超出此范围的材料供应量按发包人供应期平均单价与实际超供部分数量的乘积扣回。</w:t>
      </w:r>
    </w:p>
    <w:p w14:paraId="5CFFD59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52.1.3凡由承包人采购但需发包人认质认价的材料</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暂定价材料</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结算时按发包人认质认价单和招标时的暂定价的差额乘以材料消耗量的乘积除了计取税金外，不再计取其它费用。</w:t>
      </w:r>
    </w:p>
    <w:p w14:paraId="43150BA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52.1.4发包人指定品牌、承包人采购供应材料，由承包人自主报价，结算时不再进行调整。在使用过程中，其品质应经发包人认可后方可使用。发包人保留自行采购和指定采购的权利，承包人应无条件配合。</w:t>
      </w:r>
    </w:p>
    <w:p w14:paraId="01B0AA1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52.1.5材料、设备结算方式：发包人供应的所有材料数量以工程量清单中的数量乘以消耗量定额中损耗系数为上限，按承包人材料量为准，在此范围内材料供应量按发包人招标时的指定价扣回，超出此范围的材料供应量按发包人供应期平均单价与实际超供部分数量的乘积扣回。</w:t>
      </w:r>
    </w:p>
    <w:p w14:paraId="7A6A2C1D">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52.1.6承包人有责任对分包工程进行质量、进度、安全、资料等方面的管理。</w:t>
      </w:r>
    </w:p>
    <w:p w14:paraId="6B51566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52.1.7发包人所有费用结算有严格的程序，存在一定的审批时间。</w:t>
      </w:r>
    </w:p>
    <w:p w14:paraId="7F0A3E19">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52.1.8承包方不接受认质认价材料的价格，发包方有权改为甲供，按暂定价×清单材料量在工程款中扣除。</w:t>
      </w:r>
    </w:p>
    <w:p w14:paraId="1548CF3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52.1.9承包方协调本项目地方关系，协调费用由承包方支出。承包方施工项目涉及政府性收费的，由承包方协调，发包方支付应付费用。</w:t>
      </w:r>
    </w:p>
    <w:p w14:paraId="70583676">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52.1.10承包人需承诺：若发包人资金不到位，承包人承诺不因此而延误工期。</w:t>
      </w:r>
    </w:p>
    <w:p w14:paraId="3A3C6AA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52.2.2措施费的调整</w:t>
      </w:r>
    </w:p>
    <w:p w14:paraId="1AC4BE6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52.2.2.1投标报价中的措施项目费分项按比例包干使用，任何</w:t>
      </w:r>
      <w:r>
        <w:rPr>
          <w:rFonts w:hint="eastAsia" w:ascii="宋体" w:hAnsi="宋体" w:eastAsia="宋体" w:cs="宋体"/>
          <w:spacing w:val="0"/>
          <w:w w:val="100"/>
          <w:position w:val="0"/>
          <w:sz w:val="24"/>
          <w:szCs w:val="24"/>
          <w:u w:val="single" w:color="auto"/>
          <w:lang w:eastAsia="zh-CN"/>
        </w:rPr>
        <w:t>情况不做</w:t>
      </w:r>
      <w:r>
        <w:rPr>
          <w:rFonts w:hint="eastAsia" w:ascii="宋体" w:hAnsi="宋体" w:eastAsia="宋体" w:cs="宋体"/>
          <w:spacing w:val="0"/>
          <w:w w:val="100"/>
          <w:position w:val="0"/>
          <w:sz w:val="24"/>
          <w:szCs w:val="24"/>
          <w:u w:val="single" w:color="auto"/>
        </w:rPr>
        <w:t>调整；</w:t>
      </w:r>
    </w:p>
    <w:p w14:paraId="72A5BC7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52.2.2.2由于投标人编制的施工方案、措施等不能保证施工安全、工程质量及施工工期时，承包人必须无条件接受发包人、监理单位或质量监督部门的意见对方案和措施进行完善和修改，由此引起的责任和损失自行承担。</w:t>
      </w:r>
    </w:p>
    <w:p w14:paraId="569BB7B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52.2.3工程签证</w:t>
      </w:r>
    </w:p>
    <w:p w14:paraId="10A89FA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52.2.3.1签证范围</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1</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因现场指令增加的合同范围以外的工程量，但此部分工程量无法采用原设计文件计算的；</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2</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因承包人原因不能达到施工合同约定，发包人指令将由承包人</w:t>
      </w:r>
      <w:r>
        <w:rPr>
          <w:rFonts w:hint="eastAsia" w:ascii="宋体" w:hAnsi="宋体" w:eastAsia="宋体" w:cs="宋体"/>
          <w:spacing w:val="0"/>
          <w:w w:val="100"/>
          <w:position w:val="0"/>
          <w:sz w:val="24"/>
          <w:szCs w:val="24"/>
        </w:rPr>
        <w:t>施工的部分工程转由第三方施工的，或发包人指令将由第三方施工的部分工程转由承包人施</w:t>
      </w:r>
      <w:r>
        <w:rPr>
          <w:rFonts w:hint="eastAsia" w:ascii="宋体" w:hAnsi="宋体" w:eastAsia="宋体" w:cs="宋体"/>
          <w:spacing w:val="0"/>
          <w:w w:val="100"/>
          <w:position w:val="0"/>
          <w:sz w:val="24"/>
          <w:szCs w:val="24"/>
          <w:u w:val="single" w:color="auto"/>
        </w:rPr>
        <w:t>工的；</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3</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因承包人违约应扣除的有关费用；</w:t>
      </w:r>
    </w:p>
    <w:p w14:paraId="1E327BD8">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52.2.3.2承包人报送签证，应同时提供签证依据的附件资料</w:t>
      </w:r>
      <w:r>
        <w:rPr>
          <w:rFonts w:hint="eastAsia" w:ascii="宋体" w:hAnsi="宋体" w:eastAsia="宋体" w:cs="宋体"/>
          <w:spacing w:val="0"/>
          <w:w w:val="100"/>
          <w:position w:val="0"/>
          <w:sz w:val="24"/>
          <w:szCs w:val="24"/>
          <w:u w:val="single" w:color="auto"/>
          <w:lang w:eastAsia="zh-CN"/>
        </w:rPr>
        <w:t>一份（</w:t>
      </w:r>
      <w:r>
        <w:rPr>
          <w:rFonts w:hint="eastAsia" w:ascii="宋体" w:hAnsi="宋体" w:eastAsia="宋体" w:cs="宋体"/>
          <w:spacing w:val="0"/>
          <w:w w:val="100"/>
          <w:position w:val="0"/>
          <w:sz w:val="24"/>
          <w:szCs w:val="24"/>
          <w:u w:val="single" w:color="auto"/>
        </w:rPr>
        <w:t>复印件的会议纪要等</w:t>
      </w:r>
      <w:r>
        <w:rPr>
          <w:rFonts w:hint="eastAsia" w:ascii="宋体" w:hAnsi="宋体" w:eastAsia="宋体" w:cs="宋体"/>
          <w:spacing w:val="0"/>
          <w:w w:val="100"/>
          <w:position w:val="0"/>
          <w:sz w:val="24"/>
          <w:szCs w:val="24"/>
          <w:u w:val="single" w:color="auto"/>
          <w:lang w:eastAsia="zh-CN"/>
        </w:rPr>
        <w:t>）；</w:t>
      </w:r>
    </w:p>
    <w:p w14:paraId="070CA17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52.2.3.3承包人应向现场监理人员或发包人工程师呈报签证的时间不得超过7天</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以签证事件结束日期计算</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逾期未呈报的，视为承包人自动放弃该部分工程价款，发包人有权拒绝予以认可</w:t>
      </w:r>
    </w:p>
    <w:p w14:paraId="64F4D8C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52.2.3.4由于承包人原因造成签证手续不符合有关规定的不予结算。</w:t>
      </w:r>
    </w:p>
    <w:p w14:paraId="6B0FDF73">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52.3.0竣工结算审核：</w:t>
      </w:r>
    </w:p>
    <w:p w14:paraId="0B699C4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single" w:color="auto"/>
        </w:rPr>
        <w:t>关于竣工结算审核的未尽事宜符合《建设工程价款结算暂行办法》</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建设部财建</w:t>
      </w:r>
      <w:r>
        <w:rPr>
          <w:rFonts w:hint="eastAsia" w:ascii="宋体" w:hAnsi="宋体" w:eastAsia="宋体" w:cs="宋体"/>
          <w:spacing w:val="0"/>
          <w:w w:val="100"/>
          <w:position w:val="0"/>
          <w:sz w:val="24"/>
          <w:szCs w:val="24"/>
          <w:u w:val="single" w:color="auto"/>
          <w:lang w:eastAsia="zh-CN"/>
        </w:rPr>
        <w:t>〔2004〕369号</w:t>
      </w:r>
      <w:r>
        <w:rPr>
          <w:rFonts w:hint="eastAsia" w:ascii="宋体" w:hAnsi="宋体" w:eastAsia="宋体" w:cs="宋体"/>
          <w:spacing w:val="0"/>
          <w:w w:val="100"/>
          <w:position w:val="0"/>
          <w:sz w:val="24"/>
          <w:szCs w:val="24"/>
          <w:u w:val="single" w:color="auto"/>
        </w:rPr>
        <w:t>文</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、《建筑工程施工发包与承包计价管理办法》</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建设部令第107号</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及发包单位签订的工程审计合同等规定。</w:t>
      </w:r>
    </w:p>
    <w:p w14:paraId="2FD3F69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附件1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甲方供应材料设备一览表</w:t>
      </w:r>
    </w:p>
    <w:p w14:paraId="408CFD6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附件2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甲方指定品牌材料设备一览</w:t>
      </w:r>
    </w:p>
    <w:p w14:paraId="082C0B9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附件3</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暂定价格材料设备一览表</w:t>
      </w:r>
    </w:p>
    <w:p w14:paraId="4313732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附件4</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工程质量保修书</w:t>
      </w:r>
    </w:p>
    <w:p w14:paraId="398CEBF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pacing w:val="0"/>
          <w:w w:val="100"/>
          <w:position w:val="0"/>
          <w:sz w:val="24"/>
          <w:szCs w:val="24"/>
        </w:rPr>
        <w:sectPr>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507E125F">
      <w:pPr>
        <w:keepNext w:val="0"/>
        <w:keepLines w:val="0"/>
        <w:pageBreakBefore w:val="0"/>
        <w:widowControl/>
        <w:kinsoku/>
        <w:wordWrap/>
        <w:overflowPunct/>
        <w:topLinePunct w:val="0"/>
        <w:autoSpaceDE w:val="0"/>
        <w:autoSpaceDN w:val="0"/>
        <w:bidi w:val="0"/>
        <w:adjustRightInd w:val="0"/>
        <w:snapToGrid w:val="0"/>
        <w:spacing w:before="229" w:line="219" w:lineRule="auto"/>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附件1</w:t>
      </w:r>
    </w:p>
    <w:p w14:paraId="41A65F8E">
      <w:pPr>
        <w:keepNext w:val="0"/>
        <w:keepLines w:val="0"/>
        <w:pageBreakBefore w:val="0"/>
        <w:widowControl/>
        <w:kinsoku/>
        <w:wordWrap/>
        <w:overflowPunct/>
        <w:topLinePunct w:val="0"/>
        <w:autoSpaceDE w:val="0"/>
        <w:autoSpaceDN w:val="0"/>
        <w:bidi w:val="0"/>
        <w:adjustRightInd w:val="0"/>
        <w:snapToGrid w:val="0"/>
        <w:spacing w:before="283" w:line="219" w:lineRule="auto"/>
        <w:ind w:left="3363"/>
        <w:textAlignment w:val="baseline"/>
        <w:rPr>
          <w:rFonts w:ascii="宋体" w:hAnsi="宋体" w:eastAsia="宋体" w:cs="宋体"/>
          <w:spacing w:val="0"/>
          <w:w w:val="100"/>
          <w:position w:val="0"/>
          <w:sz w:val="28"/>
          <w:szCs w:val="28"/>
        </w:rPr>
      </w:pPr>
      <w:r>
        <w:rPr>
          <w:rFonts w:ascii="宋体" w:hAnsi="宋体" w:eastAsia="宋体" w:cs="宋体"/>
          <w:b/>
          <w:bCs/>
          <w:spacing w:val="0"/>
          <w:w w:val="100"/>
          <w:position w:val="0"/>
          <w:sz w:val="28"/>
          <w:szCs w:val="28"/>
        </w:rPr>
        <w:t>甲方供应材料设备一览表</w:t>
      </w:r>
    </w:p>
    <w:p w14:paraId="4AD083B2">
      <w:pPr>
        <w:keepNext w:val="0"/>
        <w:keepLines w:val="0"/>
        <w:pageBreakBefore w:val="0"/>
        <w:widowControl/>
        <w:kinsoku/>
        <w:wordWrap/>
        <w:overflowPunct/>
        <w:topLinePunct w:val="0"/>
        <w:autoSpaceDE w:val="0"/>
        <w:autoSpaceDN w:val="0"/>
        <w:bidi w:val="0"/>
        <w:adjustRightInd w:val="0"/>
        <w:snapToGrid w:val="0"/>
        <w:spacing w:line="146" w:lineRule="exact"/>
        <w:textAlignment w:val="baseline"/>
        <w:rPr>
          <w:spacing w:val="0"/>
          <w:w w:val="100"/>
          <w:position w:val="0"/>
        </w:rPr>
      </w:pPr>
    </w:p>
    <w:tbl>
      <w:tblPr>
        <w:tblStyle w:val="8"/>
        <w:tblW w:w="8979" w:type="dxa"/>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
        <w:gridCol w:w="2707"/>
        <w:gridCol w:w="1059"/>
        <w:gridCol w:w="1078"/>
        <w:gridCol w:w="1778"/>
        <w:gridCol w:w="1453"/>
      </w:tblGrid>
      <w:tr w14:paraId="13FA5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904" w:type="dxa"/>
            <w:noWrap w:val="0"/>
            <w:vAlign w:val="top"/>
          </w:tcPr>
          <w:p w14:paraId="50AC3E41">
            <w:pPr>
              <w:pStyle w:val="7"/>
              <w:keepNext w:val="0"/>
              <w:keepLines w:val="0"/>
              <w:pageBreakBefore w:val="0"/>
              <w:widowControl/>
              <w:kinsoku/>
              <w:wordWrap/>
              <w:overflowPunct/>
              <w:topLinePunct w:val="0"/>
              <w:autoSpaceDE w:val="0"/>
              <w:autoSpaceDN w:val="0"/>
              <w:bidi w:val="0"/>
              <w:adjustRightInd w:val="0"/>
              <w:snapToGrid w:val="0"/>
              <w:spacing w:before="216" w:line="221" w:lineRule="auto"/>
              <w:ind w:left="195"/>
              <w:textAlignment w:val="baseline"/>
              <w:rPr>
                <w:spacing w:val="0"/>
                <w:w w:val="100"/>
                <w:position w:val="0"/>
                <w:sz w:val="25"/>
                <w:szCs w:val="25"/>
              </w:rPr>
            </w:pPr>
            <w:r>
              <w:rPr>
                <w:spacing w:val="0"/>
                <w:w w:val="100"/>
                <w:position w:val="0"/>
                <w:sz w:val="25"/>
                <w:szCs w:val="25"/>
              </w:rPr>
              <w:t>序号</w:t>
            </w:r>
          </w:p>
        </w:tc>
        <w:tc>
          <w:tcPr>
            <w:tcW w:w="2707" w:type="dxa"/>
            <w:noWrap w:val="0"/>
            <w:vAlign w:val="top"/>
          </w:tcPr>
          <w:p w14:paraId="4F267942">
            <w:pPr>
              <w:pStyle w:val="7"/>
              <w:keepNext w:val="0"/>
              <w:keepLines w:val="0"/>
              <w:pageBreakBefore w:val="0"/>
              <w:widowControl/>
              <w:kinsoku/>
              <w:wordWrap/>
              <w:overflowPunct/>
              <w:topLinePunct w:val="0"/>
              <w:autoSpaceDE w:val="0"/>
              <w:autoSpaceDN w:val="0"/>
              <w:bidi w:val="0"/>
              <w:adjustRightInd w:val="0"/>
              <w:snapToGrid w:val="0"/>
              <w:spacing w:before="213" w:line="219" w:lineRule="auto"/>
              <w:ind w:left="620"/>
              <w:textAlignment w:val="baseline"/>
              <w:rPr>
                <w:spacing w:val="0"/>
                <w:w w:val="100"/>
                <w:position w:val="0"/>
                <w:sz w:val="25"/>
                <w:szCs w:val="25"/>
              </w:rPr>
            </w:pPr>
            <w:r>
              <w:rPr>
                <w:spacing w:val="0"/>
                <w:w w:val="100"/>
                <w:position w:val="0"/>
                <w:sz w:val="25"/>
                <w:szCs w:val="25"/>
              </w:rPr>
              <w:t>材料设备品种</w:t>
            </w:r>
          </w:p>
        </w:tc>
        <w:tc>
          <w:tcPr>
            <w:tcW w:w="1059" w:type="dxa"/>
            <w:noWrap w:val="0"/>
            <w:vAlign w:val="top"/>
          </w:tcPr>
          <w:p w14:paraId="4EF9D9FC">
            <w:pPr>
              <w:pStyle w:val="7"/>
              <w:keepNext w:val="0"/>
              <w:keepLines w:val="0"/>
              <w:pageBreakBefore w:val="0"/>
              <w:widowControl/>
              <w:kinsoku/>
              <w:wordWrap/>
              <w:overflowPunct/>
              <w:topLinePunct w:val="0"/>
              <w:autoSpaceDE w:val="0"/>
              <w:autoSpaceDN w:val="0"/>
              <w:bidi w:val="0"/>
              <w:adjustRightInd w:val="0"/>
              <w:snapToGrid w:val="0"/>
              <w:spacing w:before="216" w:line="220" w:lineRule="auto"/>
              <w:ind w:left="293"/>
              <w:textAlignment w:val="baseline"/>
              <w:rPr>
                <w:spacing w:val="0"/>
                <w:w w:val="100"/>
                <w:position w:val="0"/>
                <w:sz w:val="25"/>
                <w:szCs w:val="25"/>
              </w:rPr>
            </w:pPr>
            <w:r>
              <w:rPr>
                <w:spacing w:val="0"/>
                <w:w w:val="100"/>
                <w:position w:val="0"/>
                <w:sz w:val="25"/>
                <w:szCs w:val="25"/>
              </w:rPr>
              <w:t>单位</w:t>
            </w:r>
          </w:p>
        </w:tc>
        <w:tc>
          <w:tcPr>
            <w:tcW w:w="1078" w:type="dxa"/>
            <w:noWrap w:val="0"/>
            <w:vAlign w:val="top"/>
          </w:tcPr>
          <w:p w14:paraId="5DFC494C">
            <w:pPr>
              <w:pStyle w:val="7"/>
              <w:keepNext w:val="0"/>
              <w:keepLines w:val="0"/>
              <w:pageBreakBefore w:val="0"/>
              <w:widowControl/>
              <w:kinsoku/>
              <w:wordWrap/>
              <w:overflowPunct/>
              <w:topLinePunct w:val="0"/>
              <w:autoSpaceDE w:val="0"/>
              <w:autoSpaceDN w:val="0"/>
              <w:bidi w:val="0"/>
              <w:adjustRightInd w:val="0"/>
              <w:snapToGrid w:val="0"/>
              <w:spacing w:before="215" w:line="219" w:lineRule="auto"/>
              <w:ind w:left="285"/>
              <w:textAlignment w:val="baseline"/>
              <w:rPr>
                <w:spacing w:val="0"/>
                <w:w w:val="100"/>
                <w:position w:val="0"/>
                <w:sz w:val="25"/>
                <w:szCs w:val="25"/>
              </w:rPr>
            </w:pPr>
            <w:r>
              <w:rPr>
                <w:spacing w:val="0"/>
                <w:w w:val="100"/>
                <w:position w:val="0"/>
                <w:sz w:val="25"/>
                <w:szCs w:val="25"/>
              </w:rPr>
              <w:t>数量</w:t>
            </w:r>
          </w:p>
        </w:tc>
        <w:tc>
          <w:tcPr>
            <w:tcW w:w="1778" w:type="dxa"/>
            <w:noWrap w:val="0"/>
            <w:vAlign w:val="top"/>
          </w:tcPr>
          <w:p w14:paraId="24FD8320">
            <w:pPr>
              <w:pStyle w:val="7"/>
              <w:keepNext w:val="0"/>
              <w:keepLines w:val="0"/>
              <w:pageBreakBefore w:val="0"/>
              <w:widowControl/>
              <w:kinsoku/>
              <w:wordWrap/>
              <w:overflowPunct/>
              <w:topLinePunct w:val="0"/>
              <w:autoSpaceDE w:val="0"/>
              <w:autoSpaceDN w:val="0"/>
              <w:bidi w:val="0"/>
              <w:adjustRightInd w:val="0"/>
              <w:snapToGrid w:val="0"/>
              <w:spacing w:before="213" w:line="218" w:lineRule="auto"/>
              <w:ind w:left="296"/>
              <w:textAlignment w:val="baseline"/>
              <w:rPr>
                <w:rFonts w:hint="eastAsia" w:eastAsia="宋体"/>
                <w:spacing w:val="0"/>
                <w:w w:val="100"/>
                <w:position w:val="0"/>
                <w:sz w:val="25"/>
                <w:szCs w:val="25"/>
                <w:lang w:eastAsia="zh-CN"/>
              </w:rPr>
            </w:pPr>
            <w:r>
              <w:rPr>
                <w:spacing w:val="0"/>
                <w:w w:val="100"/>
                <w:position w:val="0"/>
                <w:sz w:val="25"/>
                <w:szCs w:val="25"/>
              </w:rPr>
              <w:t>单价</w:t>
            </w:r>
            <w:r>
              <w:rPr>
                <w:rFonts w:hint="eastAsia"/>
                <w:spacing w:val="0"/>
                <w:w w:val="100"/>
                <w:position w:val="0"/>
                <w:sz w:val="25"/>
                <w:szCs w:val="25"/>
                <w:lang w:eastAsia="zh-CN"/>
              </w:rPr>
              <w:t>（</w:t>
            </w:r>
            <w:r>
              <w:rPr>
                <w:spacing w:val="0"/>
                <w:w w:val="100"/>
                <w:position w:val="0"/>
                <w:sz w:val="25"/>
                <w:szCs w:val="25"/>
              </w:rPr>
              <w:t>元</w:t>
            </w:r>
            <w:r>
              <w:rPr>
                <w:rFonts w:hint="eastAsia"/>
                <w:spacing w:val="0"/>
                <w:w w:val="100"/>
                <w:position w:val="0"/>
                <w:sz w:val="25"/>
                <w:szCs w:val="25"/>
                <w:lang w:eastAsia="zh-CN"/>
              </w:rPr>
              <w:t>）</w:t>
            </w:r>
          </w:p>
        </w:tc>
        <w:tc>
          <w:tcPr>
            <w:tcW w:w="1453" w:type="dxa"/>
            <w:noWrap w:val="0"/>
            <w:vAlign w:val="top"/>
          </w:tcPr>
          <w:p w14:paraId="1C697938">
            <w:pPr>
              <w:pStyle w:val="7"/>
              <w:keepNext w:val="0"/>
              <w:keepLines w:val="0"/>
              <w:pageBreakBefore w:val="0"/>
              <w:widowControl/>
              <w:kinsoku/>
              <w:wordWrap/>
              <w:overflowPunct/>
              <w:topLinePunct w:val="0"/>
              <w:autoSpaceDE w:val="0"/>
              <w:autoSpaceDN w:val="0"/>
              <w:bidi w:val="0"/>
              <w:adjustRightInd w:val="0"/>
              <w:snapToGrid w:val="0"/>
              <w:spacing w:before="216" w:line="221" w:lineRule="auto"/>
              <w:ind w:left="469"/>
              <w:textAlignment w:val="baseline"/>
              <w:rPr>
                <w:spacing w:val="0"/>
                <w:w w:val="100"/>
                <w:position w:val="0"/>
                <w:sz w:val="25"/>
                <w:szCs w:val="25"/>
              </w:rPr>
            </w:pPr>
            <w:r>
              <w:rPr>
                <w:spacing w:val="0"/>
                <w:w w:val="100"/>
                <w:position w:val="0"/>
                <w:sz w:val="25"/>
                <w:szCs w:val="25"/>
              </w:rPr>
              <w:t>备注</w:t>
            </w:r>
          </w:p>
        </w:tc>
      </w:tr>
      <w:tr w14:paraId="2C929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04" w:type="dxa"/>
            <w:noWrap w:val="0"/>
            <w:vAlign w:val="top"/>
          </w:tcPr>
          <w:p w14:paraId="59BCC661">
            <w:pPr>
              <w:pStyle w:val="7"/>
              <w:keepNext w:val="0"/>
              <w:keepLines w:val="0"/>
              <w:pageBreakBefore w:val="0"/>
              <w:widowControl/>
              <w:kinsoku/>
              <w:wordWrap/>
              <w:overflowPunct/>
              <w:topLinePunct w:val="0"/>
              <w:autoSpaceDE w:val="0"/>
              <w:autoSpaceDN w:val="0"/>
              <w:bidi w:val="0"/>
              <w:adjustRightInd w:val="0"/>
              <w:snapToGrid w:val="0"/>
              <w:spacing w:before="187" w:line="241" w:lineRule="auto"/>
              <w:ind w:left="374"/>
              <w:textAlignment w:val="baseline"/>
              <w:rPr>
                <w:spacing w:val="0"/>
                <w:w w:val="100"/>
                <w:position w:val="0"/>
                <w:sz w:val="25"/>
                <w:szCs w:val="25"/>
              </w:rPr>
            </w:pPr>
            <w:r>
              <w:rPr>
                <w:spacing w:val="0"/>
                <w:w w:val="100"/>
                <w:position w:val="0"/>
                <w:sz w:val="25"/>
                <w:szCs w:val="25"/>
              </w:rPr>
              <w:t>1</w:t>
            </w:r>
          </w:p>
        </w:tc>
        <w:tc>
          <w:tcPr>
            <w:tcW w:w="2707" w:type="dxa"/>
            <w:noWrap w:val="0"/>
            <w:vAlign w:val="top"/>
          </w:tcPr>
          <w:p w14:paraId="3984B04F">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59" w:type="dxa"/>
            <w:noWrap w:val="0"/>
            <w:vAlign w:val="top"/>
          </w:tcPr>
          <w:p w14:paraId="0A9B76E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78" w:type="dxa"/>
            <w:noWrap w:val="0"/>
            <w:vAlign w:val="top"/>
          </w:tcPr>
          <w:p w14:paraId="30BCF7D1">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78" w:type="dxa"/>
            <w:noWrap w:val="0"/>
            <w:vAlign w:val="top"/>
          </w:tcPr>
          <w:p w14:paraId="3FB342A4">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453" w:type="dxa"/>
            <w:noWrap w:val="0"/>
            <w:vAlign w:val="top"/>
          </w:tcPr>
          <w:p w14:paraId="506E9E0B">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5902A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904" w:type="dxa"/>
            <w:noWrap w:val="0"/>
            <w:vAlign w:val="top"/>
          </w:tcPr>
          <w:p w14:paraId="780D00A0">
            <w:pPr>
              <w:pStyle w:val="7"/>
              <w:keepNext w:val="0"/>
              <w:keepLines w:val="0"/>
              <w:pageBreakBefore w:val="0"/>
              <w:widowControl/>
              <w:kinsoku/>
              <w:wordWrap/>
              <w:overflowPunct/>
              <w:topLinePunct w:val="0"/>
              <w:autoSpaceDE w:val="0"/>
              <w:autoSpaceDN w:val="0"/>
              <w:bidi w:val="0"/>
              <w:adjustRightInd w:val="0"/>
              <w:snapToGrid w:val="0"/>
              <w:spacing w:before="199" w:line="241" w:lineRule="auto"/>
              <w:ind w:left="374"/>
              <w:textAlignment w:val="baseline"/>
              <w:rPr>
                <w:spacing w:val="0"/>
                <w:w w:val="100"/>
                <w:position w:val="0"/>
                <w:sz w:val="25"/>
                <w:szCs w:val="25"/>
              </w:rPr>
            </w:pPr>
            <w:r>
              <w:rPr>
                <w:spacing w:val="0"/>
                <w:w w:val="100"/>
                <w:position w:val="0"/>
                <w:sz w:val="25"/>
                <w:szCs w:val="25"/>
              </w:rPr>
              <w:t>2</w:t>
            </w:r>
          </w:p>
        </w:tc>
        <w:tc>
          <w:tcPr>
            <w:tcW w:w="2707" w:type="dxa"/>
            <w:noWrap w:val="0"/>
            <w:vAlign w:val="top"/>
          </w:tcPr>
          <w:p w14:paraId="55F9D0A4">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59" w:type="dxa"/>
            <w:noWrap w:val="0"/>
            <w:vAlign w:val="top"/>
          </w:tcPr>
          <w:p w14:paraId="167D9CA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78" w:type="dxa"/>
            <w:noWrap w:val="0"/>
            <w:vAlign w:val="top"/>
          </w:tcPr>
          <w:p w14:paraId="04F3B806">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78" w:type="dxa"/>
            <w:noWrap w:val="0"/>
            <w:vAlign w:val="top"/>
          </w:tcPr>
          <w:p w14:paraId="45A927FD">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453" w:type="dxa"/>
            <w:noWrap w:val="0"/>
            <w:vAlign w:val="top"/>
          </w:tcPr>
          <w:p w14:paraId="10E17C4C">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3C599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04" w:type="dxa"/>
            <w:noWrap w:val="0"/>
            <w:vAlign w:val="top"/>
          </w:tcPr>
          <w:p w14:paraId="31C1D51E">
            <w:pPr>
              <w:pStyle w:val="7"/>
              <w:keepNext w:val="0"/>
              <w:keepLines w:val="0"/>
              <w:pageBreakBefore w:val="0"/>
              <w:widowControl/>
              <w:kinsoku/>
              <w:wordWrap/>
              <w:overflowPunct/>
              <w:topLinePunct w:val="0"/>
              <w:autoSpaceDE w:val="0"/>
              <w:autoSpaceDN w:val="0"/>
              <w:bidi w:val="0"/>
              <w:adjustRightInd w:val="0"/>
              <w:snapToGrid w:val="0"/>
              <w:spacing w:before="189"/>
              <w:ind w:left="374"/>
              <w:textAlignment w:val="baseline"/>
              <w:rPr>
                <w:spacing w:val="0"/>
                <w:w w:val="100"/>
                <w:position w:val="0"/>
                <w:sz w:val="25"/>
                <w:szCs w:val="25"/>
              </w:rPr>
            </w:pPr>
            <w:r>
              <w:rPr>
                <w:spacing w:val="0"/>
                <w:w w:val="100"/>
                <w:position w:val="0"/>
                <w:sz w:val="25"/>
                <w:szCs w:val="25"/>
              </w:rPr>
              <w:t>3</w:t>
            </w:r>
          </w:p>
        </w:tc>
        <w:tc>
          <w:tcPr>
            <w:tcW w:w="2707" w:type="dxa"/>
            <w:noWrap w:val="0"/>
            <w:vAlign w:val="top"/>
          </w:tcPr>
          <w:p w14:paraId="4AAA77E5">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59" w:type="dxa"/>
            <w:noWrap w:val="0"/>
            <w:vAlign w:val="top"/>
          </w:tcPr>
          <w:p w14:paraId="03E6B693">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78" w:type="dxa"/>
            <w:noWrap w:val="0"/>
            <w:vAlign w:val="top"/>
          </w:tcPr>
          <w:p w14:paraId="0B5DD7CB">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78" w:type="dxa"/>
            <w:noWrap w:val="0"/>
            <w:vAlign w:val="top"/>
          </w:tcPr>
          <w:p w14:paraId="4B9D898E">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453" w:type="dxa"/>
            <w:noWrap w:val="0"/>
            <w:vAlign w:val="top"/>
          </w:tcPr>
          <w:p w14:paraId="7B8C27F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3540A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04" w:type="dxa"/>
            <w:noWrap w:val="0"/>
            <w:vAlign w:val="top"/>
          </w:tcPr>
          <w:p w14:paraId="33DDBD75">
            <w:pPr>
              <w:pStyle w:val="7"/>
              <w:keepNext w:val="0"/>
              <w:keepLines w:val="0"/>
              <w:pageBreakBefore w:val="0"/>
              <w:widowControl/>
              <w:kinsoku/>
              <w:wordWrap/>
              <w:overflowPunct/>
              <w:topLinePunct w:val="0"/>
              <w:autoSpaceDE w:val="0"/>
              <w:autoSpaceDN w:val="0"/>
              <w:bidi w:val="0"/>
              <w:adjustRightInd w:val="0"/>
              <w:snapToGrid w:val="0"/>
              <w:spacing w:before="192" w:line="241" w:lineRule="auto"/>
              <w:ind w:left="374"/>
              <w:textAlignment w:val="baseline"/>
              <w:rPr>
                <w:spacing w:val="0"/>
                <w:w w:val="100"/>
                <w:position w:val="0"/>
                <w:sz w:val="25"/>
                <w:szCs w:val="25"/>
              </w:rPr>
            </w:pPr>
            <w:r>
              <w:rPr>
                <w:spacing w:val="0"/>
                <w:w w:val="100"/>
                <w:position w:val="0"/>
                <w:sz w:val="25"/>
                <w:szCs w:val="25"/>
              </w:rPr>
              <w:t>4</w:t>
            </w:r>
          </w:p>
        </w:tc>
        <w:tc>
          <w:tcPr>
            <w:tcW w:w="2707" w:type="dxa"/>
            <w:noWrap w:val="0"/>
            <w:vAlign w:val="top"/>
          </w:tcPr>
          <w:p w14:paraId="3F8CF0C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59" w:type="dxa"/>
            <w:noWrap w:val="0"/>
            <w:vAlign w:val="top"/>
          </w:tcPr>
          <w:p w14:paraId="5D901785">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78" w:type="dxa"/>
            <w:noWrap w:val="0"/>
            <w:vAlign w:val="top"/>
          </w:tcPr>
          <w:p w14:paraId="62803041">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78" w:type="dxa"/>
            <w:noWrap w:val="0"/>
            <w:vAlign w:val="top"/>
          </w:tcPr>
          <w:p w14:paraId="25C80F3C">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453" w:type="dxa"/>
            <w:noWrap w:val="0"/>
            <w:vAlign w:val="top"/>
          </w:tcPr>
          <w:p w14:paraId="0BAB4A74">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2706A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904" w:type="dxa"/>
            <w:noWrap w:val="0"/>
            <w:vAlign w:val="top"/>
          </w:tcPr>
          <w:p w14:paraId="5AD3E0D1">
            <w:pPr>
              <w:pStyle w:val="7"/>
              <w:keepNext w:val="0"/>
              <w:keepLines w:val="0"/>
              <w:pageBreakBefore w:val="0"/>
              <w:widowControl/>
              <w:kinsoku/>
              <w:wordWrap/>
              <w:overflowPunct/>
              <w:topLinePunct w:val="0"/>
              <w:autoSpaceDE w:val="0"/>
              <w:autoSpaceDN w:val="0"/>
              <w:bidi w:val="0"/>
              <w:adjustRightInd w:val="0"/>
              <w:snapToGrid w:val="0"/>
              <w:spacing w:before="203"/>
              <w:ind w:left="374"/>
              <w:textAlignment w:val="baseline"/>
              <w:rPr>
                <w:spacing w:val="0"/>
                <w:w w:val="100"/>
                <w:position w:val="0"/>
                <w:sz w:val="25"/>
                <w:szCs w:val="25"/>
              </w:rPr>
            </w:pPr>
            <w:r>
              <w:rPr>
                <w:spacing w:val="0"/>
                <w:w w:val="100"/>
                <w:position w:val="0"/>
                <w:sz w:val="25"/>
                <w:szCs w:val="25"/>
              </w:rPr>
              <w:t>5</w:t>
            </w:r>
          </w:p>
        </w:tc>
        <w:tc>
          <w:tcPr>
            <w:tcW w:w="2707" w:type="dxa"/>
            <w:noWrap w:val="0"/>
            <w:vAlign w:val="top"/>
          </w:tcPr>
          <w:p w14:paraId="5115018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59" w:type="dxa"/>
            <w:noWrap w:val="0"/>
            <w:vAlign w:val="top"/>
          </w:tcPr>
          <w:p w14:paraId="4C8BC395">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078" w:type="dxa"/>
            <w:noWrap w:val="0"/>
            <w:vAlign w:val="top"/>
          </w:tcPr>
          <w:p w14:paraId="25FB1F3C">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78" w:type="dxa"/>
            <w:noWrap w:val="0"/>
            <w:vAlign w:val="top"/>
          </w:tcPr>
          <w:p w14:paraId="1D3E0DD8">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453" w:type="dxa"/>
            <w:noWrap w:val="0"/>
            <w:vAlign w:val="top"/>
          </w:tcPr>
          <w:p w14:paraId="0FE0FEBE">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bl>
    <w:p w14:paraId="42A6019F">
      <w:pPr>
        <w:keepNext w:val="0"/>
        <w:keepLines w:val="0"/>
        <w:pageBreakBefore w:val="0"/>
        <w:widowControl/>
        <w:kinsoku/>
        <w:wordWrap/>
        <w:overflowPunct/>
        <w:topLinePunct w:val="0"/>
        <w:autoSpaceDE w:val="0"/>
        <w:autoSpaceDN w:val="0"/>
        <w:bidi w:val="0"/>
        <w:adjustRightInd w:val="0"/>
        <w:snapToGrid w:val="0"/>
        <w:spacing w:before="164" w:line="219" w:lineRule="auto"/>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附件2</w:t>
      </w:r>
    </w:p>
    <w:p w14:paraId="02B794A3">
      <w:pPr>
        <w:keepNext w:val="0"/>
        <w:keepLines w:val="0"/>
        <w:pageBreakBefore w:val="0"/>
        <w:widowControl/>
        <w:kinsoku/>
        <w:wordWrap/>
        <w:overflowPunct/>
        <w:topLinePunct w:val="0"/>
        <w:autoSpaceDE w:val="0"/>
        <w:autoSpaceDN w:val="0"/>
        <w:bidi w:val="0"/>
        <w:adjustRightInd w:val="0"/>
        <w:snapToGrid w:val="0"/>
        <w:spacing w:before="304" w:line="219" w:lineRule="auto"/>
        <w:ind w:left="3103"/>
        <w:textAlignment w:val="baseline"/>
        <w:rPr>
          <w:rFonts w:ascii="宋体" w:hAnsi="宋体" w:eastAsia="宋体" w:cs="宋体"/>
          <w:spacing w:val="0"/>
          <w:w w:val="100"/>
          <w:position w:val="0"/>
          <w:sz w:val="28"/>
          <w:szCs w:val="28"/>
        </w:rPr>
      </w:pPr>
      <w:r>
        <w:rPr>
          <w:rFonts w:ascii="宋体" w:hAnsi="宋体" w:eastAsia="宋体" w:cs="宋体"/>
          <w:b/>
          <w:bCs/>
          <w:spacing w:val="0"/>
          <w:w w:val="100"/>
          <w:position w:val="0"/>
          <w:sz w:val="28"/>
          <w:szCs w:val="28"/>
        </w:rPr>
        <w:t>甲方指定品牌材料设备一览表</w:t>
      </w:r>
    </w:p>
    <w:p w14:paraId="07D8C5BB">
      <w:pPr>
        <w:keepNext w:val="0"/>
        <w:keepLines w:val="0"/>
        <w:pageBreakBefore w:val="0"/>
        <w:widowControl/>
        <w:kinsoku/>
        <w:wordWrap/>
        <w:overflowPunct/>
        <w:topLinePunct w:val="0"/>
        <w:autoSpaceDE w:val="0"/>
        <w:autoSpaceDN w:val="0"/>
        <w:bidi w:val="0"/>
        <w:adjustRightInd w:val="0"/>
        <w:snapToGrid w:val="0"/>
        <w:spacing w:line="127" w:lineRule="exact"/>
        <w:textAlignment w:val="baseline"/>
        <w:rPr>
          <w:spacing w:val="0"/>
          <w:w w:val="100"/>
          <w:position w:val="0"/>
        </w:rPr>
      </w:pPr>
    </w:p>
    <w:tbl>
      <w:tblPr>
        <w:tblStyle w:val="8"/>
        <w:tblW w:w="9019"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4"/>
        <w:gridCol w:w="2517"/>
        <w:gridCol w:w="5578"/>
      </w:tblGrid>
      <w:tr w14:paraId="778C74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924" w:type="dxa"/>
            <w:noWrap w:val="0"/>
            <w:vAlign w:val="top"/>
          </w:tcPr>
          <w:p w14:paraId="1BAD8BC6">
            <w:pPr>
              <w:pStyle w:val="7"/>
              <w:keepNext w:val="0"/>
              <w:keepLines w:val="0"/>
              <w:pageBreakBefore w:val="0"/>
              <w:widowControl/>
              <w:kinsoku/>
              <w:wordWrap/>
              <w:overflowPunct/>
              <w:topLinePunct w:val="0"/>
              <w:autoSpaceDE w:val="0"/>
              <w:autoSpaceDN w:val="0"/>
              <w:bidi w:val="0"/>
              <w:adjustRightInd w:val="0"/>
              <w:snapToGrid w:val="0"/>
              <w:spacing w:before="176" w:line="221" w:lineRule="auto"/>
              <w:ind w:left="204"/>
              <w:textAlignment w:val="baseline"/>
              <w:rPr>
                <w:spacing w:val="0"/>
                <w:w w:val="100"/>
                <w:position w:val="0"/>
              </w:rPr>
            </w:pPr>
            <w:r>
              <w:rPr>
                <w:spacing w:val="0"/>
                <w:w w:val="100"/>
                <w:position w:val="0"/>
              </w:rPr>
              <w:t>序号</w:t>
            </w:r>
          </w:p>
        </w:tc>
        <w:tc>
          <w:tcPr>
            <w:tcW w:w="2517" w:type="dxa"/>
            <w:noWrap w:val="0"/>
            <w:vAlign w:val="top"/>
          </w:tcPr>
          <w:p w14:paraId="0B87BD41">
            <w:pPr>
              <w:pStyle w:val="7"/>
              <w:keepNext w:val="0"/>
              <w:keepLines w:val="0"/>
              <w:pageBreakBefore w:val="0"/>
              <w:widowControl/>
              <w:kinsoku/>
              <w:wordWrap/>
              <w:overflowPunct/>
              <w:topLinePunct w:val="0"/>
              <w:autoSpaceDE w:val="0"/>
              <w:autoSpaceDN w:val="0"/>
              <w:bidi w:val="0"/>
              <w:adjustRightInd w:val="0"/>
              <w:snapToGrid w:val="0"/>
              <w:spacing w:before="173" w:line="219" w:lineRule="auto"/>
              <w:ind w:left="800"/>
              <w:textAlignment w:val="baseline"/>
              <w:rPr>
                <w:spacing w:val="0"/>
                <w:w w:val="100"/>
                <w:position w:val="0"/>
              </w:rPr>
            </w:pPr>
            <w:r>
              <w:rPr>
                <w:spacing w:val="0"/>
                <w:w w:val="100"/>
                <w:position w:val="0"/>
              </w:rPr>
              <w:t>主材名称</w:t>
            </w:r>
          </w:p>
        </w:tc>
        <w:tc>
          <w:tcPr>
            <w:tcW w:w="5578" w:type="dxa"/>
            <w:noWrap w:val="0"/>
            <w:vAlign w:val="top"/>
          </w:tcPr>
          <w:p w14:paraId="64658CC0">
            <w:pPr>
              <w:pStyle w:val="7"/>
              <w:keepNext w:val="0"/>
              <w:keepLines w:val="0"/>
              <w:pageBreakBefore w:val="0"/>
              <w:widowControl/>
              <w:kinsoku/>
              <w:wordWrap/>
              <w:overflowPunct/>
              <w:topLinePunct w:val="0"/>
              <w:autoSpaceDE w:val="0"/>
              <w:autoSpaceDN w:val="0"/>
              <w:bidi w:val="0"/>
              <w:adjustRightInd w:val="0"/>
              <w:snapToGrid w:val="0"/>
              <w:spacing w:before="173" w:line="219" w:lineRule="auto"/>
              <w:ind w:left="2313"/>
              <w:textAlignment w:val="baseline"/>
              <w:rPr>
                <w:spacing w:val="0"/>
                <w:w w:val="100"/>
                <w:position w:val="0"/>
              </w:rPr>
            </w:pPr>
            <w:r>
              <w:rPr>
                <w:spacing w:val="0"/>
                <w:w w:val="100"/>
                <w:position w:val="0"/>
              </w:rPr>
              <w:t>主材品牌</w:t>
            </w:r>
          </w:p>
        </w:tc>
      </w:tr>
      <w:tr w14:paraId="27F108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924" w:type="dxa"/>
            <w:vMerge w:val="restart"/>
            <w:tcBorders>
              <w:bottom w:val="nil"/>
            </w:tcBorders>
            <w:noWrap w:val="0"/>
            <w:vAlign w:val="top"/>
          </w:tcPr>
          <w:p w14:paraId="4D5F77D9">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2517" w:type="dxa"/>
            <w:vMerge w:val="restart"/>
            <w:tcBorders>
              <w:bottom w:val="nil"/>
            </w:tcBorders>
            <w:noWrap w:val="0"/>
            <w:vAlign w:val="top"/>
          </w:tcPr>
          <w:p w14:paraId="5808CF42">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5578" w:type="dxa"/>
            <w:noWrap w:val="0"/>
            <w:vAlign w:val="top"/>
          </w:tcPr>
          <w:p w14:paraId="540DCA4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05AA6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924" w:type="dxa"/>
            <w:vMerge w:val="continue"/>
            <w:tcBorders>
              <w:top w:val="nil"/>
              <w:bottom w:val="nil"/>
            </w:tcBorders>
            <w:noWrap w:val="0"/>
            <w:vAlign w:val="top"/>
          </w:tcPr>
          <w:p w14:paraId="3C0CC04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2517" w:type="dxa"/>
            <w:vMerge w:val="continue"/>
            <w:tcBorders>
              <w:top w:val="nil"/>
              <w:bottom w:val="nil"/>
            </w:tcBorders>
            <w:noWrap w:val="0"/>
            <w:vAlign w:val="top"/>
          </w:tcPr>
          <w:p w14:paraId="2E64797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5578" w:type="dxa"/>
            <w:noWrap w:val="0"/>
            <w:vAlign w:val="top"/>
          </w:tcPr>
          <w:p w14:paraId="22D09C2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78109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924" w:type="dxa"/>
            <w:vMerge w:val="continue"/>
            <w:tcBorders>
              <w:top w:val="nil"/>
            </w:tcBorders>
            <w:noWrap w:val="0"/>
            <w:vAlign w:val="top"/>
          </w:tcPr>
          <w:p w14:paraId="550A9A3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2517" w:type="dxa"/>
            <w:vMerge w:val="continue"/>
            <w:tcBorders>
              <w:top w:val="nil"/>
            </w:tcBorders>
            <w:noWrap w:val="0"/>
            <w:vAlign w:val="top"/>
          </w:tcPr>
          <w:p w14:paraId="40BD65C1">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5578" w:type="dxa"/>
            <w:noWrap w:val="0"/>
            <w:vAlign w:val="top"/>
          </w:tcPr>
          <w:p w14:paraId="1BFE9680">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05822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924" w:type="dxa"/>
            <w:noWrap w:val="0"/>
            <w:vAlign w:val="top"/>
          </w:tcPr>
          <w:p w14:paraId="69EE1C05">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2517" w:type="dxa"/>
            <w:noWrap w:val="0"/>
            <w:vAlign w:val="top"/>
          </w:tcPr>
          <w:p w14:paraId="07ABEB55">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5578" w:type="dxa"/>
            <w:noWrap w:val="0"/>
            <w:vAlign w:val="top"/>
          </w:tcPr>
          <w:p w14:paraId="13B4B490">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bl>
    <w:p w14:paraId="445CE727">
      <w:pPr>
        <w:keepNext w:val="0"/>
        <w:keepLines w:val="0"/>
        <w:pageBreakBefore w:val="0"/>
        <w:widowControl/>
        <w:kinsoku/>
        <w:wordWrap/>
        <w:overflowPunct/>
        <w:topLinePunct w:val="0"/>
        <w:autoSpaceDE w:val="0"/>
        <w:autoSpaceDN w:val="0"/>
        <w:bidi w:val="0"/>
        <w:adjustRightInd w:val="0"/>
        <w:snapToGrid w:val="0"/>
        <w:spacing w:before="165" w:line="219" w:lineRule="auto"/>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附件3</w:t>
      </w:r>
    </w:p>
    <w:p w14:paraId="6582859D">
      <w:pPr>
        <w:keepNext w:val="0"/>
        <w:keepLines w:val="0"/>
        <w:pageBreakBefore w:val="0"/>
        <w:widowControl/>
        <w:kinsoku/>
        <w:wordWrap/>
        <w:overflowPunct/>
        <w:topLinePunct w:val="0"/>
        <w:autoSpaceDE w:val="0"/>
        <w:autoSpaceDN w:val="0"/>
        <w:bidi w:val="0"/>
        <w:adjustRightInd w:val="0"/>
        <w:snapToGrid w:val="0"/>
        <w:spacing w:before="303" w:line="218" w:lineRule="auto"/>
        <w:ind w:left="3373"/>
        <w:textAlignment w:val="baseline"/>
        <w:rPr>
          <w:rFonts w:ascii="宋体" w:hAnsi="宋体" w:eastAsia="宋体" w:cs="宋体"/>
          <w:spacing w:val="0"/>
          <w:w w:val="100"/>
          <w:position w:val="0"/>
          <w:sz w:val="28"/>
          <w:szCs w:val="28"/>
        </w:rPr>
      </w:pPr>
      <w:r>
        <w:rPr>
          <w:rFonts w:ascii="宋体" w:hAnsi="宋体" w:eastAsia="宋体" w:cs="宋体"/>
          <w:b/>
          <w:bCs/>
          <w:spacing w:val="0"/>
          <w:w w:val="100"/>
          <w:position w:val="0"/>
          <w:sz w:val="28"/>
          <w:szCs w:val="28"/>
        </w:rPr>
        <w:t>暂定价格材料设备一览表</w:t>
      </w:r>
    </w:p>
    <w:p w14:paraId="5FFC6629">
      <w:pPr>
        <w:keepNext w:val="0"/>
        <w:keepLines w:val="0"/>
        <w:pageBreakBefore w:val="0"/>
        <w:widowControl/>
        <w:kinsoku/>
        <w:wordWrap/>
        <w:overflowPunct/>
        <w:topLinePunct w:val="0"/>
        <w:autoSpaceDE w:val="0"/>
        <w:autoSpaceDN w:val="0"/>
        <w:bidi w:val="0"/>
        <w:adjustRightInd w:val="0"/>
        <w:snapToGrid w:val="0"/>
        <w:spacing w:line="130" w:lineRule="exact"/>
        <w:textAlignment w:val="baseline"/>
        <w:rPr>
          <w:spacing w:val="0"/>
          <w:w w:val="100"/>
          <w:position w:val="0"/>
        </w:rPr>
      </w:pPr>
    </w:p>
    <w:tbl>
      <w:tblPr>
        <w:tblStyle w:val="8"/>
        <w:tblW w:w="9120" w:type="dxa"/>
        <w:tblInd w:w="1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4"/>
        <w:gridCol w:w="2847"/>
        <w:gridCol w:w="1748"/>
        <w:gridCol w:w="1269"/>
        <w:gridCol w:w="1378"/>
        <w:gridCol w:w="934"/>
      </w:tblGrid>
      <w:tr w14:paraId="50D26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944" w:type="dxa"/>
            <w:noWrap w:val="0"/>
            <w:vAlign w:val="top"/>
          </w:tcPr>
          <w:p w14:paraId="5A1E3682">
            <w:pPr>
              <w:pStyle w:val="7"/>
              <w:keepNext w:val="0"/>
              <w:keepLines w:val="0"/>
              <w:pageBreakBefore w:val="0"/>
              <w:widowControl/>
              <w:kinsoku/>
              <w:wordWrap/>
              <w:overflowPunct/>
              <w:topLinePunct w:val="0"/>
              <w:autoSpaceDE w:val="0"/>
              <w:autoSpaceDN w:val="0"/>
              <w:bidi w:val="0"/>
              <w:adjustRightInd w:val="0"/>
              <w:snapToGrid w:val="0"/>
              <w:spacing w:before="255" w:line="221" w:lineRule="auto"/>
              <w:ind w:left="94"/>
              <w:textAlignment w:val="baseline"/>
              <w:rPr>
                <w:spacing w:val="0"/>
                <w:w w:val="100"/>
                <w:position w:val="0"/>
                <w:sz w:val="23"/>
                <w:szCs w:val="23"/>
              </w:rPr>
            </w:pPr>
            <w:r>
              <w:rPr>
                <w:spacing w:val="0"/>
                <w:w w:val="100"/>
                <w:position w:val="0"/>
                <w:sz w:val="23"/>
                <w:szCs w:val="23"/>
              </w:rPr>
              <w:t>序号</w:t>
            </w:r>
          </w:p>
        </w:tc>
        <w:tc>
          <w:tcPr>
            <w:tcW w:w="2847" w:type="dxa"/>
            <w:noWrap w:val="0"/>
            <w:vAlign w:val="top"/>
          </w:tcPr>
          <w:p w14:paraId="6C3BC42A">
            <w:pPr>
              <w:pStyle w:val="7"/>
              <w:keepNext w:val="0"/>
              <w:keepLines w:val="0"/>
              <w:pageBreakBefore w:val="0"/>
              <w:widowControl/>
              <w:kinsoku/>
              <w:wordWrap/>
              <w:overflowPunct/>
              <w:topLinePunct w:val="0"/>
              <w:autoSpaceDE w:val="0"/>
              <w:autoSpaceDN w:val="0"/>
              <w:bidi w:val="0"/>
              <w:adjustRightInd w:val="0"/>
              <w:snapToGrid w:val="0"/>
              <w:spacing w:before="253" w:line="219" w:lineRule="auto"/>
              <w:ind w:left="961"/>
              <w:textAlignment w:val="baseline"/>
              <w:rPr>
                <w:spacing w:val="0"/>
                <w:w w:val="100"/>
                <w:position w:val="0"/>
                <w:sz w:val="23"/>
                <w:szCs w:val="23"/>
              </w:rPr>
            </w:pPr>
            <w:r>
              <w:rPr>
                <w:spacing w:val="0"/>
                <w:w w:val="100"/>
                <w:position w:val="0"/>
                <w:sz w:val="23"/>
                <w:szCs w:val="23"/>
              </w:rPr>
              <w:t>材料名称</w:t>
            </w:r>
          </w:p>
        </w:tc>
        <w:tc>
          <w:tcPr>
            <w:tcW w:w="1748" w:type="dxa"/>
            <w:noWrap w:val="0"/>
            <w:vAlign w:val="top"/>
          </w:tcPr>
          <w:p w14:paraId="26E19678">
            <w:pPr>
              <w:pStyle w:val="7"/>
              <w:keepNext w:val="0"/>
              <w:keepLines w:val="0"/>
              <w:pageBreakBefore w:val="0"/>
              <w:widowControl/>
              <w:kinsoku/>
              <w:wordWrap/>
              <w:overflowPunct/>
              <w:topLinePunct w:val="0"/>
              <w:autoSpaceDE w:val="0"/>
              <w:autoSpaceDN w:val="0"/>
              <w:bidi w:val="0"/>
              <w:adjustRightInd w:val="0"/>
              <w:snapToGrid w:val="0"/>
              <w:spacing w:before="254" w:line="219" w:lineRule="auto"/>
              <w:ind w:left="143"/>
              <w:textAlignment w:val="baseline"/>
              <w:rPr>
                <w:rFonts w:hint="eastAsia" w:eastAsia="宋体"/>
                <w:spacing w:val="0"/>
                <w:w w:val="100"/>
                <w:position w:val="0"/>
                <w:sz w:val="23"/>
                <w:szCs w:val="23"/>
                <w:lang w:eastAsia="zh-CN"/>
              </w:rPr>
            </w:pPr>
            <w:r>
              <w:rPr>
                <w:spacing w:val="0"/>
                <w:w w:val="100"/>
                <w:position w:val="0"/>
                <w:sz w:val="23"/>
                <w:szCs w:val="23"/>
              </w:rPr>
              <w:t>规格</w:t>
            </w:r>
            <w:r>
              <w:rPr>
                <w:rFonts w:hint="eastAsia"/>
                <w:spacing w:val="0"/>
                <w:w w:val="100"/>
                <w:position w:val="0"/>
                <w:sz w:val="23"/>
                <w:szCs w:val="23"/>
                <w:lang w:eastAsia="zh-CN"/>
              </w:rPr>
              <w:t>（</w:t>
            </w:r>
            <w:r>
              <w:rPr>
                <w:spacing w:val="0"/>
                <w:w w:val="100"/>
                <w:position w:val="0"/>
                <w:sz w:val="23"/>
                <w:szCs w:val="23"/>
              </w:rPr>
              <w:t>型号</w:t>
            </w:r>
            <w:r>
              <w:rPr>
                <w:rFonts w:hint="eastAsia"/>
                <w:spacing w:val="0"/>
                <w:w w:val="100"/>
                <w:position w:val="0"/>
                <w:sz w:val="23"/>
                <w:szCs w:val="23"/>
                <w:lang w:eastAsia="zh-CN"/>
              </w:rPr>
              <w:t>）</w:t>
            </w:r>
          </w:p>
        </w:tc>
        <w:tc>
          <w:tcPr>
            <w:tcW w:w="1269" w:type="dxa"/>
            <w:noWrap w:val="0"/>
            <w:vAlign w:val="top"/>
          </w:tcPr>
          <w:p w14:paraId="009450B4">
            <w:pPr>
              <w:pStyle w:val="7"/>
              <w:keepNext w:val="0"/>
              <w:keepLines w:val="0"/>
              <w:pageBreakBefore w:val="0"/>
              <w:widowControl/>
              <w:kinsoku/>
              <w:wordWrap/>
              <w:overflowPunct/>
              <w:topLinePunct w:val="0"/>
              <w:autoSpaceDE w:val="0"/>
              <w:autoSpaceDN w:val="0"/>
              <w:bidi w:val="0"/>
              <w:adjustRightInd w:val="0"/>
              <w:snapToGrid w:val="0"/>
              <w:spacing w:before="255" w:line="220" w:lineRule="auto"/>
              <w:ind w:left="396"/>
              <w:textAlignment w:val="baseline"/>
              <w:rPr>
                <w:spacing w:val="0"/>
                <w:w w:val="100"/>
                <w:position w:val="0"/>
                <w:sz w:val="23"/>
                <w:szCs w:val="23"/>
              </w:rPr>
            </w:pPr>
            <w:r>
              <w:rPr>
                <w:spacing w:val="0"/>
                <w:w w:val="100"/>
                <w:position w:val="0"/>
                <w:sz w:val="23"/>
                <w:szCs w:val="23"/>
              </w:rPr>
              <w:t>单位</w:t>
            </w:r>
          </w:p>
        </w:tc>
        <w:tc>
          <w:tcPr>
            <w:tcW w:w="1378" w:type="dxa"/>
            <w:noWrap w:val="0"/>
            <w:vAlign w:val="top"/>
          </w:tcPr>
          <w:p w14:paraId="0EDF1DBF">
            <w:pPr>
              <w:pStyle w:val="7"/>
              <w:keepNext w:val="0"/>
              <w:keepLines w:val="0"/>
              <w:pageBreakBefore w:val="0"/>
              <w:widowControl/>
              <w:kinsoku/>
              <w:wordWrap/>
              <w:overflowPunct/>
              <w:topLinePunct w:val="0"/>
              <w:autoSpaceDE w:val="0"/>
              <w:autoSpaceDN w:val="0"/>
              <w:bidi w:val="0"/>
              <w:adjustRightInd w:val="0"/>
              <w:snapToGrid w:val="0"/>
              <w:spacing w:before="252" w:line="218" w:lineRule="auto"/>
              <w:ind w:left="106"/>
              <w:textAlignment w:val="baseline"/>
              <w:rPr>
                <w:rFonts w:hint="eastAsia" w:eastAsia="宋体"/>
                <w:spacing w:val="0"/>
                <w:w w:val="100"/>
                <w:position w:val="0"/>
                <w:sz w:val="23"/>
                <w:szCs w:val="23"/>
                <w:lang w:eastAsia="zh-CN"/>
              </w:rPr>
            </w:pPr>
            <w:r>
              <w:rPr>
                <w:spacing w:val="0"/>
                <w:w w:val="100"/>
                <w:position w:val="0"/>
                <w:sz w:val="23"/>
                <w:szCs w:val="23"/>
              </w:rPr>
              <w:t>单价</w:t>
            </w:r>
            <w:r>
              <w:rPr>
                <w:rFonts w:hint="eastAsia"/>
                <w:spacing w:val="0"/>
                <w:w w:val="100"/>
                <w:position w:val="0"/>
                <w:sz w:val="23"/>
                <w:szCs w:val="23"/>
                <w:lang w:eastAsia="zh-CN"/>
              </w:rPr>
              <w:t>（</w:t>
            </w:r>
            <w:r>
              <w:rPr>
                <w:spacing w:val="0"/>
                <w:w w:val="100"/>
                <w:position w:val="0"/>
                <w:sz w:val="23"/>
                <w:szCs w:val="23"/>
              </w:rPr>
              <w:t>元</w:t>
            </w:r>
            <w:r>
              <w:rPr>
                <w:rFonts w:hint="eastAsia"/>
                <w:spacing w:val="0"/>
                <w:w w:val="100"/>
                <w:position w:val="0"/>
                <w:sz w:val="23"/>
                <w:szCs w:val="23"/>
                <w:lang w:eastAsia="zh-CN"/>
              </w:rPr>
              <w:t>）</w:t>
            </w:r>
          </w:p>
        </w:tc>
        <w:tc>
          <w:tcPr>
            <w:tcW w:w="934" w:type="dxa"/>
            <w:noWrap w:val="0"/>
            <w:vAlign w:val="top"/>
          </w:tcPr>
          <w:p w14:paraId="541C277D">
            <w:pPr>
              <w:pStyle w:val="7"/>
              <w:keepNext w:val="0"/>
              <w:keepLines w:val="0"/>
              <w:pageBreakBefore w:val="0"/>
              <w:widowControl/>
              <w:kinsoku/>
              <w:wordWrap/>
              <w:overflowPunct/>
              <w:topLinePunct w:val="0"/>
              <w:autoSpaceDE w:val="0"/>
              <w:autoSpaceDN w:val="0"/>
              <w:bidi w:val="0"/>
              <w:adjustRightInd w:val="0"/>
              <w:snapToGrid w:val="0"/>
              <w:spacing w:before="255" w:line="221" w:lineRule="auto"/>
              <w:ind w:left="228"/>
              <w:textAlignment w:val="baseline"/>
              <w:rPr>
                <w:spacing w:val="0"/>
                <w:w w:val="100"/>
                <w:position w:val="0"/>
                <w:sz w:val="23"/>
                <w:szCs w:val="23"/>
              </w:rPr>
            </w:pPr>
            <w:r>
              <w:rPr>
                <w:spacing w:val="0"/>
                <w:w w:val="100"/>
                <w:position w:val="0"/>
                <w:sz w:val="23"/>
                <w:szCs w:val="23"/>
              </w:rPr>
              <w:t>备注</w:t>
            </w:r>
          </w:p>
        </w:tc>
      </w:tr>
      <w:tr w14:paraId="48ED5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944" w:type="dxa"/>
            <w:noWrap w:val="0"/>
            <w:vAlign w:val="top"/>
          </w:tcPr>
          <w:p w14:paraId="6C6A30AB">
            <w:pPr>
              <w:pStyle w:val="7"/>
              <w:keepNext w:val="0"/>
              <w:keepLines w:val="0"/>
              <w:pageBreakBefore w:val="0"/>
              <w:widowControl/>
              <w:kinsoku/>
              <w:wordWrap/>
              <w:overflowPunct/>
              <w:topLinePunct w:val="0"/>
              <w:autoSpaceDE w:val="0"/>
              <w:autoSpaceDN w:val="0"/>
              <w:bidi w:val="0"/>
              <w:adjustRightInd w:val="0"/>
              <w:snapToGrid w:val="0"/>
              <w:spacing w:before="165" w:line="241" w:lineRule="auto"/>
              <w:ind w:left="405"/>
              <w:textAlignment w:val="baseline"/>
              <w:rPr>
                <w:spacing w:val="0"/>
                <w:w w:val="100"/>
                <w:position w:val="0"/>
                <w:sz w:val="23"/>
                <w:szCs w:val="23"/>
              </w:rPr>
            </w:pPr>
            <w:r>
              <w:rPr>
                <w:spacing w:val="0"/>
                <w:w w:val="100"/>
                <w:position w:val="0"/>
                <w:sz w:val="23"/>
                <w:szCs w:val="23"/>
              </w:rPr>
              <w:t>1</w:t>
            </w:r>
          </w:p>
        </w:tc>
        <w:tc>
          <w:tcPr>
            <w:tcW w:w="2847" w:type="dxa"/>
            <w:noWrap w:val="0"/>
            <w:vAlign w:val="top"/>
          </w:tcPr>
          <w:p w14:paraId="710F616D">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48" w:type="dxa"/>
            <w:noWrap w:val="0"/>
            <w:vAlign w:val="top"/>
          </w:tcPr>
          <w:p w14:paraId="2E7EFF32">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269" w:type="dxa"/>
            <w:noWrap w:val="0"/>
            <w:vAlign w:val="top"/>
          </w:tcPr>
          <w:p w14:paraId="0BE1B0DB">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378" w:type="dxa"/>
            <w:noWrap w:val="0"/>
            <w:vAlign w:val="top"/>
          </w:tcPr>
          <w:p w14:paraId="580749EF">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934" w:type="dxa"/>
            <w:noWrap w:val="0"/>
            <w:vAlign w:val="top"/>
          </w:tcPr>
          <w:p w14:paraId="016807D1">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2EA98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944" w:type="dxa"/>
            <w:noWrap w:val="0"/>
            <w:vAlign w:val="top"/>
          </w:tcPr>
          <w:p w14:paraId="49B2A42C">
            <w:pPr>
              <w:pStyle w:val="7"/>
              <w:keepNext w:val="0"/>
              <w:keepLines w:val="0"/>
              <w:pageBreakBefore w:val="0"/>
              <w:widowControl/>
              <w:kinsoku/>
              <w:wordWrap/>
              <w:overflowPunct/>
              <w:topLinePunct w:val="0"/>
              <w:autoSpaceDE w:val="0"/>
              <w:autoSpaceDN w:val="0"/>
              <w:bidi w:val="0"/>
              <w:adjustRightInd w:val="0"/>
              <w:snapToGrid w:val="0"/>
              <w:spacing w:before="147" w:line="241" w:lineRule="auto"/>
              <w:ind w:left="405"/>
              <w:textAlignment w:val="baseline"/>
              <w:rPr>
                <w:spacing w:val="0"/>
                <w:w w:val="100"/>
                <w:position w:val="0"/>
                <w:sz w:val="23"/>
                <w:szCs w:val="23"/>
              </w:rPr>
            </w:pPr>
            <w:r>
              <w:rPr>
                <w:spacing w:val="0"/>
                <w:w w:val="100"/>
                <w:position w:val="0"/>
                <w:sz w:val="23"/>
                <w:szCs w:val="23"/>
              </w:rPr>
              <w:t>2</w:t>
            </w:r>
          </w:p>
        </w:tc>
        <w:tc>
          <w:tcPr>
            <w:tcW w:w="2847" w:type="dxa"/>
            <w:noWrap w:val="0"/>
            <w:vAlign w:val="top"/>
          </w:tcPr>
          <w:p w14:paraId="6B3C8C86">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48" w:type="dxa"/>
            <w:noWrap w:val="0"/>
            <w:vAlign w:val="top"/>
          </w:tcPr>
          <w:p w14:paraId="1FF3FEA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269" w:type="dxa"/>
            <w:noWrap w:val="0"/>
            <w:vAlign w:val="top"/>
          </w:tcPr>
          <w:p w14:paraId="1AB56297">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378" w:type="dxa"/>
            <w:noWrap w:val="0"/>
            <w:vAlign w:val="top"/>
          </w:tcPr>
          <w:p w14:paraId="384B6866">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934" w:type="dxa"/>
            <w:noWrap w:val="0"/>
            <w:vAlign w:val="top"/>
          </w:tcPr>
          <w:p w14:paraId="49EFAB16">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18E8E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944" w:type="dxa"/>
            <w:noWrap w:val="0"/>
            <w:vAlign w:val="top"/>
          </w:tcPr>
          <w:p w14:paraId="18D23BAC">
            <w:pPr>
              <w:pStyle w:val="7"/>
              <w:keepNext w:val="0"/>
              <w:keepLines w:val="0"/>
              <w:pageBreakBefore w:val="0"/>
              <w:widowControl/>
              <w:kinsoku/>
              <w:wordWrap/>
              <w:overflowPunct/>
              <w:topLinePunct w:val="0"/>
              <w:autoSpaceDE w:val="0"/>
              <w:autoSpaceDN w:val="0"/>
              <w:bidi w:val="0"/>
              <w:adjustRightInd w:val="0"/>
              <w:snapToGrid w:val="0"/>
              <w:spacing w:before="158"/>
              <w:ind w:left="405"/>
              <w:textAlignment w:val="baseline"/>
              <w:rPr>
                <w:spacing w:val="0"/>
                <w:w w:val="100"/>
                <w:position w:val="0"/>
                <w:sz w:val="23"/>
                <w:szCs w:val="23"/>
              </w:rPr>
            </w:pPr>
            <w:r>
              <w:rPr>
                <w:spacing w:val="0"/>
                <w:w w:val="100"/>
                <w:position w:val="0"/>
                <w:sz w:val="23"/>
                <w:szCs w:val="23"/>
              </w:rPr>
              <w:t>3</w:t>
            </w:r>
          </w:p>
        </w:tc>
        <w:tc>
          <w:tcPr>
            <w:tcW w:w="2847" w:type="dxa"/>
            <w:noWrap w:val="0"/>
            <w:vAlign w:val="top"/>
          </w:tcPr>
          <w:p w14:paraId="0831E66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48" w:type="dxa"/>
            <w:noWrap w:val="0"/>
            <w:vAlign w:val="top"/>
          </w:tcPr>
          <w:p w14:paraId="250B4D79">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269" w:type="dxa"/>
            <w:noWrap w:val="0"/>
            <w:vAlign w:val="top"/>
          </w:tcPr>
          <w:p w14:paraId="756212A5">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378" w:type="dxa"/>
            <w:noWrap w:val="0"/>
            <w:vAlign w:val="top"/>
          </w:tcPr>
          <w:p w14:paraId="1BC7770F">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934" w:type="dxa"/>
            <w:noWrap w:val="0"/>
            <w:vAlign w:val="top"/>
          </w:tcPr>
          <w:p w14:paraId="4331F018">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r w14:paraId="2981E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944" w:type="dxa"/>
            <w:noWrap w:val="0"/>
            <w:vAlign w:val="top"/>
          </w:tcPr>
          <w:p w14:paraId="35FBE1E3">
            <w:pPr>
              <w:pStyle w:val="7"/>
              <w:keepNext w:val="0"/>
              <w:keepLines w:val="0"/>
              <w:pageBreakBefore w:val="0"/>
              <w:widowControl/>
              <w:kinsoku/>
              <w:wordWrap/>
              <w:overflowPunct/>
              <w:topLinePunct w:val="0"/>
              <w:autoSpaceDE w:val="0"/>
              <w:autoSpaceDN w:val="0"/>
              <w:bidi w:val="0"/>
              <w:adjustRightInd w:val="0"/>
              <w:snapToGrid w:val="0"/>
              <w:spacing w:before="151" w:line="241" w:lineRule="auto"/>
              <w:ind w:left="405"/>
              <w:textAlignment w:val="baseline"/>
              <w:rPr>
                <w:spacing w:val="0"/>
                <w:w w:val="100"/>
                <w:position w:val="0"/>
                <w:sz w:val="23"/>
                <w:szCs w:val="23"/>
              </w:rPr>
            </w:pPr>
            <w:r>
              <w:rPr>
                <w:spacing w:val="0"/>
                <w:w w:val="100"/>
                <w:position w:val="0"/>
                <w:sz w:val="23"/>
                <w:szCs w:val="23"/>
              </w:rPr>
              <w:t>4</w:t>
            </w:r>
          </w:p>
        </w:tc>
        <w:tc>
          <w:tcPr>
            <w:tcW w:w="2847" w:type="dxa"/>
            <w:noWrap w:val="0"/>
            <w:vAlign w:val="top"/>
          </w:tcPr>
          <w:p w14:paraId="6A439764">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748" w:type="dxa"/>
            <w:noWrap w:val="0"/>
            <w:vAlign w:val="top"/>
          </w:tcPr>
          <w:p w14:paraId="14A2A84A">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269" w:type="dxa"/>
            <w:noWrap w:val="0"/>
            <w:vAlign w:val="top"/>
          </w:tcPr>
          <w:p w14:paraId="5C16B9F3">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1378" w:type="dxa"/>
            <w:noWrap w:val="0"/>
            <w:vAlign w:val="top"/>
          </w:tcPr>
          <w:p w14:paraId="5FE070C0">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c>
          <w:tcPr>
            <w:tcW w:w="934" w:type="dxa"/>
            <w:noWrap w:val="0"/>
            <w:vAlign w:val="top"/>
          </w:tcPr>
          <w:p w14:paraId="4D7D9CEB">
            <w:pPr>
              <w:keepNext w:val="0"/>
              <w:keepLines w:val="0"/>
              <w:pageBreakBefore w:val="0"/>
              <w:widowControl/>
              <w:kinsoku/>
              <w:wordWrap/>
              <w:overflowPunct/>
              <w:topLinePunct w:val="0"/>
              <w:autoSpaceDE w:val="0"/>
              <w:autoSpaceDN w:val="0"/>
              <w:bidi w:val="0"/>
              <w:adjustRightInd w:val="0"/>
              <w:snapToGrid w:val="0"/>
              <w:textAlignment w:val="baseline"/>
              <w:rPr>
                <w:rFonts w:ascii="Arial"/>
                <w:spacing w:val="0"/>
                <w:w w:val="100"/>
                <w:position w:val="0"/>
                <w:sz w:val="21"/>
              </w:rPr>
            </w:pPr>
          </w:p>
        </w:tc>
      </w:tr>
    </w:tbl>
    <w:p w14:paraId="06017199">
      <w:pPr>
        <w:pStyle w:val="2"/>
        <w:keepNext w:val="0"/>
        <w:keepLines w:val="0"/>
        <w:pageBreakBefore w:val="0"/>
        <w:widowControl/>
        <w:kinsoku/>
        <w:wordWrap/>
        <w:overflowPunct/>
        <w:topLinePunct w:val="0"/>
        <w:autoSpaceDE w:val="0"/>
        <w:autoSpaceDN w:val="0"/>
        <w:bidi w:val="0"/>
        <w:adjustRightInd w:val="0"/>
        <w:snapToGrid w:val="0"/>
        <w:textAlignment w:val="baseline"/>
        <w:rPr>
          <w:spacing w:val="0"/>
          <w:w w:val="100"/>
          <w:position w:val="0"/>
        </w:rPr>
      </w:pPr>
    </w:p>
    <w:p w14:paraId="137AE836">
      <w:pPr>
        <w:keepNext w:val="0"/>
        <w:keepLines w:val="0"/>
        <w:pageBreakBefore w:val="0"/>
        <w:widowControl/>
        <w:kinsoku/>
        <w:wordWrap/>
        <w:overflowPunct/>
        <w:topLinePunct w:val="0"/>
        <w:autoSpaceDE w:val="0"/>
        <w:autoSpaceDN w:val="0"/>
        <w:bidi w:val="0"/>
        <w:adjustRightInd w:val="0"/>
        <w:snapToGrid w:val="0"/>
        <w:textAlignment w:val="baseline"/>
        <w:rPr>
          <w:spacing w:val="0"/>
          <w:w w:val="100"/>
          <w:position w:val="0"/>
        </w:rPr>
        <w:sectPr>
          <w:footerReference r:id="rId7" w:type="default"/>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pPr>
    </w:p>
    <w:p w14:paraId="7319F375">
      <w:pPr>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br w:type="page"/>
      </w:r>
    </w:p>
    <w:p w14:paraId="6F286678">
      <w:pPr>
        <w:keepNext w:val="0"/>
        <w:keepLines w:val="0"/>
        <w:pageBreakBefore w:val="0"/>
        <w:widowControl/>
        <w:kinsoku/>
        <w:wordWrap/>
        <w:overflowPunct/>
        <w:topLinePunct w:val="0"/>
        <w:autoSpaceDE w:val="0"/>
        <w:autoSpaceDN w:val="0"/>
        <w:bidi w:val="0"/>
        <w:adjustRightInd w:val="0"/>
        <w:snapToGrid w:val="0"/>
        <w:spacing w:before="165" w:line="219" w:lineRule="auto"/>
        <w:textAlignment w:val="baseline"/>
        <w:rPr>
          <w:rFonts w:ascii="宋体" w:hAnsi="宋体" w:eastAsia="宋体" w:cs="宋体"/>
          <w:spacing w:val="0"/>
          <w:w w:val="100"/>
          <w:position w:val="0"/>
          <w:sz w:val="28"/>
          <w:szCs w:val="28"/>
        </w:rPr>
      </w:pPr>
      <w:r>
        <w:rPr>
          <w:rFonts w:ascii="宋体" w:hAnsi="宋体" w:eastAsia="宋体" w:cs="宋体"/>
          <w:spacing w:val="0"/>
          <w:w w:val="100"/>
          <w:position w:val="0"/>
          <w:sz w:val="28"/>
          <w:szCs w:val="28"/>
        </w:rPr>
        <w:t>附件4</w:t>
      </w:r>
    </w:p>
    <w:p w14:paraId="7831E3FB">
      <w:pPr>
        <w:keepNext w:val="0"/>
        <w:keepLines w:val="0"/>
        <w:pageBreakBefore w:val="0"/>
        <w:widowControl/>
        <w:kinsoku/>
        <w:wordWrap/>
        <w:overflowPunct/>
        <w:topLinePunct w:val="0"/>
        <w:autoSpaceDE w:val="0"/>
        <w:autoSpaceDN w:val="0"/>
        <w:bidi w:val="0"/>
        <w:adjustRightInd w:val="0"/>
        <w:snapToGrid w:val="0"/>
        <w:spacing w:line="360" w:lineRule="auto"/>
        <w:ind w:left="0"/>
        <w:jc w:val="center"/>
        <w:textAlignment w:val="baseline"/>
        <w:rPr>
          <w:rFonts w:ascii="宋体" w:hAnsi="宋体" w:eastAsia="宋体" w:cs="宋体"/>
          <w:spacing w:val="0"/>
          <w:w w:val="100"/>
          <w:position w:val="0"/>
          <w:sz w:val="43"/>
          <w:szCs w:val="43"/>
        </w:rPr>
      </w:pPr>
      <w:r>
        <w:rPr>
          <w:rFonts w:ascii="宋体" w:hAnsi="宋体" w:eastAsia="宋体" w:cs="宋体"/>
          <w:b/>
          <w:bCs/>
          <w:spacing w:val="0"/>
          <w:w w:val="100"/>
          <w:position w:val="0"/>
          <w:sz w:val="43"/>
          <w:szCs w:val="43"/>
        </w:rPr>
        <w:t>工程质量保修书</w:t>
      </w:r>
    </w:p>
    <w:p w14:paraId="3ED90A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发包人</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全称</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u w:val="single" w:color="auto"/>
        </w:rPr>
        <w:t>西安市高陵区农业综合开发服务中心</w:t>
      </w:r>
    </w:p>
    <w:p w14:paraId="48A896A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承包人</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全称</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u w:val="single" w:color="auto"/>
        </w:rPr>
        <w:t xml:space="preserve">  </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 xml:space="preserve">   </w:t>
      </w:r>
    </w:p>
    <w:p w14:paraId="5FD2D3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为保证</w:t>
      </w:r>
      <w:r>
        <w:rPr>
          <w:rFonts w:hint="eastAsia" w:ascii="宋体" w:hAnsi="宋体" w:eastAsia="宋体" w:cs="宋体"/>
          <w:spacing w:val="0"/>
          <w:w w:val="100"/>
          <w:position w:val="0"/>
          <w:sz w:val="24"/>
          <w:szCs w:val="24"/>
          <w:u w:val="single" w:color="auto"/>
        </w:rPr>
        <w:t>2024年西安市高陵区通远街道高标准农田</w:t>
      </w:r>
      <w:r>
        <w:rPr>
          <w:rFonts w:hint="eastAsia" w:ascii="宋体" w:hAnsi="宋体" w:eastAsia="宋体" w:cs="宋体"/>
          <w:spacing w:val="0"/>
          <w:w w:val="100"/>
          <w:position w:val="0"/>
          <w:sz w:val="24"/>
          <w:szCs w:val="24"/>
          <w:u w:val="single" w:color="auto"/>
          <w:lang w:eastAsia="zh-CN"/>
        </w:rPr>
        <w:t>建设项目</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工程名称</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在合理使用期限内正常使用，发包人、承包人协商一致签订工程质量保修书。承包人在质量保修期内按照有关管理规定及双方约定承担工程质量保修责任。</w:t>
      </w:r>
    </w:p>
    <w:p w14:paraId="3E5782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一、工程质量保修范围和内容</w:t>
      </w:r>
    </w:p>
    <w:p w14:paraId="23B2CAD2">
      <w:pPr>
        <w:keepNext w:val="0"/>
        <w:keepLines w:val="0"/>
        <w:pageBreakBefore w:val="0"/>
        <w:widowControl/>
        <w:tabs>
          <w:tab w:val="left" w:pos="9752"/>
        </w:tabs>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质量保修范围包括地基基础工程、主体结构工程、屋面防水工程和双方约定的其他土建工程，以及电器管线、上下水管线的安装工程，供热、供冷系统工程等项目。具体质量保修内容双方约定如下：</w:t>
      </w:r>
      <w:r>
        <w:rPr>
          <w:rFonts w:hint="eastAsia" w:ascii="宋体" w:hAnsi="宋体" w:eastAsia="宋体" w:cs="宋体"/>
          <w:spacing w:val="0"/>
          <w:w w:val="100"/>
          <w:position w:val="0"/>
          <w:sz w:val="24"/>
          <w:szCs w:val="24"/>
          <w:u w:val="single" w:color="auto"/>
        </w:rPr>
        <w:t>对承包人承包施工的内容进行保修，凡属承包人施工质量问题引起的维修</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均由承包人负责保修。因发包人或业主使用不当造成的返修费用由责任方负担。</w:t>
      </w:r>
    </w:p>
    <w:p w14:paraId="4B15D4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二、质量保修期</w:t>
      </w:r>
    </w:p>
    <w:p w14:paraId="0CBE28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质量保修期自工程竣工验收合格之日起计算。分单项竣工验收的工程，按单项工程分别计算质量保修期。</w:t>
      </w:r>
    </w:p>
    <w:p w14:paraId="5C4A83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双方根据《建设工程质量管理条例》及国家有关规定，结合具体工程约定质量保修期如下：</w:t>
      </w:r>
    </w:p>
    <w:p w14:paraId="03A300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1</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地基基础工程和主体结构工程为设计文件规定的该工程合理使用年限；</w:t>
      </w:r>
    </w:p>
    <w:p w14:paraId="3DE3C13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屋面防水工程、有防水要求的卫生间、房间和外墙面的防渗漏为</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rPr>
        <w:t>年；</w:t>
      </w:r>
    </w:p>
    <w:p w14:paraId="7AEC55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none" w:color="auto"/>
          <w:lang w:eastAsia="zh-CN"/>
        </w:rPr>
        <w:t>（</w:t>
      </w:r>
      <w:r>
        <w:rPr>
          <w:rFonts w:hint="eastAsia" w:ascii="宋体" w:hAnsi="宋体" w:eastAsia="宋体" w:cs="宋体"/>
          <w:spacing w:val="0"/>
          <w:w w:val="100"/>
          <w:position w:val="0"/>
          <w:sz w:val="24"/>
          <w:szCs w:val="24"/>
          <w:u w:val="none" w:color="auto"/>
        </w:rPr>
        <w:t>3</w:t>
      </w:r>
      <w:r>
        <w:rPr>
          <w:rFonts w:hint="eastAsia" w:ascii="宋体" w:hAnsi="宋体" w:eastAsia="宋体" w:cs="宋体"/>
          <w:spacing w:val="0"/>
          <w:w w:val="100"/>
          <w:position w:val="0"/>
          <w:sz w:val="24"/>
          <w:szCs w:val="24"/>
          <w:u w:val="none" w:color="auto"/>
          <w:lang w:eastAsia="zh-CN"/>
        </w:rPr>
        <w:t>）</w:t>
      </w:r>
      <w:r>
        <w:rPr>
          <w:rFonts w:hint="eastAsia" w:ascii="宋体" w:hAnsi="宋体" w:eastAsia="宋体" w:cs="宋体"/>
          <w:spacing w:val="0"/>
          <w:w w:val="100"/>
          <w:position w:val="0"/>
          <w:sz w:val="24"/>
          <w:szCs w:val="24"/>
          <w:u w:val="none" w:color="auto"/>
        </w:rPr>
        <w:t>装修工程为</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rPr>
        <w:t>年；</w:t>
      </w:r>
    </w:p>
    <w:p w14:paraId="001682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u w:val="none" w:color="auto"/>
          <w:lang w:eastAsia="zh-CN"/>
        </w:rPr>
        <w:t>（</w:t>
      </w:r>
      <w:r>
        <w:rPr>
          <w:rFonts w:hint="eastAsia" w:ascii="宋体" w:hAnsi="宋体" w:eastAsia="宋体" w:cs="宋体"/>
          <w:spacing w:val="0"/>
          <w:w w:val="100"/>
          <w:position w:val="0"/>
          <w:sz w:val="24"/>
          <w:szCs w:val="24"/>
          <w:u w:val="none" w:color="auto"/>
        </w:rPr>
        <w:t>4</w:t>
      </w:r>
      <w:r>
        <w:rPr>
          <w:rFonts w:hint="eastAsia" w:ascii="宋体" w:hAnsi="宋体" w:eastAsia="宋体" w:cs="宋体"/>
          <w:spacing w:val="0"/>
          <w:w w:val="100"/>
          <w:position w:val="0"/>
          <w:sz w:val="24"/>
          <w:szCs w:val="24"/>
          <w:u w:val="none" w:color="auto"/>
          <w:lang w:eastAsia="zh-CN"/>
        </w:rPr>
        <w:t>）</w:t>
      </w:r>
      <w:r>
        <w:rPr>
          <w:rFonts w:hint="eastAsia" w:ascii="宋体" w:hAnsi="宋体" w:eastAsia="宋体" w:cs="宋体"/>
          <w:spacing w:val="0"/>
          <w:w w:val="100"/>
          <w:position w:val="0"/>
          <w:sz w:val="24"/>
          <w:szCs w:val="24"/>
          <w:u w:val="none" w:color="auto"/>
        </w:rPr>
        <w:t>电气管线、给排水管道、设备安装工程为</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rPr>
        <w:t>年；</w:t>
      </w:r>
    </w:p>
    <w:p w14:paraId="278D1D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5</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给排水设施、道路等配套工程为</w:t>
      </w:r>
      <w:r>
        <w:rPr>
          <w:rFonts w:hint="eastAsia" w:ascii="宋体" w:hAnsi="宋体" w:eastAsia="宋体" w:cs="宋体"/>
          <w:spacing w:val="0"/>
          <w:w w:val="100"/>
          <w:position w:val="0"/>
          <w:sz w:val="24"/>
          <w:szCs w:val="24"/>
          <w:u w:val="single"/>
          <w:lang w:val="en-US" w:eastAsia="zh-CN"/>
        </w:rPr>
        <w:t xml:space="preserve"> 一 </w:t>
      </w:r>
      <w:r>
        <w:rPr>
          <w:rFonts w:hint="eastAsia" w:ascii="宋体" w:hAnsi="宋体" w:eastAsia="宋体" w:cs="宋体"/>
          <w:spacing w:val="0"/>
          <w:w w:val="100"/>
          <w:position w:val="0"/>
          <w:sz w:val="24"/>
          <w:szCs w:val="24"/>
        </w:rPr>
        <w:t>年；</w:t>
      </w:r>
    </w:p>
    <w:p w14:paraId="72E538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6</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采暖工</w:t>
      </w:r>
      <w:r>
        <w:rPr>
          <w:rFonts w:hint="eastAsia" w:ascii="宋体" w:hAnsi="宋体" w:eastAsia="宋体" w:cs="宋体"/>
          <w:spacing w:val="0"/>
          <w:w w:val="100"/>
          <w:position w:val="0"/>
          <w:sz w:val="24"/>
          <w:szCs w:val="24"/>
          <w:u w:val="none" w:color="auto"/>
        </w:rPr>
        <w:t>程</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rPr>
        <w:t>个采暖期；</w:t>
      </w:r>
    </w:p>
    <w:p w14:paraId="0D4F241D">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7</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其他项目保修期限约定如下：</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single" w:color="auto"/>
        </w:rPr>
        <w:t>一年</w:t>
      </w:r>
      <w:r>
        <w:rPr>
          <w:rFonts w:hint="eastAsia" w:ascii="宋体" w:hAnsi="宋体" w:eastAsia="宋体" w:cs="宋体"/>
          <w:spacing w:val="0"/>
          <w:w w:val="100"/>
          <w:position w:val="0"/>
          <w:sz w:val="24"/>
          <w:szCs w:val="24"/>
          <w:u w:val="single"/>
          <w:lang w:val="en-US" w:eastAsia="zh-CN"/>
        </w:rPr>
        <w:t xml:space="preserve"> </w:t>
      </w:r>
      <w:r>
        <w:rPr>
          <w:rFonts w:hint="eastAsia" w:ascii="宋体" w:hAnsi="宋体" w:eastAsia="宋体" w:cs="宋体"/>
          <w:spacing w:val="0"/>
          <w:w w:val="100"/>
          <w:position w:val="0"/>
          <w:sz w:val="24"/>
          <w:szCs w:val="24"/>
          <w:u w:val="none" w:color="auto"/>
          <w:lang w:eastAsia="zh-CN"/>
        </w:rPr>
        <w:t>。</w:t>
      </w:r>
    </w:p>
    <w:p w14:paraId="116F56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2.2质量保修期自工程竣工验收合格之日起计算。</w:t>
      </w:r>
    </w:p>
    <w:p w14:paraId="0C475EB0">
      <w:pPr>
        <w:keepNext w:val="0"/>
        <w:keepLines w:val="0"/>
        <w:pageBreakBefore w:val="0"/>
        <w:widowControl w:val="0"/>
        <w:kinsoku/>
        <w:wordWrap w:val="0"/>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三、质量保修责任</w:t>
      </w:r>
    </w:p>
    <w:p w14:paraId="7628019B">
      <w:pPr>
        <w:keepNext w:val="0"/>
        <w:keepLines w:val="0"/>
        <w:pageBreakBefore w:val="0"/>
        <w:widowControl w:val="0"/>
        <w:kinsoku/>
        <w:wordWrap w:val="0"/>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1、属于保修范围和内容的项目，承包人应在</w:t>
      </w:r>
      <w:r>
        <w:rPr>
          <w:rFonts w:hint="eastAsia" w:ascii="宋体" w:hAnsi="宋体" w:eastAsia="宋体" w:cs="宋体"/>
          <w:spacing w:val="0"/>
          <w:w w:val="100"/>
          <w:position w:val="0"/>
          <w:sz w:val="24"/>
          <w:szCs w:val="24"/>
          <w:lang w:eastAsia="zh-CN"/>
        </w:rPr>
        <w:t>接到</w:t>
      </w:r>
      <w:r>
        <w:rPr>
          <w:rFonts w:hint="eastAsia" w:ascii="宋体" w:hAnsi="宋体" w:eastAsia="宋体" w:cs="宋体"/>
          <w:spacing w:val="0"/>
          <w:w w:val="100"/>
          <w:position w:val="0"/>
          <w:sz w:val="24"/>
          <w:szCs w:val="24"/>
        </w:rPr>
        <w:t>修理通知之日后7天内派人修理。承包人不在约定期限内派人修理，发包人可委托其他人员修理，保修费用从质量保修金内扣除。</w:t>
      </w:r>
    </w:p>
    <w:p w14:paraId="6264C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w:t>
      </w:r>
      <w:r>
        <w:rPr>
          <w:rFonts w:hint="eastAsia" w:ascii="宋体" w:hAnsi="宋体" w:eastAsia="宋体" w:cs="宋体"/>
          <w:spacing w:val="0"/>
          <w:w w:val="100"/>
          <w:position w:val="0"/>
          <w:sz w:val="24"/>
          <w:szCs w:val="24"/>
          <w:lang w:eastAsia="zh-CN"/>
        </w:rPr>
        <w:t>发生</w:t>
      </w:r>
      <w:r>
        <w:rPr>
          <w:rFonts w:hint="eastAsia" w:ascii="宋体" w:hAnsi="宋体" w:eastAsia="宋体" w:cs="宋体"/>
          <w:spacing w:val="0"/>
          <w:w w:val="100"/>
          <w:position w:val="0"/>
          <w:sz w:val="24"/>
          <w:szCs w:val="24"/>
        </w:rPr>
        <w:t>紧急抢修事故</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如上水跑水、暖气漏水漏气、燃气漏气等</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承包人接到事故通知后，应立即到达事故现场抢修。非承包人施工质量引起的事故。抢修费用由发包人承担。</w:t>
      </w:r>
    </w:p>
    <w:p w14:paraId="11D678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3、在国家规定的工程合理使用期限内，承包人</w:t>
      </w:r>
      <w:r>
        <w:rPr>
          <w:rFonts w:hint="eastAsia" w:ascii="宋体" w:hAnsi="宋体" w:eastAsia="宋体" w:cs="宋体"/>
          <w:spacing w:val="0"/>
          <w:w w:val="100"/>
          <w:position w:val="0"/>
          <w:sz w:val="24"/>
          <w:szCs w:val="24"/>
          <w:lang w:eastAsia="zh-CN"/>
        </w:rPr>
        <w:t>确保</w:t>
      </w:r>
      <w:r>
        <w:rPr>
          <w:rFonts w:hint="eastAsia" w:ascii="宋体" w:hAnsi="宋体" w:eastAsia="宋体" w:cs="宋体"/>
          <w:spacing w:val="0"/>
          <w:w w:val="100"/>
          <w:position w:val="0"/>
          <w:sz w:val="24"/>
          <w:szCs w:val="24"/>
        </w:rPr>
        <w:t>地基基础工程和主体结构的质量。因承包人原因致使工程在合理使用期限内造成人身和财产损害的，承包人应承担损害赔偿责任。</w:t>
      </w:r>
    </w:p>
    <w:p w14:paraId="673361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4、质量保修完成后，由发包人组织验收。</w:t>
      </w:r>
    </w:p>
    <w:p w14:paraId="7359A5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四、质量保修金的支付</w:t>
      </w:r>
    </w:p>
    <w:p w14:paraId="343643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u w:val="single" w:color="auto"/>
        </w:rPr>
      </w:pPr>
      <w:r>
        <w:rPr>
          <w:rFonts w:hint="eastAsia" w:ascii="宋体" w:hAnsi="宋体" w:eastAsia="宋体" w:cs="宋体"/>
          <w:spacing w:val="0"/>
          <w:w w:val="100"/>
          <w:position w:val="0"/>
          <w:sz w:val="24"/>
          <w:szCs w:val="24"/>
        </w:rPr>
        <w:t>本工程约定的工程质量保修金为施工合同价款的</w:t>
      </w:r>
      <w:r>
        <w:rPr>
          <w:rFonts w:hint="eastAsia" w:ascii="宋体" w:hAnsi="宋体" w:eastAsia="宋体" w:cs="宋体"/>
          <w:spacing w:val="0"/>
          <w:w w:val="100"/>
          <w:position w:val="0"/>
          <w:sz w:val="24"/>
          <w:szCs w:val="24"/>
          <w:u w:val="single" w:color="auto"/>
        </w:rPr>
        <w:t>工程竣工结算金额的3%</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不计利息</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none" w:color="auto"/>
        </w:rPr>
        <w:t>。</w:t>
      </w:r>
    </w:p>
    <w:p w14:paraId="626636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本工程双方约定承包人向发包人支付工程质量保修金金额为</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eastAsia="zh-CN"/>
        </w:rPr>
        <w:t>（</w:t>
      </w:r>
      <w:r>
        <w:rPr>
          <w:rFonts w:hint="eastAsia" w:ascii="宋体" w:hAnsi="宋体" w:eastAsia="宋体" w:cs="宋体"/>
          <w:spacing w:val="0"/>
          <w:w w:val="100"/>
          <w:position w:val="0"/>
          <w:sz w:val="24"/>
          <w:szCs w:val="24"/>
        </w:rPr>
        <w:t>大写</w:t>
      </w:r>
      <w:r>
        <w:rPr>
          <w:rFonts w:hint="eastAsia" w:ascii="宋体" w:hAnsi="宋体" w:eastAsia="宋体" w:cs="宋体"/>
          <w:spacing w:val="0"/>
          <w:w w:val="100"/>
          <w:position w:val="0"/>
          <w:sz w:val="24"/>
          <w:szCs w:val="24"/>
          <w:lang w:eastAsia="zh-CN"/>
        </w:rPr>
        <w:t>）。</w:t>
      </w:r>
    </w:p>
    <w:p w14:paraId="5D4F12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质量保修金银行利率为</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不计利息</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lang w:eastAsia="zh-CN"/>
        </w:rPr>
        <w:t>。</w:t>
      </w:r>
    </w:p>
    <w:p w14:paraId="445898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五、质量保修金的返还</w:t>
      </w:r>
    </w:p>
    <w:p w14:paraId="623CB3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工程保修金为合同价款的3%</w:t>
      </w:r>
      <w:r>
        <w:rPr>
          <w:rFonts w:hint="eastAsia" w:ascii="宋体" w:hAnsi="宋体" w:eastAsia="宋体" w:cs="宋体"/>
          <w:spacing w:val="0"/>
          <w:w w:val="100"/>
          <w:position w:val="0"/>
          <w:sz w:val="24"/>
          <w:szCs w:val="24"/>
          <w:u w:val="single" w:color="auto"/>
          <w:lang w:eastAsia="zh-CN"/>
        </w:rPr>
        <w:t>，</w:t>
      </w:r>
      <w:r>
        <w:rPr>
          <w:rFonts w:hint="eastAsia" w:ascii="宋体" w:hAnsi="宋体" w:eastAsia="宋体" w:cs="宋体"/>
          <w:spacing w:val="0"/>
          <w:w w:val="100"/>
          <w:position w:val="0"/>
          <w:sz w:val="24"/>
          <w:szCs w:val="24"/>
          <w:u w:val="single" w:color="auto"/>
        </w:rPr>
        <w:t>缺陷责任期为</w:t>
      </w:r>
      <w:r>
        <w:rPr>
          <w:rFonts w:hint="eastAsia" w:ascii="宋体" w:hAnsi="宋体" w:eastAsia="宋体" w:cs="宋体"/>
          <w:spacing w:val="0"/>
          <w:w w:val="100"/>
          <w:position w:val="0"/>
          <w:sz w:val="24"/>
          <w:szCs w:val="24"/>
          <w:u w:val="single" w:color="auto"/>
          <w:lang w:val="en-US" w:eastAsia="zh-CN"/>
        </w:rPr>
        <w:t>2</w:t>
      </w:r>
      <w:r>
        <w:rPr>
          <w:rFonts w:hint="eastAsia" w:ascii="宋体" w:hAnsi="宋体" w:eastAsia="宋体" w:cs="宋体"/>
          <w:spacing w:val="0"/>
          <w:w w:val="100"/>
          <w:position w:val="0"/>
          <w:sz w:val="24"/>
          <w:szCs w:val="24"/>
          <w:u w:val="single" w:color="auto"/>
        </w:rPr>
        <w:t>年，从工程竣工移交之日起计。期满后无施工质量问题，付清全部保修金。</w:t>
      </w:r>
    </w:p>
    <w:p w14:paraId="6A0C1A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六、其他</w:t>
      </w:r>
    </w:p>
    <w:p w14:paraId="6F9092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6.1双方约定的其他工程质量保修事项：</w:t>
      </w:r>
    </w:p>
    <w:p w14:paraId="2C1408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u w:val="single" w:color="auto"/>
        </w:rPr>
        <w:t>如发生承包人接到维修通知未及时予以维修，而由发包人另行派人维修支付维修费用情况，该费用自承包人保修金中支出，保修金在结算时多退少补，如发生纠纷按合同通用条款37条之规定执行。</w:t>
      </w:r>
    </w:p>
    <w:p w14:paraId="4EF8A5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本工程质量保修书，由施工合同发包人、承包人双方在竣工验收前共同签署，作为施工合同附件，其有效期限至保修期满</w:t>
      </w:r>
      <w:r>
        <w:rPr>
          <w:rFonts w:hint="eastAsia" w:ascii="宋体" w:hAnsi="宋体" w:eastAsia="宋体" w:cs="宋体"/>
          <w:spacing w:val="0"/>
          <w:w w:val="100"/>
          <w:position w:val="0"/>
          <w:sz w:val="24"/>
          <w:szCs w:val="24"/>
          <w:lang w:eastAsia="zh-CN"/>
        </w:rPr>
        <w:t>。</w:t>
      </w:r>
    </w:p>
    <w:p w14:paraId="720786DD">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480" w:firstLineChars="200"/>
        <w:jc w:val="both"/>
        <w:textAlignment w:val="baseline"/>
        <w:outlineLvl w:val="9"/>
        <w:rPr>
          <w:rFonts w:hint="eastAsia" w:ascii="宋体" w:hAnsi="宋体" w:eastAsia="宋体" w:cs="宋体"/>
          <w:spacing w:val="0"/>
          <w:w w:val="100"/>
          <w:position w:val="0"/>
          <w:sz w:val="24"/>
          <w:szCs w:val="24"/>
          <w:lang w:eastAsia="zh-CN"/>
        </w:rPr>
      </w:pPr>
    </w:p>
    <w:tbl>
      <w:tblPr>
        <w:tblStyle w:val="5"/>
        <w:tblW w:w="92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9"/>
        <w:gridCol w:w="4650"/>
      </w:tblGrid>
      <w:tr w14:paraId="69B48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3" w:hRule="atLeast"/>
          <w:jc w:val="center"/>
        </w:trPr>
        <w:tc>
          <w:tcPr>
            <w:tcW w:w="4649" w:type="dxa"/>
            <w:tcBorders>
              <w:tl2br w:val="nil"/>
              <w:tr2bl w:val="nil"/>
            </w:tcBorders>
            <w:noWrap w:val="0"/>
            <w:vAlign w:val="center"/>
          </w:tcPr>
          <w:p w14:paraId="3639E688">
            <w:pPr>
              <w:keepNext w:val="0"/>
              <w:keepLines w:val="0"/>
              <w:pageBreakBefore w:val="0"/>
              <w:widowControl/>
              <w:kinsoku/>
              <w:wordWrap/>
              <w:overflowPunct/>
              <w:topLinePunct w:val="0"/>
              <w:autoSpaceDE w:val="0"/>
              <w:autoSpaceDN w:val="0"/>
              <w:bidi w:val="0"/>
              <w:adjustRightInd w:val="0"/>
              <w:snapToGrid w:val="0"/>
              <w:spacing w:line="480" w:lineRule="auto"/>
              <w:ind w:left="0"/>
              <w:jc w:val="both"/>
              <w:textAlignment w:val="baseline"/>
              <w:rPr>
                <w:rFonts w:hint="eastAsia" w:ascii="宋体" w:hAnsi="宋体" w:eastAsia="宋体" w:cs="宋体"/>
                <w:sz w:val="24"/>
                <w:szCs w:val="24"/>
                <w:lang w:eastAsia="zh-CN"/>
              </w:rPr>
            </w:pPr>
            <w:r>
              <w:rPr>
                <w:rFonts w:ascii="宋体" w:hAnsi="宋体" w:eastAsia="宋体" w:cs="宋体"/>
                <w:spacing w:val="2"/>
                <w:sz w:val="24"/>
                <w:szCs w:val="24"/>
              </w:rPr>
              <w:t>发包人：</w:t>
            </w:r>
            <w:r>
              <w:rPr>
                <w:rFonts w:ascii="宋体" w:hAnsi="宋体" w:eastAsia="宋体" w:cs="宋体"/>
                <w:spacing w:val="-45"/>
                <w:sz w:val="24"/>
                <w:szCs w:val="24"/>
              </w:rPr>
              <w:t xml:space="preserve"> </w:t>
            </w:r>
            <w:r>
              <w:rPr>
                <w:rFonts w:hint="eastAsia" w:ascii="宋体" w:hAnsi="宋体" w:eastAsia="宋体" w:cs="宋体"/>
                <w:spacing w:val="2"/>
                <w:sz w:val="24"/>
                <w:szCs w:val="24"/>
                <w:lang w:eastAsia="zh-CN"/>
              </w:rPr>
              <w:t>（</w:t>
            </w:r>
            <w:r>
              <w:rPr>
                <w:rFonts w:ascii="宋体" w:hAnsi="宋体" w:eastAsia="宋体" w:cs="宋体"/>
                <w:spacing w:val="2"/>
                <w:sz w:val="24"/>
                <w:szCs w:val="24"/>
              </w:rPr>
              <w:t>公章</w:t>
            </w:r>
            <w:r>
              <w:rPr>
                <w:rFonts w:hint="eastAsia" w:ascii="宋体" w:hAnsi="宋体" w:eastAsia="宋体" w:cs="宋体"/>
                <w:spacing w:val="2"/>
                <w:sz w:val="24"/>
                <w:szCs w:val="24"/>
                <w:lang w:eastAsia="zh-CN"/>
              </w:rPr>
              <w:t>）</w:t>
            </w:r>
          </w:p>
          <w:p w14:paraId="58C9B881">
            <w:pPr>
              <w:pStyle w:val="2"/>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ascii="宋体" w:hAnsi="宋体" w:eastAsia="宋体" w:cs="宋体"/>
                <w:spacing w:val="2"/>
                <w:sz w:val="24"/>
                <w:szCs w:val="24"/>
                <w:u w:val="single" w:color="auto"/>
              </w:rPr>
            </w:pPr>
            <w:r>
              <w:rPr>
                <w:rFonts w:ascii="宋体" w:hAnsi="宋体" w:eastAsia="宋体" w:cs="宋体"/>
                <w:spacing w:val="2"/>
                <w:sz w:val="24"/>
                <w:szCs w:val="24"/>
                <w:u w:val="single" w:color="auto"/>
              </w:rPr>
              <w:t>西安市高陵区农业综合开发服务中心</w:t>
            </w:r>
          </w:p>
          <w:p w14:paraId="68C14565">
            <w:pPr>
              <w:pStyle w:val="2"/>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法定代表人</w:t>
            </w:r>
            <w:r>
              <w:rPr>
                <w:rFonts w:hint="eastAsia" w:ascii="宋体" w:hAnsi="宋体" w:eastAsia="宋体" w:cs="宋体"/>
                <w:b w:val="0"/>
                <w:bCs w:val="0"/>
                <w:spacing w:val="0"/>
                <w:w w:val="100"/>
                <w:position w:val="0"/>
                <w:sz w:val="24"/>
                <w:szCs w:val="24"/>
                <w:lang w:eastAsia="zh-CN"/>
              </w:rPr>
              <w:t>（</w:t>
            </w:r>
            <w:r>
              <w:rPr>
                <w:rFonts w:hint="eastAsia" w:ascii="宋体" w:hAnsi="宋体" w:eastAsia="宋体" w:cs="宋体"/>
                <w:b w:val="0"/>
                <w:bCs w:val="0"/>
                <w:spacing w:val="0"/>
                <w:w w:val="100"/>
                <w:position w:val="0"/>
                <w:sz w:val="24"/>
                <w:szCs w:val="24"/>
                <w:lang w:val="en-US" w:eastAsia="zh-CN"/>
              </w:rPr>
              <w:t>签字）</w:t>
            </w:r>
            <w:r>
              <w:rPr>
                <w:rFonts w:ascii="宋体" w:hAnsi="宋体" w:eastAsia="宋体" w:cs="宋体"/>
                <w:b w:val="0"/>
                <w:bCs w:val="0"/>
                <w:spacing w:val="0"/>
                <w:w w:val="100"/>
                <w:position w:val="0"/>
                <w:sz w:val="24"/>
                <w:szCs w:val="24"/>
              </w:rPr>
              <w:t>：</w:t>
            </w:r>
          </w:p>
          <w:p w14:paraId="60B618F2">
            <w:pPr>
              <w:pStyle w:val="2"/>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hint="eastAsia" w:ascii="宋体" w:hAnsi="宋体" w:eastAsia="宋体" w:cs="宋体"/>
                <w:b w:val="0"/>
                <w:bCs w:val="0"/>
                <w:spacing w:val="0"/>
                <w:w w:val="100"/>
                <w:position w:val="0"/>
                <w:sz w:val="24"/>
                <w:szCs w:val="24"/>
                <w:u w:val="single" w:color="auto"/>
                <w:lang w:val="en-US" w:eastAsia="zh-CN"/>
              </w:rPr>
            </w:pPr>
            <w:r>
              <w:rPr>
                <w:rFonts w:hint="eastAsia" w:ascii="宋体" w:hAnsi="宋体" w:eastAsia="宋体" w:cs="宋体"/>
                <w:b w:val="0"/>
                <w:bCs w:val="0"/>
                <w:spacing w:val="0"/>
                <w:w w:val="100"/>
                <w:position w:val="0"/>
                <w:sz w:val="24"/>
                <w:szCs w:val="24"/>
                <w:u w:val="single"/>
                <w:lang w:val="en-US" w:eastAsia="zh-CN"/>
              </w:rPr>
              <w:t xml:space="preserve">    </w:t>
            </w:r>
            <w:r>
              <w:rPr>
                <w:rFonts w:hint="eastAsia" w:ascii="宋体" w:hAnsi="宋体" w:eastAsia="宋体" w:cs="宋体"/>
                <w:b w:val="0"/>
                <w:bCs w:val="0"/>
                <w:spacing w:val="0"/>
                <w:w w:val="100"/>
                <w:position w:val="0"/>
                <w:sz w:val="24"/>
                <w:szCs w:val="24"/>
                <w:lang w:val="en-US" w:eastAsia="zh-CN"/>
              </w:rPr>
              <w:t>年</w:t>
            </w:r>
            <w:r>
              <w:rPr>
                <w:rFonts w:hint="eastAsia" w:ascii="宋体" w:hAnsi="宋体" w:eastAsia="宋体" w:cs="宋体"/>
                <w:b w:val="0"/>
                <w:bCs w:val="0"/>
                <w:spacing w:val="0"/>
                <w:w w:val="100"/>
                <w:position w:val="0"/>
                <w:sz w:val="24"/>
                <w:szCs w:val="24"/>
                <w:u w:val="single"/>
                <w:lang w:val="en-US" w:eastAsia="zh-CN"/>
              </w:rPr>
              <w:t xml:space="preserve">   </w:t>
            </w:r>
            <w:r>
              <w:rPr>
                <w:rFonts w:hint="eastAsia" w:ascii="宋体" w:hAnsi="宋体" w:eastAsia="宋体" w:cs="宋体"/>
                <w:b w:val="0"/>
                <w:bCs w:val="0"/>
                <w:spacing w:val="0"/>
                <w:w w:val="100"/>
                <w:position w:val="0"/>
                <w:sz w:val="24"/>
                <w:szCs w:val="24"/>
                <w:lang w:val="en-US" w:eastAsia="zh-CN"/>
              </w:rPr>
              <w:t>月</w:t>
            </w:r>
            <w:r>
              <w:rPr>
                <w:rFonts w:hint="eastAsia" w:ascii="宋体" w:hAnsi="宋体" w:eastAsia="宋体" w:cs="宋体"/>
                <w:b w:val="0"/>
                <w:bCs w:val="0"/>
                <w:spacing w:val="0"/>
                <w:w w:val="100"/>
                <w:position w:val="0"/>
                <w:sz w:val="24"/>
                <w:szCs w:val="24"/>
                <w:u w:val="single"/>
                <w:lang w:val="en-US" w:eastAsia="zh-CN"/>
              </w:rPr>
              <w:t xml:space="preserve">   </w:t>
            </w:r>
            <w:r>
              <w:rPr>
                <w:rFonts w:hint="eastAsia" w:ascii="宋体" w:hAnsi="宋体" w:eastAsia="宋体" w:cs="宋体"/>
                <w:b w:val="0"/>
                <w:bCs w:val="0"/>
                <w:spacing w:val="0"/>
                <w:w w:val="100"/>
                <w:position w:val="0"/>
                <w:sz w:val="24"/>
                <w:szCs w:val="24"/>
                <w:lang w:val="en-US" w:eastAsia="zh-CN"/>
              </w:rPr>
              <w:t>日</w:t>
            </w:r>
          </w:p>
        </w:tc>
        <w:tc>
          <w:tcPr>
            <w:tcW w:w="4650" w:type="dxa"/>
            <w:tcBorders>
              <w:tl2br w:val="nil"/>
              <w:tr2bl w:val="nil"/>
            </w:tcBorders>
            <w:noWrap w:val="0"/>
            <w:vAlign w:val="center"/>
          </w:tcPr>
          <w:p w14:paraId="563930BB">
            <w:pPr>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hint="eastAsia" w:ascii="宋体" w:hAnsi="宋体" w:eastAsia="宋体" w:cs="宋体"/>
                <w:b w:val="0"/>
                <w:bCs w:val="0"/>
                <w:spacing w:val="0"/>
                <w:w w:val="100"/>
                <w:position w:val="0"/>
                <w:sz w:val="24"/>
                <w:szCs w:val="24"/>
                <w:lang w:eastAsia="zh-CN"/>
              </w:rPr>
            </w:pPr>
            <w:r>
              <w:rPr>
                <w:rFonts w:eastAsia="宋体" w:cs="宋体"/>
                <w:b w:val="0"/>
                <w:bCs w:val="0"/>
                <w:spacing w:val="0"/>
                <w:w w:val="100"/>
                <w:position w:val="0"/>
                <w:sz w:val="24"/>
                <w:szCs w:val="24"/>
              </w:rPr>
              <mc:AlternateContent>
                <mc:Choice Requires="wps">
                  <w:drawing>
                    <wp:anchor distT="0" distB="0" distL="114300" distR="114300" simplePos="0" relativeHeight="251660288" behindDoc="0" locked="0" layoutInCell="1" allowOverlap="1">
                      <wp:simplePos x="0" y="0"/>
                      <wp:positionH relativeFrom="column">
                        <wp:posOffset>3077845</wp:posOffset>
                      </wp:positionH>
                      <wp:positionV relativeFrom="paragraph">
                        <wp:posOffset>26035</wp:posOffset>
                      </wp:positionV>
                      <wp:extent cx="2486660" cy="7924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486660" cy="792480"/>
                              </a:xfrm>
                              <a:prstGeom prst="rect">
                                <a:avLst/>
                              </a:prstGeom>
                              <a:noFill/>
                              <a:ln>
                                <a:noFill/>
                              </a:ln>
                              <a:effectLst/>
                            </wps:spPr>
                            <wps:txbx>
                              <w:txbxContent>
                                <w:p w14:paraId="3C7A7EC1">
                                  <w:pPr>
                                    <w:spacing w:before="195" w:line="280" w:lineRule="auto"/>
                                    <w:ind w:left="1528" w:right="20" w:hanging="1509"/>
                                    <w:rPr>
                                      <w:rFonts w:ascii="宋体" w:hAnsi="宋体" w:eastAsia="宋体" w:cs="宋体"/>
                                      <w:sz w:val="24"/>
                                      <w:szCs w:val="24"/>
                                    </w:rPr>
                                  </w:pPr>
                                  <w:r>
                                    <w:rPr>
                                      <w:rFonts w:ascii="宋体" w:hAnsi="宋体" w:eastAsia="宋体" w:cs="宋体"/>
                                      <w:spacing w:val="2"/>
                                      <w:sz w:val="24"/>
                                      <w:szCs w:val="24"/>
                                    </w:rPr>
                                    <w:t xml:space="preserve"> </w:t>
                                  </w:r>
                                </w:p>
                              </w:txbxContent>
                            </wps:txbx>
                            <wps:bodyPr lIns="0" tIns="0" rIns="0" bIns="0" upright="1"/>
                          </wps:wsp>
                        </a:graphicData>
                      </a:graphic>
                    </wp:anchor>
                  </w:drawing>
                </mc:Choice>
                <mc:Fallback>
                  <w:pict>
                    <v:shape id="_x0000_s1026" o:spid="_x0000_s1026" o:spt="202" type="#_x0000_t202" style="position:absolute;left:0pt;margin-left:242.35pt;margin-top:2.05pt;height:62.4pt;width:195.8pt;z-index:251660288;mso-width-relative:page;mso-height-relative:page;" filled="f" stroked="f" coordsize="21600,21600" o:gfxdata="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ELUurjYAAAACQEAAA8AAAAAAAAAAQAgAAAAIgAAAGRycy9kb3ducmV2LnhtbFBL&#10;AQIUABQAAAAIAIdO4kAfjDBhvQEAAIADAAAOAAAAAAAAAAEAIAAAACcBAABkcnMvZTJvRG9jLnht&#10;bFBLBQYAAAAABgAGAFkBAABWBQAAAAA=&#10;">
                      <v:path/>
                      <v:fill on="f" focussize="0,0"/>
                      <v:stroke on="f"/>
                      <v:imagedata o:title=""/>
                      <o:lock v:ext="edit" aspectratio="f"/>
                      <v:textbox inset="0mm,0mm,0mm,0mm">
                        <w:txbxContent>
                          <w:p w14:paraId="3C7A7EC1">
                            <w:pPr>
                              <w:spacing w:before="195" w:line="280" w:lineRule="auto"/>
                              <w:ind w:left="1528" w:right="20" w:hanging="1509"/>
                              <w:rPr>
                                <w:rFonts w:ascii="宋体" w:hAnsi="宋体" w:eastAsia="宋体" w:cs="宋体"/>
                                <w:sz w:val="24"/>
                                <w:szCs w:val="24"/>
                              </w:rPr>
                            </w:pPr>
                            <w:r>
                              <w:rPr>
                                <w:rFonts w:ascii="宋体" w:hAnsi="宋体" w:eastAsia="宋体" w:cs="宋体"/>
                                <w:spacing w:val="2"/>
                                <w:sz w:val="24"/>
                                <w:szCs w:val="24"/>
                              </w:rPr>
                              <w:t xml:space="preserve"> </w:t>
                            </w:r>
                          </w:p>
                        </w:txbxContent>
                      </v:textbox>
                    </v:shape>
                  </w:pict>
                </mc:Fallback>
              </mc:AlternateContent>
            </w:r>
            <w:r>
              <w:rPr>
                <w:rFonts w:ascii="宋体" w:hAnsi="宋体" w:eastAsia="宋体" w:cs="宋体"/>
                <w:b w:val="0"/>
                <w:bCs w:val="0"/>
                <w:spacing w:val="0"/>
                <w:w w:val="100"/>
                <w:position w:val="0"/>
                <w:sz w:val="24"/>
                <w:szCs w:val="24"/>
              </w:rPr>
              <w:t>承包人：</w:t>
            </w:r>
            <w:r>
              <w:rPr>
                <w:rFonts w:hint="eastAsia" w:ascii="宋体" w:hAnsi="宋体" w:eastAsia="宋体" w:cs="宋体"/>
                <w:b w:val="0"/>
                <w:bCs w:val="0"/>
                <w:spacing w:val="0"/>
                <w:w w:val="100"/>
                <w:position w:val="0"/>
                <w:sz w:val="24"/>
                <w:szCs w:val="24"/>
                <w:lang w:eastAsia="zh-CN"/>
              </w:rPr>
              <w:t>（</w:t>
            </w:r>
            <w:r>
              <w:rPr>
                <w:rFonts w:ascii="宋体" w:hAnsi="宋体" w:eastAsia="宋体" w:cs="宋体"/>
                <w:b w:val="0"/>
                <w:bCs w:val="0"/>
                <w:spacing w:val="0"/>
                <w:w w:val="100"/>
                <w:position w:val="0"/>
                <w:sz w:val="24"/>
                <w:szCs w:val="24"/>
              </w:rPr>
              <w:t>公章</w:t>
            </w:r>
            <w:r>
              <w:rPr>
                <w:rFonts w:hint="eastAsia" w:ascii="宋体" w:hAnsi="宋体" w:eastAsia="宋体" w:cs="宋体"/>
                <w:b w:val="0"/>
                <w:bCs w:val="0"/>
                <w:spacing w:val="0"/>
                <w:w w:val="100"/>
                <w:position w:val="0"/>
                <w:sz w:val="24"/>
                <w:szCs w:val="24"/>
                <w:lang w:eastAsia="zh-CN"/>
              </w:rPr>
              <w:t>）</w:t>
            </w:r>
          </w:p>
          <w:p w14:paraId="4D63774B">
            <w:pPr>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hint="eastAsia" w:ascii="宋体" w:hAnsi="宋体" w:eastAsia="宋体" w:cs="宋体"/>
                <w:b w:val="0"/>
                <w:bCs w:val="0"/>
                <w:spacing w:val="0"/>
                <w:w w:val="100"/>
                <w:position w:val="0"/>
                <w:sz w:val="24"/>
                <w:szCs w:val="24"/>
                <w:u w:val="single" w:color="auto"/>
                <w:lang w:val="en-US" w:eastAsia="zh-CN"/>
              </w:rPr>
            </w:pPr>
            <w:r>
              <w:rPr>
                <w:rFonts w:hint="eastAsia" w:ascii="宋体" w:hAnsi="宋体" w:eastAsia="宋体" w:cs="宋体"/>
                <w:b w:val="0"/>
                <w:bCs w:val="0"/>
                <w:spacing w:val="0"/>
                <w:w w:val="100"/>
                <w:position w:val="0"/>
                <w:sz w:val="24"/>
                <w:szCs w:val="24"/>
                <w:u w:val="single" w:color="auto"/>
                <w:lang w:val="en-US" w:eastAsia="zh-CN"/>
              </w:rPr>
              <w:t xml:space="preserve">                              </w:t>
            </w:r>
          </w:p>
          <w:p w14:paraId="7C4A994C">
            <w:pPr>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ascii="宋体" w:hAnsi="宋体" w:eastAsia="宋体" w:cs="宋体"/>
                <w:b w:val="0"/>
                <w:bCs w:val="0"/>
                <w:spacing w:val="0"/>
                <w:w w:val="100"/>
                <w:position w:val="0"/>
                <w:sz w:val="24"/>
                <w:szCs w:val="24"/>
              </w:rPr>
            </w:pPr>
            <w:r>
              <w:rPr>
                <w:rFonts w:ascii="宋体" w:hAnsi="宋体" w:eastAsia="宋体" w:cs="宋体"/>
                <w:b w:val="0"/>
                <w:bCs w:val="0"/>
                <w:spacing w:val="0"/>
                <w:w w:val="100"/>
                <w:position w:val="0"/>
                <w:sz w:val="24"/>
                <w:szCs w:val="24"/>
              </w:rPr>
              <w:t>法定代表人</w:t>
            </w:r>
            <w:r>
              <w:rPr>
                <w:rFonts w:hint="eastAsia" w:ascii="宋体" w:hAnsi="宋体" w:eastAsia="宋体" w:cs="宋体"/>
                <w:b w:val="0"/>
                <w:bCs w:val="0"/>
                <w:spacing w:val="0"/>
                <w:w w:val="100"/>
                <w:position w:val="0"/>
                <w:sz w:val="24"/>
                <w:szCs w:val="24"/>
                <w:lang w:eastAsia="zh-CN"/>
              </w:rPr>
              <w:t>（</w:t>
            </w:r>
            <w:r>
              <w:rPr>
                <w:rFonts w:hint="eastAsia" w:ascii="宋体" w:hAnsi="宋体" w:eastAsia="宋体" w:cs="宋体"/>
                <w:b w:val="0"/>
                <w:bCs w:val="0"/>
                <w:spacing w:val="0"/>
                <w:w w:val="100"/>
                <w:position w:val="0"/>
                <w:sz w:val="24"/>
                <w:szCs w:val="24"/>
                <w:lang w:val="en-US" w:eastAsia="zh-CN"/>
              </w:rPr>
              <w:t>签字）</w:t>
            </w:r>
            <w:r>
              <w:rPr>
                <w:rFonts w:ascii="宋体" w:hAnsi="宋体" w:eastAsia="宋体" w:cs="宋体"/>
                <w:b w:val="0"/>
                <w:bCs w:val="0"/>
                <w:spacing w:val="0"/>
                <w:w w:val="100"/>
                <w:position w:val="0"/>
                <w:sz w:val="24"/>
                <w:szCs w:val="24"/>
              </w:rPr>
              <w:t>：</w:t>
            </w:r>
          </w:p>
          <w:p w14:paraId="0C7DE0C0">
            <w:pPr>
              <w:keepNext w:val="0"/>
              <w:keepLines w:val="0"/>
              <w:pageBreakBefore w:val="0"/>
              <w:widowControl/>
              <w:kinsoku/>
              <w:wordWrap/>
              <w:overflowPunct/>
              <w:topLinePunct w:val="0"/>
              <w:autoSpaceDE w:val="0"/>
              <w:autoSpaceDN w:val="0"/>
              <w:bidi w:val="0"/>
              <w:adjustRightInd w:val="0"/>
              <w:snapToGrid w:val="0"/>
              <w:spacing w:line="480" w:lineRule="auto"/>
              <w:ind w:left="0" w:right="0"/>
              <w:jc w:val="both"/>
              <w:textAlignment w:val="baseline"/>
              <w:rPr>
                <w:rFonts w:hint="default" w:ascii="宋体" w:hAnsi="宋体" w:eastAsia="宋体" w:cs="宋体"/>
                <w:b w:val="0"/>
                <w:bCs w:val="0"/>
                <w:spacing w:val="0"/>
                <w:w w:val="100"/>
                <w:position w:val="0"/>
                <w:sz w:val="24"/>
                <w:szCs w:val="24"/>
                <w:lang w:val="en-US" w:eastAsia="zh-CN"/>
              </w:rPr>
            </w:pPr>
            <w:r>
              <w:rPr>
                <w:rFonts w:hint="eastAsia" w:ascii="宋体" w:hAnsi="宋体" w:eastAsia="宋体" w:cs="宋体"/>
                <w:b w:val="0"/>
                <w:bCs w:val="0"/>
                <w:spacing w:val="0"/>
                <w:w w:val="100"/>
                <w:position w:val="0"/>
                <w:sz w:val="24"/>
                <w:szCs w:val="24"/>
                <w:u w:val="single"/>
                <w:lang w:val="en-US" w:eastAsia="zh-CN"/>
              </w:rPr>
              <w:t xml:space="preserve">    </w:t>
            </w:r>
            <w:r>
              <w:rPr>
                <w:rFonts w:hint="eastAsia" w:ascii="宋体" w:hAnsi="宋体" w:eastAsia="宋体" w:cs="宋体"/>
                <w:b w:val="0"/>
                <w:bCs w:val="0"/>
                <w:spacing w:val="0"/>
                <w:w w:val="100"/>
                <w:position w:val="0"/>
                <w:sz w:val="24"/>
                <w:szCs w:val="24"/>
                <w:lang w:val="en-US" w:eastAsia="zh-CN"/>
              </w:rPr>
              <w:t>年</w:t>
            </w:r>
            <w:r>
              <w:rPr>
                <w:rFonts w:hint="eastAsia" w:ascii="宋体" w:hAnsi="宋体" w:eastAsia="宋体" w:cs="宋体"/>
                <w:b w:val="0"/>
                <w:bCs w:val="0"/>
                <w:spacing w:val="0"/>
                <w:w w:val="100"/>
                <w:position w:val="0"/>
                <w:sz w:val="24"/>
                <w:szCs w:val="24"/>
                <w:u w:val="single"/>
                <w:lang w:val="en-US" w:eastAsia="zh-CN"/>
              </w:rPr>
              <w:t xml:space="preserve">   </w:t>
            </w:r>
            <w:r>
              <w:rPr>
                <w:rFonts w:hint="eastAsia" w:ascii="宋体" w:hAnsi="宋体" w:eastAsia="宋体" w:cs="宋体"/>
                <w:b w:val="0"/>
                <w:bCs w:val="0"/>
                <w:spacing w:val="0"/>
                <w:w w:val="100"/>
                <w:position w:val="0"/>
                <w:sz w:val="24"/>
                <w:szCs w:val="24"/>
                <w:lang w:val="en-US" w:eastAsia="zh-CN"/>
              </w:rPr>
              <w:t>月</w:t>
            </w:r>
            <w:r>
              <w:rPr>
                <w:rFonts w:hint="eastAsia" w:ascii="宋体" w:hAnsi="宋体" w:eastAsia="宋体" w:cs="宋体"/>
                <w:b w:val="0"/>
                <w:bCs w:val="0"/>
                <w:spacing w:val="0"/>
                <w:w w:val="100"/>
                <w:position w:val="0"/>
                <w:sz w:val="24"/>
                <w:szCs w:val="24"/>
                <w:u w:val="single"/>
                <w:lang w:val="en-US" w:eastAsia="zh-CN"/>
              </w:rPr>
              <w:t xml:space="preserve">   </w:t>
            </w:r>
            <w:r>
              <w:rPr>
                <w:rFonts w:hint="eastAsia" w:ascii="宋体" w:hAnsi="宋体" w:eastAsia="宋体" w:cs="宋体"/>
                <w:b w:val="0"/>
                <w:bCs w:val="0"/>
                <w:spacing w:val="0"/>
                <w:w w:val="100"/>
                <w:position w:val="0"/>
                <w:sz w:val="24"/>
                <w:szCs w:val="24"/>
                <w:lang w:val="en-US" w:eastAsia="zh-CN"/>
              </w:rPr>
              <w:t>日</w:t>
            </w:r>
          </w:p>
        </w:tc>
      </w:tr>
    </w:tbl>
    <w:p w14:paraId="48B2A0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default" w:ascii="宋体" w:hAnsi="宋体" w:eastAsia="宋体" w:cs="宋体"/>
          <w:spacing w:val="0"/>
          <w:w w:val="100"/>
          <w:position w:val="0"/>
          <w:sz w:val="24"/>
          <w:szCs w:val="24"/>
          <w:lang w:val="en-US" w:eastAsia="zh-CN"/>
        </w:rPr>
      </w:pPr>
    </w:p>
    <w:p w14:paraId="0F1ED66E"/>
    <w:sectPr>
      <w:footerReference r:id="rId8" w:type="default"/>
      <w:type w:val="continuous"/>
      <w:pgSz w:w="11900" w:h="16830"/>
      <w:pgMar w:top="1417" w:right="1389" w:bottom="1417" w:left="1389" w:header="0" w:footer="867" w:gutter="0"/>
      <w:pgBorders>
        <w:top w:val="none" w:sz="0" w:space="0"/>
        <w:left w:val="none" w:sz="0" w:space="0"/>
        <w:bottom w:val="none" w:sz="0" w:space="0"/>
        <w:right w:val="none" w:sz="0" w:space="0"/>
      </w:pgBorders>
      <w:pgNumType w:fmt="decimal"/>
      <w:cols w:space="720" w:num="1"/>
      <w:rtlGutter w:val="0"/>
      <w:docGrid w:linePitch="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DCBA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057D1F">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path/>
              <v:fill on="f" focussize="0,0"/>
              <v:stroke on="f" weight="0.5pt"/>
              <v:imagedata o:title=""/>
              <o:lock v:ext="edit" aspectratio="f"/>
              <v:textbox inset="0mm,0mm,0mm,0mm" style="mso-fit-shape-to-text:t;">
                <w:txbxContent>
                  <w:p w14:paraId="5E057D1F">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1F94A">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17229F">
                          <w:pPr>
                            <w:pStyle w:val="3"/>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path/>
              <v:fill on="f" focussize="0,0"/>
              <v:stroke on="f" weight="0.5pt"/>
              <v:imagedata o:title=""/>
              <o:lock v:ext="edit" aspectratio="f"/>
              <v:textbox inset="0mm,0mm,0mm,0mm" style="mso-fit-shape-to-text:t;">
                <w:txbxContent>
                  <w:p w14:paraId="6817229F">
                    <w:pPr>
                      <w:pStyle w:val="3"/>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48A5B">
    <w:pPr>
      <w:spacing w:line="209" w:lineRule="auto"/>
      <w:ind w:left="4509"/>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306D9FE">
                          <w:pPr>
                            <w:pStyle w:val="3"/>
                          </w:pPr>
                          <w:r>
                            <w:t xml:space="preserve">第 </w:t>
                          </w:r>
                          <w:r>
                            <w:fldChar w:fldCharType="begin"/>
                          </w:r>
                          <w:r>
                            <w:instrText xml:space="preserve"> PAGE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path/>
              <v:fill on="f" focussize="0,0"/>
              <v:stroke on="f" weight="0.5pt"/>
              <v:imagedata o:title=""/>
              <o:lock v:ext="edit" aspectratio="f"/>
              <v:textbox inset="0mm,0mm,0mm,0mm" style="mso-fit-shape-to-text:t;">
                <w:txbxContent>
                  <w:p w14:paraId="7306D9FE">
                    <w:pPr>
                      <w:pStyle w:val="3"/>
                    </w:pPr>
                    <w:r>
                      <w:t xml:space="preserve">第 </w:t>
                    </w:r>
                    <w:r>
                      <w:fldChar w:fldCharType="begin"/>
                    </w:r>
                    <w:r>
                      <w:instrText xml:space="preserve"> PAGE  \* MERGEFORMAT </w:instrText>
                    </w:r>
                    <w:r>
                      <w:fldChar w:fldCharType="separate"/>
                    </w:r>
                    <w:r>
                      <w:t>41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FA291">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9ADA4F">
                          <w:pPr>
                            <w:pStyle w:val="3"/>
                          </w:pPr>
                          <w:r>
                            <w:t xml:space="preserve">第 </w:t>
                          </w:r>
                          <w:r>
                            <w:fldChar w:fldCharType="begin"/>
                          </w:r>
                          <w:r>
                            <w:instrText xml:space="preserve"> PAGE  \* MERGEFORMAT </w:instrText>
                          </w:r>
                          <w:r>
                            <w:fldChar w:fldCharType="separate"/>
                          </w:r>
                          <w:r>
                            <w:t>42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path/>
              <v:fill on="f" focussize="0,0"/>
              <v:stroke on="f" weight="0.5pt"/>
              <v:imagedata o:title=""/>
              <o:lock v:ext="edit" aspectratio="f"/>
              <v:textbox inset="0mm,0mm,0mm,0mm" style="mso-fit-shape-to-text:t;">
                <w:txbxContent>
                  <w:p w14:paraId="4A9ADA4F">
                    <w:pPr>
                      <w:pStyle w:val="3"/>
                    </w:pPr>
                    <w:r>
                      <w:t xml:space="preserve">第 </w:t>
                    </w:r>
                    <w:r>
                      <w:fldChar w:fldCharType="begin"/>
                    </w:r>
                    <w:r>
                      <w:instrText xml:space="preserve"> PAGE  \* MERGEFORMAT </w:instrText>
                    </w:r>
                    <w:r>
                      <w:fldChar w:fldCharType="separate"/>
                    </w:r>
                    <w:r>
                      <w:t>42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5B64F8"/>
    <w:rsid w:val="6A5B6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2025-07-21T09:02:00Z</dcterms:created>
  <dc:creator>劉瑛</dc:creator>
  <cp:lastModifiedBy>劉瑛</cp:lastModifiedBy>
  <dcterms:modified xsi:type="dcterms:W3CDTF">2025-07-21T09:02:47Z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0DB22DB1ADF94AB7907030D7BC21F9F7_11</vt:lpwstr>
  </property>
  <property fmtid="{D5CDD505-2E9C-101B-9397-08002B2CF9AE}" pid="4" name="KSOTemplateDocerSaveRecord">
    <vt:lpwstr>eyJoZGlkIjoiMjg3MDQ0ODIzNjJjOGZkYzRkM2M1MjZiMzhkN2I0ZjEiLCJ1c2VySWQiOiI1NzQ3NjczNDAifQ==</vt:lpwstr>
  </property>
</Properties>
</file>