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版本号：ZXGJ-2025-04120250718001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高陵区2024年小型农田水利项目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ZXGJ-2025-041</w:t>
      </w:r>
      <w:r>
        <w:br/>
      </w:r>
      <w:r>
        <w:br/>
      </w:r>
      <w:r>
        <w:br/>
      </w:r>
    </w:p>
    <w:p>
      <w:pPr>
        <w:pStyle w:val="null3"/>
        <w:jc w:val="center"/>
        <w:outlineLvl w:val="2"/>
      </w:pPr>
      <w:r>
        <w:rPr>
          <w:rFonts w:ascii="仿宋_GB2312" w:hAnsi="仿宋_GB2312" w:cs="仿宋_GB2312" w:eastAsia="仿宋_GB2312"/>
          <w:sz w:val="28"/>
          <w:b/>
        </w:rPr>
        <w:t>西安市高陵区农业综合开发服务中心</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西安市高陵区农业综合开发服务中心</w:t>
      </w:r>
      <w:r>
        <w:rPr>
          <w:rFonts w:ascii="仿宋_GB2312" w:hAnsi="仿宋_GB2312" w:cs="仿宋_GB2312" w:eastAsia="仿宋_GB2312"/>
        </w:rPr>
        <w:t>委托，拟对</w:t>
      </w:r>
      <w:r>
        <w:rPr>
          <w:rFonts w:ascii="仿宋_GB2312" w:hAnsi="仿宋_GB2312" w:cs="仿宋_GB2312" w:eastAsia="仿宋_GB2312"/>
        </w:rPr>
        <w:t>高陵区2024年小型农田水利项目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ZXGJ-2025-041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高陵区2024年小型农田水利项目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本次项目建设主要依托现状，以高陵区现有已成的小型农田水利建设工程为基础，统筹考虑现有和新建工程。对现状损毁段渠道、无法正常运行的机井等设施进行修复改造。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采购包1（高陵区2024年小型农田水利项目）：属于专门面向中小企业采购。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在中华人民共和国境内注册，并有效存续的营业执照/事业单位法人证书/非企业专业服务机构执业许可证/民办非企业单位登记证书、税务登记证、组织机构代码证，或“三证合一”后的注册登记证。</w:t>
      </w:r>
    </w:p>
    <w:p>
      <w:pPr>
        <w:pStyle w:val="null3"/>
      </w:pPr>
      <w:r>
        <w:rPr>
          <w:rFonts w:ascii="仿宋_GB2312" w:hAnsi="仿宋_GB2312" w:cs="仿宋_GB2312" w:eastAsia="仿宋_GB2312"/>
        </w:rPr>
        <w:t>2、财务状况报告：供应商具有经审计的2023年或2024年财务审计报告（成立时间至开标时间不足一年的应具有成立后任意时段的资产负债表）或具有基本存款账户信息及磋商截止日期前三个月内其基本存款账户开户银行出具的资信证明。</w:t>
      </w:r>
    </w:p>
    <w:p>
      <w:pPr>
        <w:pStyle w:val="null3"/>
      </w:pPr>
      <w:r>
        <w:rPr>
          <w:rFonts w:ascii="仿宋_GB2312" w:hAnsi="仿宋_GB2312" w:cs="仿宋_GB2312" w:eastAsia="仿宋_GB2312"/>
        </w:rPr>
        <w:t>3、税收缴纳证明：供应商应具有开标截止日前6个月内任意一个月（响应截止时间当月不计入）的纳税证明或完税证明，依法免税的单位应具有相关证明材料。</w:t>
      </w:r>
    </w:p>
    <w:p>
      <w:pPr>
        <w:pStyle w:val="null3"/>
      </w:pPr>
      <w:r>
        <w:rPr>
          <w:rFonts w:ascii="仿宋_GB2312" w:hAnsi="仿宋_GB2312" w:cs="仿宋_GB2312" w:eastAsia="仿宋_GB2312"/>
        </w:rPr>
        <w:t>4、社会保障资金缴纳证明：供应商应具有开标截止日前6个月内任意一个月（响应截止时间当月不计入）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5、履行合同所必须的设备和专业技术能力：供应商应具有履行合同所必须的设备和专业技术能力。</w:t>
      </w:r>
    </w:p>
    <w:p>
      <w:pPr>
        <w:pStyle w:val="null3"/>
      </w:pPr>
      <w:r>
        <w:rPr>
          <w:rFonts w:ascii="仿宋_GB2312" w:hAnsi="仿宋_GB2312" w:cs="仿宋_GB2312" w:eastAsia="仿宋_GB2312"/>
        </w:rPr>
        <w:t>6、无重大违法记录声明：供应商参加采购活动近三年内经营活动中无重大违法记录。</w:t>
      </w:r>
    </w:p>
    <w:p>
      <w:pPr>
        <w:pStyle w:val="null3"/>
      </w:pPr>
      <w:r>
        <w:rPr>
          <w:rFonts w:ascii="仿宋_GB2312" w:hAnsi="仿宋_GB2312" w:cs="仿宋_GB2312" w:eastAsia="仿宋_GB2312"/>
        </w:rPr>
        <w:t>7、失信行为记录：供应商不得为“信用中国”网站(http：//www.creditchina.gov.cn)列入“失信被执行人或重大税收违法案件当事人名单或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8、法定代表人授权书：供应商应授权合法的人员参加磋商全过程，其中法定代表人直接参加磋商的，须出具法定代表人身份证，并与营业执照上信息一致。法定代表人授权代表参加磋商的，须同时出具法定代表人授权书、授权代表身份证及其近三个月内的本单位社保缴纳证明。</w:t>
      </w:r>
    </w:p>
    <w:p>
      <w:pPr>
        <w:pStyle w:val="null3"/>
      </w:pPr>
      <w:r>
        <w:rPr>
          <w:rFonts w:ascii="仿宋_GB2312" w:hAnsi="仿宋_GB2312" w:cs="仿宋_GB2312" w:eastAsia="仿宋_GB2312"/>
        </w:rPr>
        <w:t>9、资质证书：供应商须具有水利水电工程施工总承包三级及以上资质，并具有建设行政主管部门颁发的有效安全生产许可证</w:t>
      </w:r>
    </w:p>
    <w:p>
      <w:pPr>
        <w:pStyle w:val="null3"/>
      </w:pPr>
      <w:r>
        <w:rPr>
          <w:rFonts w:ascii="仿宋_GB2312" w:hAnsi="仿宋_GB2312" w:cs="仿宋_GB2312" w:eastAsia="仿宋_GB2312"/>
        </w:rPr>
        <w:t>10、拟派项目经理资质：拟派项目经理须具备水利水电工程专业二级及以上注册建造师执业资格，同时具备行政主管部门颁发的有效的安全生产考核合格证书（B证），在本单位注册且无在建工程（提供无在建项目承诺书，格式自拟）</w:t>
      </w:r>
    </w:p>
    <w:p>
      <w:pPr>
        <w:pStyle w:val="null3"/>
      </w:pPr>
      <w:r>
        <w:rPr>
          <w:rFonts w:ascii="仿宋_GB2312" w:hAnsi="仿宋_GB2312" w:cs="仿宋_GB2312" w:eastAsia="仿宋_GB2312"/>
        </w:rPr>
        <w:t>11、本项目不接受联合体磋商：提供非联合体声明函。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西安市高陵区北环路中段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029-86912032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029-81317379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采购包1：770,600.00元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在领取成交通知书前，须向采购代理机构一次性支付代理服务费。2、招标代理服务费：以成交金额为基数，参照国家计委颁发的《招标代理服务收费管理暂行办法》（计价格[2002]1980号）和国家发展改革委员会办公厅颁发的《关于招标代理服务收费有关问题的通知》（发改办价格[2003]857号）的有关规定执行。3、代理服务费缴纳账户：开户名称：中昕国际项目管理有限公司，开户银行：中国建设银行股份有限公司西安文景路支行，账户：6105 0178 1500 0000 0278。</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西安市高陵区农业综合开发服务中心</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采购人按国家有关规定以及磋商文件的要求、供应商的响应文件及承诺与本项目合同约定标准进行验收。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 三、验收结果合格的，采购人应向成交供应商出具履约验收报告，成交供应商凭验收报告办理相关手续。 四、验收结果不合格的，履约保证金将不予退还，给采购人造成的损失超过履约保证金数额的，还应当对超过部分予以赔偿；没有提交履约保证金的，应当对采购人的损失承担赔偿责任。</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西安市高陵区农业综合开发服务中心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联系人：王超</w:t>
      </w:r>
    </w:p>
    <w:p>
      <w:pPr>
        <w:pStyle w:val="null3"/>
      </w:pPr>
      <w:r>
        <w:rPr>
          <w:rFonts w:ascii="仿宋_GB2312" w:hAnsi="仿宋_GB2312" w:cs="仿宋_GB2312" w:eastAsia="仿宋_GB2312"/>
        </w:rPr>
        <w:t>联系电话：029-81317379</w:t>
      </w:r>
    </w:p>
    <w:p>
      <w:pPr>
        <w:pStyle w:val="null3"/>
      </w:pPr>
      <w:r>
        <w:rPr>
          <w:rFonts w:ascii="仿宋_GB2312" w:hAnsi="仿宋_GB2312" w:cs="仿宋_GB2312" w:eastAsia="仿宋_GB2312"/>
        </w:rPr>
        <w:t>地址：西安经济技术开发区凤城十二路首创禧悦里25幢A座16层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770,600.00</w:t>
      </w:r>
    </w:p>
    <w:p>
      <w:pPr>
        <w:pStyle w:val="null3"/>
      </w:pPr>
      <w:r>
        <w:rPr>
          <w:rFonts w:ascii="仿宋_GB2312" w:hAnsi="仿宋_GB2312" w:cs="仿宋_GB2312" w:eastAsia="仿宋_GB2312"/>
        </w:rPr>
        <w:t>采购包最高限价（元）: 770,570.73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高陵区2024年小型农田水利项目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770,600.00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标的名称：高陵区2024年小型农田水利项目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left"/>
            </w:pPr>
            <w:r>
              <w:rPr>
                <w:rFonts w:ascii="仿宋_GB2312" w:hAnsi="仿宋_GB2312" w:cs="仿宋_GB2312" w:eastAsia="仿宋_GB2312"/>
                <w:sz w:val="18"/>
                <w:b/>
              </w:rPr>
              <w:t>一、项目概况</w:t>
            </w:r>
          </w:p>
          <w:p>
            <w:pPr>
              <w:pStyle w:val="null3"/>
              <w:spacing w:before="105" w:after="105"/>
              <w:jc w:val="both"/>
            </w:pPr>
            <w:r>
              <w:rPr>
                <w:rFonts w:ascii="仿宋_GB2312" w:hAnsi="仿宋_GB2312" w:cs="仿宋_GB2312" w:eastAsia="仿宋_GB2312"/>
                <w:sz w:val="18"/>
              </w:rPr>
              <w:t>本次项目建设主要依托现状，以高陵区现有已成的小型农田水利建设工程为基础，统筹考虑现有和新建工程。对现状损毁段渠道、无法正常运行的机井等设施进行修复改造。</w:t>
            </w:r>
          </w:p>
          <w:p>
            <w:pPr>
              <w:pStyle w:val="null3"/>
              <w:spacing w:before="105" w:after="105"/>
              <w:jc w:val="both"/>
            </w:pPr>
            <w:r>
              <w:rPr>
                <w:rFonts w:ascii="仿宋_GB2312" w:hAnsi="仿宋_GB2312" w:cs="仿宋_GB2312" w:eastAsia="仿宋_GB2312"/>
                <w:sz w:val="18"/>
                <w:b/>
              </w:rPr>
              <w:t>二、工程内容和施工地点、计划工期、缺陷责任期、质量保修期</w:t>
            </w:r>
          </w:p>
          <w:p>
            <w:pPr>
              <w:pStyle w:val="null3"/>
              <w:spacing w:before="105" w:after="105"/>
              <w:jc w:val="both"/>
            </w:pPr>
            <w:r>
              <w:rPr>
                <w:rFonts w:ascii="仿宋_GB2312" w:hAnsi="仿宋_GB2312" w:cs="仿宋_GB2312" w:eastAsia="仿宋_GB2312"/>
                <w:sz w:val="18"/>
              </w:rPr>
              <w:t>（一）工程内容：</w:t>
            </w:r>
          </w:p>
          <w:p>
            <w:pPr>
              <w:pStyle w:val="null3"/>
              <w:spacing w:before="105" w:after="105"/>
              <w:jc w:val="both"/>
            </w:pPr>
            <w:r>
              <w:rPr>
                <w:rFonts w:ascii="仿宋_GB2312" w:hAnsi="仿宋_GB2312" w:cs="仿宋_GB2312" w:eastAsia="仿宋_GB2312"/>
                <w:sz w:val="18"/>
              </w:rPr>
              <w:t>主要建设措施有灌溉与排水工程。工程主要建设内容有：</w:t>
            </w:r>
          </w:p>
          <w:p>
            <w:pPr>
              <w:pStyle w:val="null3"/>
              <w:spacing w:before="105" w:after="105"/>
              <w:jc w:val="both"/>
            </w:pPr>
            <w:r>
              <w:rPr>
                <w:rFonts w:ascii="仿宋_GB2312" w:hAnsi="仿宋_GB2312" w:cs="仿宋_GB2312" w:eastAsia="仿宋_GB2312"/>
                <w:sz w:val="18"/>
              </w:rPr>
              <w:t>1</w:t>
            </w:r>
            <w:r>
              <w:rPr>
                <w:rFonts w:ascii="仿宋_GB2312" w:hAnsi="仿宋_GB2312" w:cs="仿宋_GB2312" w:eastAsia="仿宋_GB2312"/>
                <w:sz w:val="18"/>
              </w:rPr>
              <w:t>、灌溉与排水工程</w:t>
            </w:r>
          </w:p>
          <w:p>
            <w:pPr>
              <w:pStyle w:val="null3"/>
              <w:spacing w:before="105" w:after="105"/>
              <w:jc w:val="both"/>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）水源工程</w:t>
            </w:r>
          </w:p>
          <w:p>
            <w:pPr>
              <w:pStyle w:val="null3"/>
              <w:spacing w:before="105" w:after="105"/>
              <w:jc w:val="both"/>
            </w:pPr>
            <w:r>
              <w:rPr>
                <w:rFonts w:ascii="仿宋_GB2312" w:hAnsi="仿宋_GB2312" w:cs="仿宋_GB2312" w:eastAsia="仿宋_GB2312"/>
                <w:sz w:val="18"/>
              </w:rPr>
              <w:t>修复旧井共计</w:t>
            </w:r>
            <w:r>
              <w:rPr>
                <w:rFonts w:ascii="仿宋_GB2312" w:hAnsi="仿宋_GB2312" w:cs="仿宋_GB2312" w:eastAsia="仿宋_GB2312"/>
                <w:sz w:val="18"/>
              </w:rPr>
              <w:t xml:space="preserve"> 20 </w:t>
            </w:r>
            <w:r>
              <w:rPr>
                <w:rFonts w:ascii="仿宋_GB2312" w:hAnsi="仿宋_GB2312" w:cs="仿宋_GB2312" w:eastAsia="仿宋_GB2312"/>
                <w:sz w:val="18"/>
              </w:rPr>
              <w:t>眼（包含洗井及换泵），新建机井</w:t>
            </w:r>
            <w:r>
              <w:rPr>
                <w:rFonts w:ascii="仿宋_GB2312" w:hAnsi="仿宋_GB2312" w:cs="仿宋_GB2312" w:eastAsia="仿宋_GB2312"/>
                <w:sz w:val="18"/>
              </w:rPr>
              <w:t>1</w:t>
            </w:r>
            <w:r>
              <w:rPr>
                <w:rFonts w:ascii="仿宋_GB2312" w:hAnsi="仿宋_GB2312" w:cs="仿宋_GB2312" w:eastAsia="仿宋_GB2312"/>
                <w:sz w:val="18"/>
              </w:rPr>
              <w:t>眼。</w:t>
            </w:r>
          </w:p>
          <w:p>
            <w:pPr>
              <w:pStyle w:val="null3"/>
              <w:spacing w:before="105" w:after="105"/>
              <w:jc w:val="both"/>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）输水工程</w:t>
            </w:r>
          </w:p>
          <w:p>
            <w:pPr>
              <w:pStyle w:val="null3"/>
              <w:spacing w:before="105" w:after="105"/>
              <w:jc w:val="both"/>
            </w:pPr>
            <w:r>
              <w:rPr>
                <w:rFonts w:ascii="仿宋_GB2312" w:hAnsi="仿宋_GB2312" w:cs="仿宋_GB2312" w:eastAsia="仿宋_GB2312"/>
                <w:sz w:val="18"/>
              </w:rPr>
              <w:t>设计新铺设管径</w:t>
            </w:r>
            <w:r>
              <w:rPr>
                <w:rFonts w:ascii="仿宋_GB2312" w:hAnsi="仿宋_GB2312" w:cs="仿宋_GB2312" w:eastAsia="仿宋_GB2312"/>
                <w:sz w:val="18"/>
              </w:rPr>
              <w:t>ф110mm</w:t>
            </w:r>
            <w:r>
              <w:rPr>
                <w:rFonts w:ascii="仿宋_GB2312" w:hAnsi="仿宋_GB2312" w:cs="仿宋_GB2312" w:eastAsia="仿宋_GB2312"/>
                <w:sz w:val="18"/>
              </w:rPr>
              <w:t>的</w:t>
            </w:r>
            <w:r>
              <w:rPr>
                <w:rFonts w:ascii="仿宋_GB2312" w:hAnsi="仿宋_GB2312" w:cs="仿宋_GB2312" w:eastAsia="仿宋_GB2312"/>
                <w:sz w:val="18"/>
              </w:rPr>
              <w:t>UPVC</w:t>
            </w:r>
            <w:r>
              <w:rPr>
                <w:rFonts w:ascii="仿宋_GB2312" w:hAnsi="仿宋_GB2312" w:cs="仿宋_GB2312" w:eastAsia="仿宋_GB2312"/>
                <w:sz w:val="18"/>
              </w:rPr>
              <w:t>低压管道</w:t>
            </w:r>
            <w:r>
              <w:rPr>
                <w:rFonts w:ascii="仿宋_GB2312" w:hAnsi="仿宋_GB2312" w:cs="仿宋_GB2312" w:eastAsia="仿宋_GB2312"/>
                <w:sz w:val="18"/>
              </w:rPr>
              <w:t>2000m</w:t>
            </w:r>
            <w:r>
              <w:rPr>
                <w:rFonts w:ascii="仿宋_GB2312" w:hAnsi="仿宋_GB2312" w:cs="仿宋_GB2312" w:eastAsia="仿宋_GB2312"/>
                <w:sz w:val="18"/>
              </w:rPr>
              <w:t>，出水桩</w:t>
            </w:r>
            <w:r>
              <w:rPr>
                <w:rFonts w:ascii="仿宋_GB2312" w:hAnsi="仿宋_GB2312" w:cs="仿宋_GB2312" w:eastAsia="仿宋_GB2312"/>
                <w:sz w:val="18"/>
              </w:rPr>
              <w:t>40</w:t>
            </w:r>
            <w:r>
              <w:rPr>
                <w:rFonts w:ascii="仿宋_GB2312" w:hAnsi="仿宋_GB2312" w:cs="仿宋_GB2312" w:eastAsia="仿宋_GB2312"/>
                <w:sz w:val="18"/>
              </w:rPr>
              <w:t>套，设计修复</w:t>
            </w:r>
            <w:r>
              <w:rPr>
                <w:rFonts w:ascii="仿宋_GB2312" w:hAnsi="仿宋_GB2312" w:cs="仿宋_GB2312" w:eastAsia="仿宋_GB2312"/>
                <w:sz w:val="18"/>
              </w:rPr>
              <w:t>D40U</w:t>
            </w:r>
            <w:r>
              <w:rPr>
                <w:rFonts w:ascii="仿宋_GB2312" w:hAnsi="仿宋_GB2312" w:cs="仿宋_GB2312" w:eastAsia="仿宋_GB2312"/>
                <w:sz w:val="18"/>
              </w:rPr>
              <w:t>型渠道共</w:t>
            </w:r>
            <w:r>
              <w:rPr>
                <w:rFonts w:ascii="仿宋_GB2312" w:hAnsi="仿宋_GB2312" w:cs="仿宋_GB2312" w:eastAsia="仿宋_GB2312"/>
                <w:sz w:val="18"/>
              </w:rPr>
              <w:t>6500m</w:t>
            </w:r>
            <w:r>
              <w:rPr>
                <w:rFonts w:ascii="仿宋_GB2312" w:hAnsi="仿宋_GB2312" w:cs="仿宋_GB2312" w:eastAsia="仿宋_GB2312"/>
                <w:sz w:val="18"/>
              </w:rPr>
              <w:t>，设计新建</w:t>
            </w:r>
            <w:r>
              <w:rPr>
                <w:rFonts w:ascii="仿宋_GB2312" w:hAnsi="仿宋_GB2312" w:cs="仿宋_GB2312" w:eastAsia="仿宋_GB2312"/>
                <w:sz w:val="18"/>
              </w:rPr>
              <w:t>D40U</w:t>
            </w:r>
            <w:r>
              <w:rPr>
                <w:rFonts w:ascii="仿宋_GB2312" w:hAnsi="仿宋_GB2312" w:cs="仿宋_GB2312" w:eastAsia="仿宋_GB2312"/>
                <w:sz w:val="18"/>
              </w:rPr>
              <w:t>型渠道</w:t>
            </w:r>
            <w:r>
              <w:rPr>
                <w:rFonts w:ascii="仿宋_GB2312" w:hAnsi="仿宋_GB2312" w:cs="仿宋_GB2312" w:eastAsia="仿宋_GB2312"/>
                <w:sz w:val="18"/>
              </w:rPr>
              <w:t>210m</w:t>
            </w:r>
            <w:r>
              <w:rPr>
                <w:rFonts w:ascii="仿宋_GB2312" w:hAnsi="仿宋_GB2312" w:cs="仿宋_GB2312" w:eastAsia="仿宋_GB2312"/>
                <w:sz w:val="18"/>
              </w:rPr>
              <w:t>。</w:t>
            </w:r>
          </w:p>
          <w:p>
            <w:pPr>
              <w:pStyle w:val="null3"/>
              <w:spacing w:before="105" w:after="105"/>
              <w:jc w:val="both"/>
            </w:pPr>
            <w:r>
              <w:rPr>
                <w:rFonts w:ascii="仿宋_GB2312" w:hAnsi="仿宋_GB2312" w:cs="仿宋_GB2312" w:eastAsia="仿宋_GB2312"/>
                <w:sz w:val="18"/>
              </w:rPr>
              <w:t>（二）工程地点：西安市高陵区张卜街道、鹿苑街道、通远街道、耿镇街道。</w:t>
            </w:r>
          </w:p>
          <w:p>
            <w:pPr>
              <w:pStyle w:val="null3"/>
              <w:spacing w:before="105" w:after="105"/>
              <w:jc w:val="both"/>
            </w:pPr>
            <w:r>
              <w:rPr>
                <w:rFonts w:ascii="仿宋_GB2312" w:hAnsi="仿宋_GB2312" w:cs="仿宋_GB2312" w:eastAsia="仿宋_GB2312"/>
                <w:sz w:val="18"/>
              </w:rPr>
              <w:t>（三）计划工期：自签订合同之日起</w:t>
            </w:r>
            <w:r>
              <w:rPr>
                <w:rFonts w:ascii="仿宋_GB2312" w:hAnsi="仿宋_GB2312" w:cs="仿宋_GB2312" w:eastAsia="仿宋_GB2312"/>
                <w:sz w:val="18"/>
              </w:rPr>
              <w:t>150</w:t>
            </w:r>
            <w:r>
              <w:rPr>
                <w:rFonts w:ascii="仿宋_GB2312" w:hAnsi="仿宋_GB2312" w:cs="仿宋_GB2312" w:eastAsia="仿宋_GB2312"/>
                <w:sz w:val="18"/>
              </w:rPr>
              <w:t>日历天。</w:t>
            </w:r>
          </w:p>
          <w:p>
            <w:pPr>
              <w:pStyle w:val="null3"/>
              <w:spacing w:before="105" w:after="105"/>
              <w:jc w:val="both"/>
            </w:pPr>
            <w:r>
              <w:rPr>
                <w:rFonts w:ascii="仿宋_GB2312" w:hAnsi="仿宋_GB2312" w:cs="仿宋_GB2312" w:eastAsia="仿宋_GB2312"/>
                <w:sz w:val="18"/>
              </w:rPr>
              <w:t>（四）缺陷责任期：</w:t>
            </w:r>
            <w:r>
              <w:rPr>
                <w:rFonts w:ascii="仿宋_GB2312" w:hAnsi="仿宋_GB2312" w:cs="仿宋_GB2312" w:eastAsia="仿宋_GB2312"/>
                <w:sz w:val="18"/>
              </w:rPr>
              <w:t>2</w:t>
            </w:r>
            <w:r>
              <w:rPr>
                <w:rFonts w:ascii="仿宋_GB2312" w:hAnsi="仿宋_GB2312" w:cs="仿宋_GB2312" w:eastAsia="仿宋_GB2312"/>
                <w:sz w:val="18"/>
              </w:rPr>
              <w:t>年</w:t>
            </w:r>
          </w:p>
          <w:p>
            <w:pPr>
              <w:pStyle w:val="null3"/>
              <w:spacing w:before="105" w:after="105"/>
              <w:jc w:val="both"/>
            </w:pPr>
            <w:r>
              <w:rPr>
                <w:rFonts w:ascii="仿宋_GB2312" w:hAnsi="仿宋_GB2312" w:cs="仿宋_GB2312" w:eastAsia="仿宋_GB2312"/>
                <w:sz w:val="18"/>
              </w:rPr>
              <w:t>（五）质量保修期：</w:t>
            </w:r>
            <w:r>
              <w:rPr>
                <w:rFonts w:ascii="仿宋_GB2312" w:hAnsi="仿宋_GB2312" w:cs="仿宋_GB2312" w:eastAsia="仿宋_GB2312"/>
                <w:sz w:val="18"/>
              </w:rPr>
              <w:t>1</w:t>
            </w:r>
            <w:r>
              <w:rPr>
                <w:rFonts w:ascii="仿宋_GB2312" w:hAnsi="仿宋_GB2312" w:cs="仿宋_GB2312" w:eastAsia="仿宋_GB2312"/>
                <w:sz w:val="18"/>
              </w:rPr>
              <w:t>年。</w:t>
            </w:r>
          </w:p>
          <w:p>
            <w:pPr>
              <w:pStyle w:val="null3"/>
              <w:spacing w:before="105" w:after="105"/>
              <w:jc w:val="both"/>
            </w:pPr>
            <w:r>
              <w:rPr>
                <w:rFonts w:ascii="仿宋_GB2312" w:hAnsi="仿宋_GB2312" w:cs="仿宋_GB2312" w:eastAsia="仿宋_GB2312"/>
                <w:sz w:val="18"/>
                <w:b/>
              </w:rPr>
              <w:t>三、工程量清单</w:t>
            </w:r>
          </w:p>
          <w:p>
            <w:pPr>
              <w:pStyle w:val="null3"/>
              <w:spacing w:before="105" w:after="105"/>
              <w:jc w:val="both"/>
            </w:pPr>
            <w:r>
              <w:rPr>
                <w:rFonts w:ascii="仿宋_GB2312" w:hAnsi="仿宋_GB2312" w:cs="仿宋_GB2312" w:eastAsia="仿宋_GB2312"/>
                <w:sz w:val="18"/>
              </w:rPr>
              <w:t>详见附件。</w:t>
            </w:r>
          </w:p>
          <w:p>
            <w:pPr>
              <w:pStyle w:val="null3"/>
              <w:spacing w:before="105" w:after="105"/>
              <w:jc w:val="both"/>
            </w:pPr>
            <w:r>
              <w:rPr>
                <w:rFonts w:ascii="仿宋_GB2312" w:hAnsi="仿宋_GB2312" w:cs="仿宋_GB2312" w:eastAsia="仿宋_GB2312"/>
                <w:sz w:val="18"/>
                <w:b/>
              </w:rPr>
              <w:t>四、施工技术要求</w:t>
            </w:r>
          </w:p>
          <w:p>
            <w:pPr>
              <w:pStyle w:val="null3"/>
              <w:spacing w:before="105" w:after="105"/>
              <w:jc w:val="both"/>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）首先做好定线、放样、测量工作，按设计图确定终端高程。</w:t>
            </w:r>
          </w:p>
          <w:p>
            <w:pPr>
              <w:pStyle w:val="null3"/>
              <w:spacing w:before="105" w:after="105"/>
              <w:jc w:val="both"/>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）严格按照设计图纸、技术规范和质量要求施工。</w:t>
            </w:r>
          </w:p>
          <w:p>
            <w:pPr>
              <w:pStyle w:val="null3"/>
              <w:spacing w:before="105" w:after="105"/>
              <w:jc w:val="both"/>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）道路基础开挖按设计断面规定，不得超挖或欠挖，如遇到边坡松软土时，须挖至坚隔土或夯实，基础经甲方验收后方可进入下一道工序施工。</w:t>
            </w:r>
          </w:p>
          <w:p>
            <w:pPr>
              <w:pStyle w:val="null3"/>
              <w:spacing w:before="105" w:after="105"/>
              <w:jc w:val="both"/>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）水泥等主要原材料须持有厂家质保单，并按规定做各种材料的质量试验，合格后方可用于工程，钢筋规格制作安装须符合设计要求。</w:t>
            </w:r>
          </w:p>
          <w:p>
            <w:pPr>
              <w:pStyle w:val="null3"/>
              <w:spacing w:before="105" w:after="105"/>
              <w:jc w:val="both"/>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）所有原材料的购置都必须符合有关建筑材料的国家标准。</w:t>
            </w:r>
          </w:p>
          <w:p>
            <w:pPr>
              <w:pStyle w:val="null3"/>
              <w:spacing w:before="105" w:after="105"/>
              <w:jc w:val="both"/>
            </w:pP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）所有工程建设均应严格执行相关的施工规范，按设计标准施工严禁私自修改设计方案。</w:t>
            </w:r>
          </w:p>
          <w:p>
            <w:pPr>
              <w:pStyle w:val="null3"/>
              <w:spacing w:before="105" w:after="105"/>
              <w:jc w:val="both"/>
            </w:pPr>
            <w:r>
              <w:rPr>
                <w:rFonts w:ascii="仿宋_GB2312" w:hAnsi="仿宋_GB2312" w:cs="仿宋_GB2312" w:eastAsia="仿宋_GB2312"/>
                <w:sz w:val="18"/>
                <w:b/>
              </w:rPr>
              <w:t>五、商务要求</w:t>
            </w:r>
          </w:p>
          <w:p>
            <w:pPr>
              <w:pStyle w:val="null3"/>
              <w:spacing w:before="105" w:after="105"/>
              <w:jc w:val="both"/>
            </w:pPr>
            <w:r>
              <w:rPr>
                <w:rFonts w:ascii="仿宋_GB2312" w:hAnsi="仿宋_GB2312" w:cs="仿宋_GB2312" w:eastAsia="仿宋_GB2312"/>
                <w:sz w:val="18"/>
              </w:rPr>
              <w:t>合同签订后，按进度完成总工程量的</w:t>
            </w:r>
            <w:r>
              <w:rPr>
                <w:rFonts w:ascii="仿宋_GB2312" w:hAnsi="仿宋_GB2312" w:cs="仿宋_GB2312" w:eastAsia="仿宋_GB2312"/>
                <w:sz w:val="18"/>
              </w:rPr>
              <w:t>80%</w:t>
            </w:r>
            <w:r>
              <w:rPr>
                <w:rFonts w:ascii="仿宋_GB2312" w:hAnsi="仿宋_GB2312" w:cs="仿宋_GB2312" w:eastAsia="仿宋_GB2312"/>
                <w:sz w:val="18"/>
              </w:rPr>
              <w:t>支付</w:t>
            </w:r>
            <w:r>
              <w:rPr>
                <w:rFonts w:ascii="仿宋_GB2312" w:hAnsi="仿宋_GB2312" w:cs="仿宋_GB2312" w:eastAsia="仿宋_GB2312"/>
                <w:sz w:val="18"/>
              </w:rPr>
              <w:t>70%</w:t>
            </w:r>
            <w:r>
              <w:rPr>
                <w:rFonts w:ascii="仿宋_GB2312" w:hAnsi="仿宋_GB2312" w:cs="仿宋_GB2312" w:eastAsia="仿宋_GB2312"/>
                <w:sz w:val="18"/>
              </w:rPr>
              <w:t>资金，完成工竣工验收合格后成交供应商报送结算资料，结算资料经审定后支付至最终决算价款</w:t>
            </w:r>
            <w:r>
              <w:rPr>
                <w:rFonts w:ascii="仿宋_GB2312" w:hAnsi="仿宋_GB2312" w:cs="仿宋_GB2312" w:eastAsia="仿宋_GB2312"/>
                <w:sz w:val="18"/>
              </w:rPr>
              <w:t>97%</w:t>
            </w:r>
            <w:r>
              <w:rPr>
                <w:rFonts w:ascii="仿宋_GB2312" w:hAnsi="仿宋_GB2312" w:cs="仿宋_GB2312" w:eastAsia="仿宋_GB2312"/>
                <w:sz w:val="18"/>
              </w:rPr>
              <w:t xml:space="preserve">，剩余 </w:t>
            </w:r>
            <w:r>
              <w:rPr>
                <w:rFonts w:ascii="仿宋_GB2312" w:hAnsi="仿宋_GB2312" w:cs="仿宋_GB2312" w:eastAsia="仿宋_GB2312"/>
                <w:sz w:val="18"/>
              </w:rPr>
              <w:t>3%</w:t>
            </w:r>
            <w:r>
              <w:rPr>
                <w:rFonts w:ascii="仿宋_GB2312" w:hAnsi="仿宋_GB2312" w:cs="仿宋_GB2312" w:eastAsia="仿宋_GB2312"/>
                <w:sz w:val="18"/>
              </w:rPr>
              <w:t xml:space="preserve">作为质保金，在项目缺陷责任期满后 </w:t>
            </w:r>
            <w:r>
              <w:rPr>
                <w:rFonts w:ascii="仿宋_GB2312" w:hAnsi="仿宋_GB2312" w:cs="仿宋_GB2312" w:eastAsia="仿宋_GB2312"/>
                <w:sz w:val="18"/>
              </w:rPr>
              <w:t xml:space="preserve">7 </w:t>
            </w:r>
            <w:r>
              <w:rPr>
                <w:rFonts w:ascii="仿宋_GB2312" w:hAnsi="仿宋_GB2312" w:cs="仿宋_GB2312" w:eastAsia="仿宋_GB2312"/>
                <w:sz w:val="18"/>
              </w:rPr>
              <w:t>日内无息退还。</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达到国家施工验收规范合格标准和西安市及高陵区有关质量标准和要求。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符合国家及行业验收合格标准。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因平台格式限制，其他要求说明如下：（一）采购人应在成交通知书发出之日起二十五日内与成交供应商签订采购合同；（二）评审结束后，代理机构在评审结束之日起1个工作日内将磋商报告及有关资料送交采购人。采购人在收到磋商报告后4个工作日内，在磋商报告确定的成交候选供应商名单中按顺序确定成交供应商。代理机构在收到成交复函后在1个工作日内发布成交结果公告；（三）成交供应商须向采购人无偿提供本项目纸质版竞争性磋商响应文件1套正本、3套副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资格审查资料</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在中华人民共和国境内注册，并有效存续的营业执照/事业单位法人证书/非企业专业服务机构执业许可证/民办非企业单位登记证书、税务登记证、组织机构代码证，或“三证合一”后的注册登记证。</w:t>
            </w:r>
          </w:p>
        </w:tc>
        <w:tc>
          <w:tcPr>
            <w:tcW w:type="dxa" w:w="1661"/>
          </w:tcPr>
          <w:p>
            <w:pPr>
              <w:pStyle w:val="null3"/>
            </w:pPr>
            <w:r>
              <w:rPr>
                <w:rFonts w:ascii="仿宋_GB2312" w:hAnsi="仿宋_GB2312" w:cs="仿宋_GB2312" w:eastAsia="仿宋_GB2312"/>
              </w:rPr>
              <w:t>资格审查资料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具有经审计的2023年或2024年财务审计报告（成立时间至开标时间不足一年的应具有成立后任意时段的资产负债表）或具有基本存款账户信息及磋商截止日期前三个月内其基本存款账户开户银行出具的资信证明。</w:t>
            </w:r>
          </w:p>
        </w:tc>
        <w:tc>
          <w:tcPr>
            <w:tcW w:type="dxa" w:w="1661"/>
          </w:tcPr>
          <w:p>
            <w:pPr>
              <w:pStyle w:val="null3"/>
            </w:pPr>
            <w:r>
              <w:rPr>
                <w:rFonts w:ascii="仿宋_GB2312" w:hAnsi="仿宋_GB2312" w:cs="仿宋_GB2312" w:eastAsia="仿宋_GB2312"/>
              </w:rPr>
              <w:t>资格审查资料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供应商应具有开标截止日前6个月内任意一个月（响应截止时间当月不计入）的纳税证明或完税证明，依法免税的单位应具有相关证明材料。</w:t>
            </w:r>
          </w:p>
        </w:tc>
        <w:tc>
          <w:tcPr>
            <w:tcW w:type="dxa" w:w="1661"/>
          </w:tcPr>
          <w:p>
            <w:pPr>
              <w:pStyle w:val="null3"/>
            </w:pPr>
            <w:r>
              <w:rPr>
                <w:rFonts w:ascii="仿宋_GB2312" w:hAnsi="仿宋_GB2312" w:cs="仿宋_GB2312" w:eastAsia="仿宋_GB2312"/>
              </w:rPr>
              <w:t>资格审查资料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供应商应具有开标截止日前6个月内任意一个月（响应截止时间当月不计入）的社会保障资金缴存单据或社保机构开具的社会保险参保缴费情况证明，依法不需要缴纳社会保障资金的单位应提供相关证明材料。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资格审查资料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履行合同所必须的设备和专业技术能力</w:t>
            </w:r>
          </w:p>
        </w:tc>
        <w:tc>
          <w:tcPr>
            <w:tcW w:type="dxa" w:w="3322"/>
          </w:tcPr>
          <w:p>
            <w:pPr>
              <w:pStyle w:val="null3"/>
            </w:pPr>
            <w:r>
              <w:rPr>
                <w:rFonts w:ascii="仿宋_GB2312" w:hAnsi="仿宋_GB2312" w:cs="仿宋_GB2312" w:eastAsia="仿宋_GB2312"/>
              </w:rPr>
              <w:t>供应商应具有履行合同所必须的设备和专业技术能力。</w:t>
            </w:r>
          </w:p>
        </w:tc>
        <w:tc>
          <w:tcPr>
            <w:tcW w:type="dxa" w:w="1661"/>
          </w:tcPr>
          <w:p>
            <w:pPr>
              <w:pStyle w:val="null3"/>
            </w:pPr>
            <w:r>
              <w:rPr>
                <w:rFonts w:ascii="仿宋_GB2312" w:hAnsi="仿宋_GB2312" w:cs="仿宋_GB2312" w:eastAsia="仿宋_GB2312"/>
              </w:rPr>
              <w:t>资格审查资料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供应商参加采购活动近三年内经营活动中无重大违法记录。</w:t>
            </w:r>
          </w:p>
        </w:tc>
        <w:tc>
          <w:tcPr>
            <w:tcW w:type="dxa" w:w="1661"/>
          </w:tcPr>
          <w:p>
            <w:pPr>
              <w:pStyle w:val="null3"/>
            </w:pPr>
            <w:r>
              <w:rPr>
                <w:rFonts w:ascii="仿宋_GB2312" w:hAnsi="仿宋_GB2312" w:cs="仿宋_GB2312" w:eastAsia="仿宋_GB2312"/>
              </w:rPr>
              <w:t>资格审查资料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失信行为记录</w:t>
            </w:r>
          </w:p>
        </w:tc>
        <w:tc>
          <w:tcPr>
            <w:tcW w:type="dxa" w:w="3322"/>
          </w:tcPr>
          <w:p>
            <w:pPr>
              <w:pStyle w:val="null3"/>
            </w:pPr>
            <w:r>
              <w:rPr>
                <w:rFonts w:ascii="仿宋_GB2312" w:hAnsi="仿宋_GB2312" w:cs="仿宋_GB2312" w:eastAsia="仿宋_GB2312"/>
              </w:rPr>
              <w:t>供应商不得为“信用中国”网站(http：//www.creditchina.gov.cn)列入“失信被执行人或重大税收违法案件当事人名单或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资格审查资料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并与营业执照上信息一致。法定代表人授权代表参加磋商的，须同时出具法定代表人授权书、授权代表身份证及其近三个月内的本单位社保缴纳证明。</w:t>
            </w:r>
          </w:p>
        </w:tc>
        <w:tc>
          <w:tcPr>
            <w:tcW w:type="dxa" w:w="1661"/>
          </w:tcPr>
          <w:p>
            <w:pPr>
              <w:pStyle w:val="null3"/>
            </w:pPr>
            <w:r>
              <w:rPr>
                <w:rFonts w:ascii="仿宋_GB2312" w:hAnsi="仿宋_GB2312" w:cs="仿宋_GB2312" w:eastAsia="仿宋_GB2312"/>
              </w:rPr>
              <w:t>资格审查资料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供应商须具有水利水电工程施工总承包三级及以上资质，并具有建设行政主管部门颁发的有效安全生产许可证</w:t>
            </w:r>
          </w:p>
        </w:tc>
        <w:tc>
          <w:tcPr>
            <w:tcW w:type="dxa" w:w="1661"/>
          </w:tcPr>
          <w:p>
            <w:pPr>
              <w:pStyle w:val="null3"/>
            </w:pPr>
            <w:r>
              <w:rPr>
                <w:rFonts w:ascii="仿宋_GB2312" w:hAnsi="仿宋_GB2312" w:cs="仿宋_GB2312" w:eastAsia="仿宋_GB2312"/>
              </w:rPr>
              <w:t>资格审查资料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拟派项目经理资质</w:t>
            </w:r>
          </w:p>
        </w:tc>
        <w:tc>
          <w:tcPr>
            <w:tcW w:type="dxa" w:w="3322"/>
          </w:tcPr>
          <w:p>
            <w:pPr>
              <w:pStyle w:val="null3"/>
            </w:pPr>
            <w:r>
              <w:rPr>
                <w:rFonts w:ascii="仿宋_GB2312" w:hAnsi="仿宋_GB2312" w:cs="仿宋_GB2312" w:eastAsia="仿宋_GB2312"/>
              </w:rPr>
              <w:t>拟派项目经理须具备水利水电工程专业二级及以上注册建造师执业资格，同时具备行政主管部门颁发的有效的安全生产考核合格证书（B证），在本单位注册且无在建工程（提供无在建项目承诺书，格式自拟）</w:t>
            </w:r>
          </w:p>
        </w:tc>
        <w:tc>
          <w:tcPr>
            <w:tcW w:type="dxa" w:w="1661"/>
          </w:tcPr>
          <w:p>
            <w:pPr>
              <w:pStyle w:val="null3"/>
            </w:pPr>
            <w:r>
              <w:rPr>
                <w:rFonts w:ascii="仿宋_GB2312" w:hAnsi="仿宋_GB2312" w:cs="仿宋_GB2312" w:eastAsia="仿宋_GB2312"/>
              </w:rPr>
              <w:t>资格审查资料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提供非联合体声明函。</w:t>
            </w:r>
          </w:p>
        </w:tc>
        <w:tc>
          <w:tcPr>
            <w:tcW w:type="dxa" w:w="1661"/>
          </w:tcPr>
          <w:p>
            <w:pPr>
              <w:pStyle w:val="null3"/>
            </w:pPr>
            <w:r>
              <w:rPr>
                <w:rFonts w:ascii="仿宋_GB2312" w:hAnsi="仿宋_GB2312" w:cs="仿宋_GB2312" w:eastAsia="仿宋_GB2312"/>
              </w:rPr>
              <w:t>资格审查资料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w:t>
            </w:r>
          </w:p>
        </w:tc>
        <w:tc>
          <w:tcPr>
            <w:tcW w:type="dxa" w:w="3322"/>
          </w:tcPr>
          <w:p>
            <w:pPr>
              <w:pStyle w:val="null3"/>
            </w:pPr>
            <w:r>
              <w:rPr>
                <w:rFonts w:ascii="仿宋_GB2312" w:hAnsi="仿宋_GB2312" w:cs="仿宋_GB2312" w:eastAsia="仿宋_GB2312"/>
              </w:rPr>
              <w:t>1、响应文件是否按照磋商文件要求的格式编写； 2、响应报价内容是否有重大缺漏项。</w:t>
            </w:r>
          </w:p>
        </w:tc>
        <w:tc>
          <w:tcPr>
            <w:tcW w:type="dxa" w:w="1661"/>
          </w:tcPr>
          <w:p>
            <w:pPr>
              <w:pStyle w:val="null3"/>
            </w:pPr>
            <w:r>
              <w:rPr>
                <w:rFonts w:ascii="仿宋_GB2312" w:hAnsi="仿宋_GB2312" w:cs="仿宋_GB2312" w:eastAsia="仿宋_GB2312"/>
              </w:rPr>
              <w:t>资格审查资料 已标价工程量清单 中小企业声明函 技术服务响应偏离表 商务条款响应偏离表 响应文件封面 项目管理机构组成表 残疾人福利性单位声明函 报价函 供应商认为有必要提供的其他材料 标的清单 供应商类似项目业绩一览表 施工方案 响应函 主要人员简历表 监狱企业的证明文件 合同文本响应</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响应文件的有效性</w:t>
            </w:r>
          </w:p>
        </w:tc>
        <w:tc>
          <w:tcPr>
            <w:tcW w:type="dxa" w:w="3322"/>
          </w:tcPr>
          <w:p>
            <w:pPr>
              <w:pStyle w:val="null3"/>
            </w:pPr>
            <w:r>
              <w:rPr>
                <w:rFonts w:ascii="仿宋_GB2312" w:hAnsi="仿宋_GB2312" w:cs="仿宋_GB2312" w:eastAsia="仿宋_GB2312"/>
              </w:rPr>
              <w:t>1、投标文件的签署、加盖印章是否合格、有效； 2、提供的证明文件、承诺书、资料是否真实、有效。</w:t>
            </w:r>
          </w:p>
        </w:tc>
        <w:tc>
          <w:tcPr>
            <w:tcW w:type="dxa" w:w="1661"/>
          </w:tcPr>
          <w:p>
            <w:pPr>
              <w:pStyle w:val="null3"/>
            </w:pPr>
            <w:r>
              <w:rPr>
                <w:rFonts w:ascii="仿宋_GB2312" w:hAnsi="仿宋_GB2312" w:cs="仿宋_GB2312" w:eastAsia="仿宋_GB2312"/>
              </w:rPr>
              <w:t>响应文件封面 资格审查资料 已标价工程量清单 中小企业声明函 残疾人福利性单位声明函 报价函 标的清单 响应函 监狱企业的证明文件 技术服务响应偏离表 商务条款响应偏离表 合同文本响应</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响应文件的响应性</w:t>
            </w:r>
          </w:p>
        </w:tc>
        <w:tc>
          <w:tcPr>
            <w:tcW w:type="dxa" w:w="3322"/>
          </w:tcPr>
          <w:p>
            <w:pPr>
              <w:pStyle w:val="null3"/>
            </w:pPr>
            <w:r>
              <w:rPr>
                <w:rFonts w:ascii="仿宋_GB2312" w:hAnsi="仿宋_GB2312" w:cs="仿宋_GB2312" w:eastAsia="仿宋_GB2312"/>
              </w:rPr>
              <w:t>实质上响应磋商文件：1、磋商有效期是否符合磋商文件的要求； 2、工期是否符合磋商文件要求； 3、响应文件内容是否符合国家法律法规，是否响应了磋商文件要求的全部条款、条件和规格要求，没有重大偏离。</w:t>
            </w:r>
          </w:p>
        </w:tc>
        <w:tc>
          <w:tcPr>
            <w:tcW w:type="dxa" w:w="1661"/>
          </w:tcPr>
          <w:p>
            <w:pPr>
              <w:pStyle w:val="null3"/>
            </w:pPr>
            <w:r>
              <w:rPr>
                <w:rFonts w:ascii="仿宋_GB2312" w:hAnsi="仿宋_GB2312" w:cs="仿宋_GB2312" w:eastAsia="仿宋_GB2312"/>
              </w:rPr>
              <w:t>响应文件封面 资格审查资料 已标价工程量清单 中小企业声明函 残疾人福利性单位声明函 报价函 标的清单 响应函 监狱企业的证明文件 技术服务响应偏离表 商务条款响应偏离表 合同文本响应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磋商报价不得超过最高限价，且只能有一个有效报价，不得提交选择性报价。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资格审查资料 已标价工程量清单 中小企业声明函 技术服务响应偏离表 商务条款响应偏离表 响应文件封面 项目管理机构组成表 残疾人福利性单位声明函 报价函 供应商认为有必要提供的其他材料 标的清单 供应商类似项目业绩一览表 施工方案 响应函 主要人员简历表 监狱企业的证明文件 合同文本响应</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供应商需提供2023年6月至今（以合同签订日期为准）同类项目业绩，每提供一个得2分，最高得4分。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项目部组成及劳动力安排计划</w:t>
            </w:r>
          </w:p>
        </w:tc>
        <w:tc>
          <w:tcPr>
            <w:tcW w:type="dxa" w:w="2492"/>
          </w:tcPr>
          <w:p>
            <w:pPr>
              <w:pStyle w:val="null3"/>
            </w:pPr>
            <w:r>
              <w:rPr>
                <w:rFonts w:ascii="仿宋_GB2312" w:hAnsi="仿宋_GB2312" w:cs="仿宋_GB2312" w:eastAsia="仿宋_GB2312"/>
              </w:rPr>
              <w:t>（一）评审内容：供应商针对本项目编制施工组织、项目管理机构与劳动力安排计划，措施内容包括：1.项目管理机构图；2.岗位安排及职责分工；3.人员现场管理制度；4.施工人员进度安排计划。 （二）评审标准：以上4项内容无缺项，专门针对本项目编制，符合本项目实际情况，内容完整、条理清晰、能够保障项目顺利实施的得8分。每项内容根据供应商内容响应程度：每缺少一项内容或者内容非针对于本项目的扣2分，每有一项内容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（一）评审内容：供应商针对本项目实施的特点进行分析，方案内容包括：1.施工准备；2.本项目实施重难点分析；3.总体施工方案及组织措施；4.影响正常施工外在因素分析及对应预案等。 （二）评审标准：以上4项内容无缺项，专门针对本项目编制，符合本项目实际情况，内容完整、条理清晰、能够保障项目顺利实施的得10分。每项内容根据供应商内容响应程度：每缺少一项内容或者内容非针对于本项目的扣2.5分，每有一项内容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w:t>
            </w:r>
          </w:p>
        </w:tc>
      </w:tr>
      <w:tr>
        <w:tc>
          <w:tcPr>
            <w:tcW w:type="dxa" w:w="831"/>
            <w:vMerge/>
          </w:tcPr>
          <w:p/>
        </w:tc>
        <w:tc>
          <w:tcPr>
            <w:tcW w:type="dxa" w:w="1661"/>
          </w:tcPr>
          <w:p>
            <w:pPr>
              <w:pStyle w:val="null3"/>
            </w:pPr>
            <w:r>
              <w:rPr>
                <w:rFonts w:ascii="仿宋_GB2312" w:hAnsi="仿宋_GB2312" w:cs="仿宋_GB2312" w:eastAsia="仿宋_GB2312"/>
              </w:rPr>
              <w:t>工程质量保护措施</w:t>
            </w:r>
          </w:p>
        </w:tc>
        <w:tc>
          <w:tcPr>
            <w:tcW w:type="dxa" w:w="2492"/>
          </w:tcPr>
          <w:p>
            <w:pPr>
              <w:pStyle w:val="null3"/>
            </w:pPr>
            <w:r>
              <w:rPr>
                <w:rFonts w:ascii="仿宋_GB2312" w:hAnsi="仿宋_GB2312" w:cs="仿宋_GB2312" w:eastAsia="仿宋_GB2312"/>
              </w:rPr>
              <w:t>（一）评审内容：供应商针对本项目实施的特点编制质量保障措施，措施内容包括：1.质量管理工作流程；2.工程质量保障措施内容；3.工程质量控制体系；4.材料和构配件的质量控制；5.施工检测及工序交验方案。 （二）评审标准：以上5项内容无缺项，专门针对本项目编制，符合本项目实际情况，内容完整、条理清晰、能够保障项目顺利实施的得10分。每项内容根据供应商内容响应程度：每缺少一项内容或者内容非针对于本项目的扣2分，每有一项内容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w:t>
            </w:r>
          </w:p>
        </w:tc>
      </w:tr>
      <w:tr>
        <w:tc>
          <w:tcPr>
            <w:tcW w:type="dxa" w:w="831"/>
            <w:vMerge/>
          </w:tcPr>
          <w:p/>
        </w:tc>
        <w:tc>
          <w:tcPr>
            <w:tcW w:type="dxa" w:w="1661"/>
          </w:tcPr>
          <w:p>
            <w:pPr>
              <w:pStyle w:val="null3"/>
            </w:pPr>
            <w:r>
              <w:rPr>
                <w:rFonts w:ascii="仿宋_GB2312" w:hAnsi="仿宋_GB2312" w:cs="仿宋_GB2312" w:eastAsia="仿宋_GB2312"/>
              </w:rPr>
              <w:t>施工进度部署与保障措施</w:t>
            </w:r>
          </w:p>
        </w:tc>
        <w:tc>
          <w:tcPr>
            <w:tcW w:type="dxa" w:w="2492"/>
          </w:tcPr>
          <w:p>
            <w:pPr>
              <w:pStyle w:val="null3"/>
            </w:pPr>
            <w:r>
              <w:rPr>
                <w:rFonts w:ascii="仿宋_GB2312" w:hAnsi="仿宋_GB2312" w:cs="仿宋_GB2312" w:eastAsia="仿宋_GB2312"/>
              </w:rPr>
              <w:t>（一）评审内容：供应商针对本项目编制进度部署及保障措施，措施内容包括：1.施工总平面布置；2.进度安排计划与部署；3.工期目标控制和保障措施。 （二）评审标准：以上3项内容无缺项，专门针对本项目编制，符合本项目实际情况，内容完整、条理清晰、能够保障项目顺利实施的得6分。每项内容根据供应商内容响应程度：每缺少一项内容或者内容非针对于本项目的扣2分，每有一项内容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w:t>
            </w:r>
          </w:p>
        </w:tc>
      </w:tr>
      <w:tr>
        <w:tc>
          <w:tcPr>
            <w:tcW w:type="dxa" w:w="831"/>
            <w:vMerge/>
          </w:tcPr>
          <w:p/>
        </w:tc>
        <w:tc>
          <w:tcPr>
            <w:tcW w:type="dxa" w:w="1661"/>
          </w:tcPr>
          <w:p>
            <w:pPr>
              <w:pStyle w:val="null3"/>
            </w:pPr>
            <w:r>
              <w:rPr>
                <w:rFonts w:ascii="仿宋_GB2312" w:hAnsi="仿宋_GB2312" w:cs="仿宋_GB2312" w:eastAsia="仿宋_GB2312"/>
              </w:rPr>
              <w:t>安全生产技术组织措施</w:t>
            </w:r>
          </w:p>
        </w:tc>
        <w:tc>
          <w:tcPr>
            <w:tcW w:type="dxa" w:w="2492"/>
          </w:tcPr>
          <w:p>
            <w:pPr>
              <w:pStyle w:val="null3"/>
            </w:pPr>
            <w:r>
              <w:rPr>
                <w:rFonts w:ascii="仿宋_GB2312" w:hAnsi="仿宋_GB2312" w:cs="仿宋_GB2312" w:eastAsia="仿宋_GB2312"/>
              </w:rPr>
              <w:t>（一）评审内容：供应商针对本项目编制安全生产技术组织措施，措施内容包括：1.安全生产管理制度；2.配置安全组织机构；3.安全隐患排查、整改措施；4.应急救援措施；5.安全生产知识培训措施。 （二）评审标准：以上5项内容无缺项，专门针对本项目编制，符合本项目实际情况，内容完整、条理清晰、能够保障项目顺利实施的得10分。每项内容根据供应商内容响应程度：每缺少一项内容或者内容非针对于本项目的扣2分，每有一项内容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（一）评审内容：供应商针对本项目编制文明施工及环境保护措施，措施内容包括：1.文明及环境保护管理制度；2.防尘降噪措施；3.节能减排措施；4. 环境保护保障措施。 （二）评审标准：以上4项内容无缺项，专门针对本项目编制，符合本项目实际情况，内容完整、条理清晰、能够保障项目顺利实施的得8分。每项内容根据供应商内容响应程度：每缺少一项内容或者内容非针对于本项目的扣2分，每有一项内容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一）评审内容：供应商针对本项目编制施工机械配备和材料投入计划，措施内容包括：1.施工机械配置计划；2.施工材料投入计划；3.施工机械及施工材料现场的管理制度；4.材料供应措施；5.成品、半成品供应现场保护监管措施。 （二）评审标准：以上5项内容无缺项，专门针对本项目编制，符合本项目实际情况，内容完整、条理清晰、能够保障项目顺利实施的得10分。每项内容根据供应商内容响应程度：每缺少一项内容或者内容非针对于本项目的扣2分，每有一项内容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施工方案</w:t>
            </w:r>
          </w:p>
        </w:tc>
      </w:tr>
      <w:tr>
        <w:tc>
          <w:tcPr>
            <w:tcW w:type="dxa" w:w="831"/>
            <w:vMerge/>
          </w:tcPr>
          <w:p/>
        </w:tc>
        <w:tc>
          <w:tcPr>
            <w:tcW w:type="dxa" w:w="1661"/>
          </w:tcPr>
          <w:p>
            <w:pPr>
              <w:pStyle w:val="null3"/>
            </w:pPr>
            <w:r>
              <w:rPr>
                <w:rFonts w:ascii="仿宋_GB2312" w:hAnsi="仿宋_GB2312" w:cs="仿宋_GB2312" w:eastAsia="仿宋_GB2312"/>
              </w:rPr>
              <w:t>应急措施和解决方案</w:t>
            </w:r>
          </w:p>
        </w:tc>
        <w:tc>
          <w:tcPr>
            <w:tcW w:type="dxa" w:w="2492"/>
          </w:tcPr>
          <w:p>
            <w:pPr>
              <w:pStyle w:val="null3"/>
            </w:pPr>
            <w:r>
              <w:rPr>
                <w:rFonts w:ascii="仿宋_GB2312" w:hAnsi="仿宋_GB2312" w:cs="仿宋_GB2312" w:eastAsia="仿宋_GB2312"/>
              </w:rPr>
              <w:t>（一）评审内容：突发事件的应急预案至少包括：1.应急措施；2.解决方案。 评审标准：以上2项内容无缺项，专门针对本项目编制，符合本项目实际情况，内容完整、条理清晰、能够保障项目顺利实施的得4分。每项内容根据供应商内容响应程度：每缺少一项内容或者内容非针对于本项目的扣2分，每有一项内容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（1）本次招标设最高限价。供应商的磋商总报价超过最高限价的视为无效标，不再参与下一步评审。 （2）满足磋商文件实质性要求且最终报价最低的供应商的价格为磋商基准价，其价格分为满分30分。 （3）磋商报价得分=（磋商基准价/最终磋商报价）×30。 （4）磋商报价不完整的，不进入磋商基准价的计算，本项得0分。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详见附件：资格审查资料</w:t>
      </w:r>
    </w:p>
    <w:p>
      <w:pPr>
        <w:pStyle w:val="null3"/>
        <w:ind w:firstLine="960"/>
      </w:pPr>
      <w:r>
        <w:rPr>
          <w:rFonts w:ascii="仿宋_GB2312" w:hAnsi="仿宋_GB2312" w:cs="仿宋_GB2312" w:eastAsia="仿宋_GB2312"/>
        </w:rPr>
        <w:t>详见附件：技术服务响应偏离表</w:t>
      </w:r>
    </w:p>
    <w:p>
      <w:pPr>
        <w:pStyle w:val="null3"/>
        <w:ind w:firstLine="960"/>
      </w:pPr>
      <w:r>
        <w:rPr>
          <w:rFonts w:ascii="仿宋_GB2312" w:hAnsi="仿宋_GB2312" w:cs="仿宋_GB2312" w:eastAsia="仿宋_GB2312"/>
        </w:rPr>
        <w:t>详见附件：商务条款响应偏离表</w:t>
      </w:r>
    </w:p>
    <w:p>
      <w:pPr>
        <w:pStyle w:val="null3"/>
        <w:ind w:firstLine="960"/>
      </w:pPr>
      <w:r>
        <w:rPr>
          <w:rFonts w:ascii="仿宋_GB2312" w:hAnsi="仿宋_GB2312" w:cs="仿宋_GB2312" w:eastAsia="仿宋_GB2312"/>
        </w:rPr>
        <w:t>详见附件：合同文本响应</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详见附件：施工方案</w:t>
      </w:r>
    </w:p>
    <w:p>
      <w:pPr>
        <w:pStyle w:val="null3"/>
        <w:ind w:firstLine="960"/>
      </w:pPr>
      <w:r>
        <w:rPr>
          <w:rFonts w:ascii="仿宋_GB2312" w:hAnsi="仿宋_GB2312" w:cs="仿宋_GB2312" w:eastAsia="仿宋_GB2312"/>
        </w:rPr>
        <w:t>详见附件：供应商认为有必要提供的其他材料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