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版本号：ZXGJ-2025-03820250731002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2025年相控阵雷达维持服务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ZXGJ-2025-038</w:t>
      </w:r>
      <w:r>
        <w:br/>
      </w:r>
      <w:r>
        <w:br/>
      </w:r>
      <w:r>
        <w:br/>
      </w:r>
    </w:p>
    <w:p>
      <w:pPr>
        <w:pStyle w:val="null3"/>
        <w:jc w:val="center"/>
        <w:outlineLvl w:val="2"/>
      </w:pPr>
      <w:r>
        <w:rPr>
          <w:rFonts w:ascii="仿宋_GB2312" w:hAnsi="仿宋_GB2312" w:cs="仿宋_GB2312" w:eastAsia="仿宋_GB2312"/>
          <w:sz w:val="28"/>
          <w:b/>
        </w:rPr>
        <w:t>西安市高陵区气象局</w:t>
      </w:r>
    </w:p>
    <w:p>
      <w:pPr>
        <w:pStyle w:val="null3"/>
        <w:jc w:val="center"/>
        <w:outlineLvl w:val="2"/>
      </w:pPr>
      <w:r>
        <w:rPr>
          <w:rFonts w:ascii="仿宋_GB2312" w:hAnsi="仿宋_GB2312" w:cs="仿宋_GB2312" w:eastAsia="仿宋_GB2312"/>
          <w:sz w:val="28"/>
          <w:b/>
        </w:rPr>
        <w:t>中昕国际项目管理有限公司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中昕国际项目管理有限公司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西安市高陵区气象局</w:t>
      </w:r>
      <w:r>
        <w:rPr>
          <w:rFonts w:ascii="仿宋_GB2312" w:hAnsi="仿宋_GB2312" w:cs="仿宋_GB2312" w:eastAsia="仿宋_GB2312"/>
        </w:rPr>
        <w:t>委托，拟对</w:t>
      </w:r>
      <w:r>
        <w:rPr>
          <w:rFonts w:ascii="仿宋_GB2312" w:hAnsi="仿宋_GB2312" w:cs="仿宋_GB2312" w:eastAsia="仿宋_GB2312"/>
        </w:rPr>
        <w:t>2025年相控阵雷达维持服务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ZXGJ-2025-038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2025年相控阵雷达维持服务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本次雷达维持项目主要内容包括: 1.市电、网络维护包含线路环境检查、电路电压检查、网络带宽检查等，铁塔维护包含铁塔防锈、铁塔螺丝检查、垂直度检查、站点周边杂草树木清理等服务； 2.站点雷达硬件维护服务； 3.软件产品优化完善与故障处理等； 4.定期对站点进行防雷检测等其他服务内容。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采购包1（2025年相控阵雷达维持服务）：属于专门面向中小企业采购。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1、营业执照等主体资格证明文件：提供供应商合法注册的法人或其他组织的营业执照/事业单位法人证书/非企业专业服务机构执业许可证/民办非企业单位登记证书；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法定代表人委托授权书：供应商应授权合法的人员参加磋商全过程，其中法定代表人直接参加磋商的，须出具法定代表人身份证，并与营业执照上信息一致。法定代表人授权代表参加磋商的，须同时出具法定代表人授权书、授权代表身份证及其近两个月内的本单位社保缴纳证明。</w:t>
      </w:r>
    </w:p>
    <w:p>
      <w:pPr>
        <w:pStyle w:val="null3"/>
      </w:pPr>
      <w:r>
        <w:rPr>
          <w:rFonts w:ascii="仿宋_GB2312" w:hAnsi="仿宋_GB2312" w:cs="仿宋_GB2312" w:eastAsia="仿宋_GB2312"/>
        </w:rPr>
        <w:t>3、税收缴纳证明：提供磋商截止之日近一年内已缴纳的至少一个月纳税证明或完税证明，依法免税或无须缴纳税收的供应商，应提供相应证明文件；</w:t>
      </w:r>
    </w:p>
    <w:p>
      <w:pPr>
        <w:pStyle w:val="null3"/>
      </w:pPr>
      <w:r>
        <w:rPr>
          <w:rFonts w:ascii="仿宋_GB2312" w:hAnsi="仿宋_GB2312" w:cs="仿宋_GB2312" w:eastAsia="仿宋_GB2312"/>
        </w:rPr>
        <w:t>4、社会保障资金缴纳证明：提供磋商截止之日近一年内已缴存的至少一个月的社会保障资金缴存单据或社保机构开具的社会保险参保缴费情况证明，依法不需要缴纳社会保障资金的单位应提供相关证明材料；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财务状况报告：提供审计事务所出具的2023年度或2024年度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w:t>
      </w:r>
    </w:p>
    <w:p>
      <w:pPr>
        <w:pStyle w:val="null3"/>
      </w:pPr>
      <w:r>
        <w:rPr>
          <w:rFonts w:ascii="仿宋_GB2312" w:hAnsi="仿宋_GB2312" w:cs="仿宋_GB2312" w:eastAsia="仿宋_GB2312"/>
        </w:rPr>
        <w:t>6、说明及承诺：提供具有履行合同所必需的设备和专业技术能力的说明及承诺</w:t>
      </w:r>
    </w:p>
    <w:p>
      <w:pPr>
        <w:pStyle w:val="null3"/>
      </w:pPr>
      <w:r>
        <w:rPr>
          <w:rFonts w:ascii="仿宋_GB2312" w:hAnsi="仿宋_GB2312" w:cs="仿宋_GB2312" w:eastAsia="仿宋_GB2312"/>
        </w:rPr>
        <w:t>7、无重大违纪声明：参加政府采购活动前3年内，在经营活动中没有重大违法记录的书面声明；</w:t>
      </w:r>
    </w:p>
    <w:p>
      <w:pPr>
        <w:pStyle w:val="null3"/>
      </w:pPr>
      <w:r>
        <w:rPr>
          <w:rFonts w:ascii="仿宋_GB2312" w:hAnsi="仿宋_GB2312" w:cs="仿宋_GB2312" w:eastAsia="仿宋_GB2312"/>
        </w:rPr>
        <w:t>8、企业信用：不得为“信用中国”网站(http：//www.creditchina.gov.cn)列入“失信被执行人或重大税收违法案件当事人名单或政府采购严重违法失信行为记录名单”的供应商；不得为中国政府采购网(http：//www.ccgp.gov.cn)“政府采购严重违 法失信行为记录名单”中的供应商。（根据财库【2019】38号文规定，此项由资审小组在磋商响应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9、中小企业声明函：供应商提供中小企业声明函；</w:t>
      </w:r>
    </w:p>
    <w:p>
      <w:pPr>
        <w:pStyle w:val="null3"/>
      </w:pPr>
      <w:r>
        <w:rPr>
          <w:rFonts w:ascii="仿宋_GB2312" w:hAnsi="仿宋_GB2312" w:cs="仿宋_GB2312" w:eastAsia="仿宋_GB2312"/>
        </w:rPr>
        <w:t>10、控股关系：单位负责人为同一人或者存在直接控股、管理关系的不同供应商，不得参加同一合同项下的政府采购活动；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西安市高陵区气象局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高陵区昭慧路410号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钟工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029-86910258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中昕国际项目管理有限公司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陕西省西安市未央区西安经济技术开发区凤城十二路首创禧悦里25幢A座16层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王超、何文滨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18066529150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药咪</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采购人与采购代理机构参照《招标代理服务收费暂行办法》（计价格[2002]1980号）文件及发改办价格[2003]857号文件约定后，由成交供应商在领取成交通知书前向采购代理机构缴纳代理服务费。（2）代理服务费缴纳账户：开户名称：中昕国际项目管理有限公司，开户银行：中国建设银行股份有限公司西安文景路支行，账户：6105 0178 1500 0000 0278。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西安市高陵区气象局</w:t>
      </w:r>
      <w:r>
        <w:rPr>
          <w:rFonts w:ascii="仿宋_GB2312" w:hAnsi="仿宋_GB2312" w:cs="仿宋_GB2312" w:eastAsia="仿宋_GB2312"/>
        </w:rPr>
        <w:t>和</w:t>
      </w:r>
      <w:r>
        <w:rPr>
          <w:rFonts w:ascii="仿宋_GB2312" w:hAnsi="仿宋_GB2312" w:cs="仿宋_GB2312" w:eastAsia="仿宋_GB2312"/>
        </w:rPr>
        <w:t>中昕国际项目管理有限公司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西安市高陵区气象局</w:t>
      </w:r>
      <w:r>
        <w:rPr>
          <w:rFonts w:ascii="仿宋_GB2312" w:hAnsi="仿宋_GB2312" w:cs="仿宋_GB2312" w:eastAsia="仿宋_GB2312"/>
        </w:rPr>
        <w:t>负责解释。除上述磋商文件内容，其他内容由</w:t>
      </w:r>
      <w:r>
        <w:rPr>
          <w:rFonts w:ascii="仿宋_GB2312" w:hAnsi="仿宋_GB2312" w:cs="仿宋_GB2312" w:eastAsia="仿宋_GB2312"/>
        </w:rPr>
        <w:t>中昕国际项目管理有限公司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西安市高陵区气象局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中昕国际项目管理有限公司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采购人按国家有关规定以及磋商文件的要求、供应商的响应文件及承诺与本项目合同约定标准进行验收。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西安市高陵区气象局</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联系人：王超、何文滨</w:t>
      </w:r>
    </w:p>
    <w:p>
      <w:pPr>
        <w:pStyle w:val="null3"/>
      </w:pPr>
      <w:r>
        <w:rPr>
          <w:rFonts w:ascii="仿宋_GB2312" w:hAnsi="仿宋_GB2312" w:cs="仿宋_GB2312" w:eastAsia="仿宋_GB2312"/>
        </w:rPr>
        <w:t>联系电话：18066529150</w:t>
      </w:r>
    </w:p>
    <w:p>
      <w:pPr>
        <w:pStyle w:val="null3"/>
      </w:pPr>
      <w:r>
        <w:rPr>
          <w:rFonts w:ascii="仿宋_GB2312" w:hAnsi="仿宋_GB2312" w:cs="仿宋_GB2312" w:eastAsia="仿宋_GB2312"/>
        </w:rPr>
        <w:t>地址：西安市未央区凤城十二路首创禧悦里A座16层</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项目建设内容：  1.市电、网络维护包含线路环境检查、电路电压检查、网络带宽检查等，铁塔维护包含铁塔防锈、铁塔螺丝检查、垂直度检查、站点周边杂草树木清理等服务； 2.站点雷达硬件维护服务； 3.软件产品优化完善与故障处理等； 4.定期对站点进行防雷检测等其他服务内容。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360,000.00</w:t>
      </w:r>
    </w:p>
    <w:p>
      <w:pPr>
        <w:pStyle w:val="null3"/>
      </w:pPr>
      <w:r>
        <w:rPr>
          <w:rFonts w:ascii="仿宋_GB2312" w:hAnsi="仿宋_GB2312" w:cs="仿宋_GB2312" w:eastAsia="仿宋_GB2312"/>
        </w:rPr>
        <w:t>采购包最高限价（元）: 360,000.00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相控阵雷达维持服务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标的名称：相控阵雷达维持服务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b/>
              </w:rPr>
              <w:t>一、气象特种设备仪器的维护维修运维要求</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jc w:val="center"/>
                  </w:pPr>
                  <w:r>
                    <w:rPr>
                      <w:rFonts w:ascii="仿宋_GB2312" w:hAnsi="仿宋_GB2312" w:cs="仿宋_GB2312" w:eastAsia="仿宋_GB2312"/>
                      <w:sz w:val="21"/>
                    </w:rPr>
                    <w:t>序 号</w:t>
                  </w:r>
                </w:p>
              </w:tc>
              <w:tc>
                <w:tcPr>
                  <w:tcW w:type="dxa" w:w="638"/>
                </w:tcPr>
                <w:p>
                  <w:pPr>
                    <w:pStyle w:val="null3"/>
                    <w:jc w:val="center"/>
                  </w:pPr>
                  <w:r>
                    <w:rPr>
                      <w:rFonts w:ascii="仿宋_GB2312" w:hAnsi="仿宋_GB2312" w:cs="仿宋_GB2312" w:eastAsia="仿宋_GB2312"/>
                      <w:sz w:val="21"/>
                    </w:rPr>
                    <w:t>项目</w:t>
                  </w:r>
                </w:p>
                <w:p>
                  <w:pPr>
                    <w:pStyle w:val="null3"/>
                    <w:jc w:val="center"/>
                  </w:pPr>
                  <w:r>
                    <w:rPr>
                      <w:rFonts w:ascii="仿宋_GB2312" w:hAnsi="仿宋_GB2312" w:cs="仿宋_GB2312" w:eastAsia="仿宋_GB2312"/>
                      <w:sz w:val="21"/>
                    </w:rPr>
                    <w:t>内容</w:t>
                  </w:r>
                </w:p>
              </w:tc>
              <w:tc>
                <w:tcPr>
                  <w:tcW w:type="dxa" w:w="638"/>
                </w:tcPr>
                <w:p>
                  <w:pPr>
                    <w:pStyle w:val="null3"/>
                    <w:jc w:val="center"/>
                  </w:pPr>
                  <w:r>
                    <w:rPr>
                      <w:rFonts w:ascii="仿宋_GB2312" w:hAnsi="仿宋_GB2312" w:cs="仿宋_GB2312" w:eastAsia="仿宋_GB2312"/>
                      <w:sz w:val="21"/>
                    </w:rPr>
                    <w:t>运行维护要求</w:t>
                  </w:r>
                </w:p>
              </w:tc>
              <w:tc>
                <w:tcPr>
                  <w:tcW w:type="dxa" w:w="638"/>
                </w:tcPr>
                <w:p>
                  <w:pPr>
                    <w:pStyle w:val="null3"/>
                    <w:jc w:val="center"/>
                  </w:pPr>
                  <w:r>
                    <w:rPr>
                      <w:rFonts w:ascii="仿宋_GB2312" w:hAnsi="仿宋_GB2312" w:cs="仿宋_GB2312" w:eastAsia="仿宋_GB2312"/>
                      <w:sz w:val="21"/>
                    </w:rPr>
                    <w:t>备注</w:t>
                  </w:r>
                </w:p>
              </w:tc>
            </w:tr>
            <w:tr>
              <w:tc>
                <w:tcPr>
                  <w:tcW w:type="dxa" w:w="638"/>
                </w:tcPr>
                <w:p>
                  <w:pPr>
                    <w:pStyle w:val="null3"/>
                    <w:jc w:val="center"/>
                  </w:pPr>
                  <w:r>
                    <w:rPr>
                      <w:rFonts w:ascii="仿宋_GB2312" w:hAnsi="仿宋_GB2312" w:cs="仿宋_GB2312" w:eastAsia="仿宋_GB2312"/>
                      <w:sz w:val="21"/>
                    </w:rPr>
                    <w:t>1</w:t>
                  </w:r>
                </w:p>
              </w:tc>
              <w:tc>
                <w:tcPr>
                  <w:tcW w:type="dxa" w:w="638"/>
                </w:tcPr>
                <w:p>
                  <w:pPr>
                    <w:pStyle w:val="null3"/>
                    <w:jc w:val="center"/>
                  </w:pPr>
                  <w:r>
                    <w:rPr>
                      <w:rFonts w:ascii="仿宋_GB2312" w:hAnsi="仿宋_GB2312" w:cs="仿宋_GB2312" w:eastAsia="仿宋_GB2312"/>
                      <w:sz w:val="21"/>
                    </w:rPr>
                    <w:t>市电、网络维护</w:t>
                  </w:r>
                </w:p>
              </w:tc>
              <w:tc>
                <w:tcPr>
                  <w:tcW w:type="dxa" w:w="638"/>
                </w:tcPr>
                <w:p>
                  <w:pPr>
                    <w:pStyle w:val="null3"/>
                  </w:pPr>
                  <w:r>
                    <w:rPr>
                      <w:rFonts w:ascii="仿宋_GB2312" w:hAnsi="仿宋_GB2312" w:cs="仿宋_GB2312" w:eastAsia="仿宋_GB2312"/>
                      <w:sz w:val="21"/>
                    </w:rPr>
                    <w:t>线路环境检查、电路电压检查、网络贷款检查等。每月、汛期、天气过程前网络检查，出现问题及时更换；对服务器机组、恒温恒湿机房专用空调维保费。每年站点理性维护4次，根据汛期合理安排维护时间，如遇到重要天气过程或重大活动，须合理提高维护频次，确保雷达正常工作。雷达设备正常运行率不低于98%。</w:t>
                  </w:r>
                </w:p>
              </w:tc>
              <w:tc>
                <w:tcPr>
                  <w:tcW w:type="dxa" w:w="638"/>
                </w:tcPr>
                <w:p>
                  <w:pPr>
                    <w:pStyle w:val="null3"/>
                    <w:jc w:val="center"/>
                  </w:pPr>
                  <w:r>
                    <w:rPr>
                      <w:rFonts w:ascii="仿宋_GB2312" w:hAnsi="仿宋_GB2312" w:cs="仿宋_GB2312" w:eastAsia="仿宋_GB2312"/>
                      <w:sz w:val="21"/>
                    </w:rPr>
                    <w:t>/</w:t>
                  </w:r>
                </w:p>
              </w:tc>
            </w:tr>
            <w:tr>
              <w:tc>
                <w:tcPr>
                  <w:tcW w:type="dxa" w:w="638"/>
                </w:tcPr>
                <w:p>
                  <w:pPr>
                    <w:pStyle w:val="null3"/>
                    <w:jc w:val="center"/>
                  </w:pPr>
                  <w:r>
                    <w:rPr>
                      <w:rFonts w:ascii="仿宋_GB2312" w:hAnsi="仿宋_GB2312" w:cs="仿宋_GB2312" w:eastAsia="仿宋_GB2312"/>
                      <w:sz w:val="21"/>
                    </w:rPr>
                    <w:t>2</w:t>
                  </w:r>
                </w:p>
              </w:tc>
              <w:tc>
                <w:tcPr>
                  <w:tcW w:type="dxa" w:w="638"/>
                </w:tcPr>
                <w:p>
                  <w:pPr>
                    <w:pStyle w:val="null3"/>
                    <w:jc w:val="center"/>
                  </w:pPr>
                  <w:r>
                    <w:rPr>
                      <w:rFonts w:ascii="仿宋_GB2312" w:hAnsi="仿宋_GB2312" w:cs="仿宋_GB2312" w:eastAsia="仿宋_GB2312"/>
                      <w:sz w:val="21"/>
                    </w:rPr>
                    <w:t>铁塔维护</w:t>
                  </w:r>
                </w:p>
              </w:tc>
              <w:tc>
                <w:tcPr>
                  <w:tcW w:type="dxa" w:w="638"/>
                </w:tcPr>
                <w:p>
                  <w:pPr>
                    <w:pStyle w:val="null3"/>
                  </w:pPr>
                  <w:r>
                    <w:rPr>
                      <w:rFonts w:ascii="仿宋_GB2312" w:hAnsi="仿宋_GB2312" w:cs="仿宋_GB2312" w:eastAsia="仿宋_GB2312"/>
                      <w:sz w:val="21"/>
                    </w:rPr>
                    <w:t>铁塔防锈、铁塔螺丝检查、垂直度检查、站点周边杂草树木清理等服务。</w:t>
                  </w:r>
                </w:p>
              </w:tc>
              <w:tc>
                <w:tcPr>
                  <w:tcW w:type="dxa" w:w="638"/>
                </w:tcPr>
                <w:p>
                  <w:pPr>
                    <w:pStyle w:val="null3"/>
                    <w:jc w:val="center"/>
                  </w:pPr>
                  <w:r>
                    <w:rPr>
                      <w:rFonts w:ascii="仿宋_GB2312" w:hAnsi="仿宋_GB2312" w:cs="仿宋_GB2312" w:eastAsia="仿宋_GB2312"/>
                      <w:sz w:val="21"/>
                    </w:rPr>
                    <w:t>/</w:t>
                  </w:r>
                </w:p>
              </w:tc>
            </w:tr>
            <w:tr>
              <w:tc>
                <w:tcPr>
                  <w:tcW w:type="dxa" w:w="638"/>
                </w:tcPr>
                <w:p>
                  <w:pPr>
                    <w:pStyle w:val="null3"/>
                    <w:jc w:val="center"/>
                  </w:pPr>
                  <w:r>
                    <w:rPr>
                      <w:rFonts w:ascii="仿宋_GB2312" w:hAnsi="仿宋_GB2312" w:cs="仿宋_GB2312" w:eastAsia="仿宋_GB2312"/>
                      <w:sz w:val="21"/>
                    </w:rPr>
                    <w:t>3</w:t>
                  </w:r>
                </w:p>
              </w:tc>
              <w:tc>
                <w:tcPr>
                  <w:tcW w:type="dxa" w:w="638"/>
                </w:tcPr>
                <w:p>
                  <w:pPr>
                    <w:pStyle w:val="null3"/>
                    <w:jc w:val="center"/>
                  </w:pPr>
                  <w:r>
                    <w:rPr>
                      <w:rFonts w:ascii="仿宋_GB2312" w:hAnsi="仿宋_GB2312" w:cs="仿宋_GB2312" w:eastAsia="仿宋_GB2312"/>
                    </w:rPr>
                    <w:t>硬件维护</w:t>
                  </w:r>
                </w:p>
              </w:tc>
              <w:tc>
                <w:tcPr>
                  <w:tcW w:type="dxa" w:w="638"/>
                </w:tcPr>
                <w:p>
                  <w:pPr>
                    <w:pStyle w:val="null3"/>
                  </w:pPr>
                  <w:r>
                    <w:rPr>
                      <w:rFonts w:ascii="仿宋_GB2312" w:hAnsi="仿宋_GB2312" w:cs="仿宋_GB2312" w:eastAsia="仿宋_GB2312"/>
                    </w:rPr>
                    <w:t>对中心站服务器、路由器、雷达服务器、网关硬件进行检查，查杀病毒、广告软件、定期更改密码、确定网络安全状态。</w:t>
                  </w:r>
                </w:p>
              </w:tc>
              <w:tc>
                <w:tcPr>
                  <w:tcW w:type="dxa" w:w="638"/>
                </w:tcPr>
                <w:p>
                  <w:pPr>
                    <w:pStyle w:val="null3"/>
                    <w:jc w:val="center"/>
                  </w:pPr>
                  <w:r>
                    <w:rPr>
                      <w:rFonts w:ascii="仿宋_GB2312" w:hAnsi="仿宋_GB2312" w:cs="仿宋_GB2312" w:eastAsia="仿宋_GB2312"/>
                      <w:sz w:val="21"/>
                    </w:rPr>
                    <w:t>/</w:t>
                  </w:r>
                </w:p>
              </w:tc>
            </w:tr>
            <w:tr>
              <w:tc>
                <w:tcPr>
                  <w:tcW w:type="dxa" w:w="638"/>
                </w:tcPr>
                <w:p>
                  <w:pPr>
                    <w:pStyle w:val="null3"/>
                    <w:jc w:val="center"/>
                  </w:pPr>
                  <w:r>
                    <w:rPr>
                      <w:rFonts w:ascii="仿宋_GB2312" w:hAnsi="仿宋_GB2312" w:cs="仿宋_GB2312" w:eastAsia="仿宋_GB2312"/>
                      <w:sz w:val="21"/>
                    </w:rPr>
                    <w:t>4</w:t>
                  </w:r>
                </w:p>
              </w:tc>
              <w:tc>
                <w:tcPr>
                  <w:tcW w:type="dxa" w:w="638"/>
                </w:tcPr>
                <w:p>
                  <w:pPr>
                    <w:pStyle w:val="null3"/>
                    <w:jc w:val="center"/>
                  </w:pPr>
                  <w:r>
                    <w:rPr>
                      <w:rFonts w:ascii="仿宋_GB2312" w:hAnsi="仿宋_GB2312" w:cs="仿宋_GB2312" w:eastAsia="仿宋_GB2312"/>
                      <w:sz w:val="21"/>
                    </w:rPr>
                    <w:t>设备维护及维修</w:t>
                  </w:r>
                </w:p>
              </w:tc>
              <w:tc>
                <w:tcPr>
                  <w:tcW w:type="dxa" w:w="638"/>
                </w:tcPr>
                <w:p>
                  <w:pPr>
                    <w:pStyle w:val="null3"/>
                  </w:pPr>
                  <w:r>
                    <w:rPr>
                      <w:rFonts w:ascii="仿宋_GB2312" w:hAnsi="仿宋_GB2312" w:cs="仿宋_GB2312" w:eastAsia="仿宋_GB2312"/>
                      <w:sz w:val="21"/>
                    </w:rPr>
                    <w:t>按照气象部门设备操作规范要求定期对 X波段双偏振相控阵天气雷达进行巡视，检查设备设置参数，检查设备内、外部环境，检查供电情况，检查通信情况，对设备的主要参数进行测量，发现不达标的参数，需进行调试和校准，确保设备正常运行；当设备发生故障时，及时派遣技术人员，对设备故障进行修复，确保观测数据的连续性和可靠性。软件维持升级优化。购买高频发射单元备件（120个单元*5%）。购买雷达设备专用维护工具。</w:t>
                  </w:r>
                </w:p>
              </w:tc>
              <w:tc>
                <w:tcPr>
                  <w:tcW w:type="dxa" w:w="638"/>
                </w:tcPr>
                <w:p>
                  <w:pPr>
                    <w:pStyle w:val="null3"/>
                    <w:jc w:val="center"/>
                  </w:pPr>
                  <w:r>
                    <w:rPr>
                      <w:rFonts w:ascii="仿宋_GB2312" w:hAnsi="仿宋_GB2312" w:cs="仿宋_GB2312" w:eastAsia="仿宋_GB2312"/>
                      <w:sz w:val="21"/>
                    </w:rPr>
                    <w:t>/</w:t>
                  </w:r>
                </w:p>
              </w:tc>
            </w:tr>
            <w:tr>
              <w:tc>
                <w:tcPr>
                  <w:tcW w:type="dxa" w:w="638"/>
                </w:tcPr>
                <w:p>
                  <w:pPr>
                    <w:pStyle w:val="null3"/>
                    <w:jc w:val="center"/>
                  </w:pPr>
                  <w:r>
                    <w:rPr>
                      <w:rFonts w:ascii="仿宋_GB2312" w:hAnsi="仿宋_GB2312" w:cs="仿宋_GB2312" w:eastAsia="仿宋_GB2312"/>
                      <w:sz w:val="21"/>
                    </w:rPr>
                    <w:t>5</w:t>
                  </w:r>
                </w:p>
              </w:tc>
              <w:tc>
                <w:tcPr>
                  <w:tcW w:type="dxa" w:w="638"/>
                </w:tcPr>
                <w:p>
                  <w:pPr>
                    <w:pStyle w:val="null3"/>
                    <w:jc w:val="center"/>
                  </w:pPr>
                  <w:r>
                    <w:rPr>
                      <w:rFonts w:ascii="仿宋_GB2312" w:hAnsi="仿宋_GB2312" w:cs="仿宋_GB2312" w:eastAsia="仿宋_GB2312"/>
                      <w:sz w:val="21"/>
                    </w:rPr>
                    <w:t>设备计量</w:t>
                  </w:r>
                </w:p>
              </w:tc>
              <w:tc>
                <w:tcPr>
                  <w:tcW w:type="dxa" w:w="638"/>
                </w:tcPr>
                <w:p>
                  <w:pPr>
                    <w:pStyle w:val="null3"/>
                  </w:pPr>
                  <w:r>
                    <w:rPr>
                      <w:rFonts w:ascii="仿宋_GB2312" w:hAnsi="仿宋_GB2312" w:cs="仿宋_GB2312" w:eastAsia="仿宋_GB2312"/>
                      <w:sz w:val="21"/>
                    </w:rPr>
                    <w:t>参照《天气雷达定标业务*规范（试行）》定期对相控阵雷达进行定标，确保观测数据准确可靠。每月进行干扰源排查。</w:t>
                  </w:r>
                </w:p>
              </w:tc>
              <w:tc>
                <w:tcPr>
                  <w:tcW w:type="dxa" w:w="638"/>
                </w:tcPr>
                <w:p>
                  <w:pPr>
                    <w:pStyle w:val="null3"/>
                    <w:jc w:val="center"/>
                  </w:pPr>
                  <w:r>
                    <w:rPr>
                      <w:rFonts w:ascii="仿宋_GB2312" w:hAnsi="仿宋_GB2312" w:cs="仿宋_GB2312" w:eastAsia="仿宋_GB2312"/>
                      <w:sz w:val="21"/>
                    </w:rPr>
                    <w:t>/</w:t>
                  </w:r>
                </w:p>
              </w:tc>
            </w:tr>
            <w:tr>
              <w:tc>
                <w:tcPr>
                  <w:tcW w:type="dxa" w:w="638"/>
                </w:tcPr>
                <w:p>
                  <w:pPr>
                    <w:pStyle w:val="null3"/>
                    <w:jc w:val="center"/>
                  </w:pPr>
                  <w:r>
                    <w:rPr>
                      <w:rFonts w:ascii="仿宋_GB2312" w:hAnsi="仿宋_GB2312" w:cs="仿宋_GB2312" w:eastAsia="仿宋_GB2312"/>
                      <w:sz w:val="21"/>
                    </w:rPr>
                    <w:t>6</w:t>
                  </w:r>
                </w:p>
              </w:tc>
              <w:tc>
                <w:tcPr>
                  <w:tcW w:type="dxa" w:w="638"/>
                </w:tcPr>
                <w:p>
                  <w:pPr>
                    <w:pStyle w:val="null3"/>
                    <w:jc w:val="center"/>
                  </w:pPr>
                  <w:r>
                    <w:rPr>
                      <w:rFonts w:ascii="仿宋_GB2312" w:hAnsi="仿宋_GB2312" w:cs="仿宋_GB2312" w:eastAsia="仿宋_GB2312"/>
                      <w:sz w:val="21"/>
                    </w:rPr>
                    <w:t>防雷检测</w:t>
                  </w:r>
                </w:p>
              </w:tc>
              <w:tc>
                <w:tcPr>
                  <w:tcW w:type="dxa" w:w="638"/>
                </w:tcPr>
                <w:p>
                  <w:pPr>
                    <w:pStyle w:val="null3"/>
                  </w:pPr>
                  <w:r>
                    <w:rPr>
                      <w:rFonts w:ascii="仿宋_GB2312" w:hAnsi="仿宋_GB2312" w:cs="仿宋_GB2312" w:eastAsia="仿宋_GB2312"/>
                      <w:sz w:val="21"/>
                    </w:rPr>
                    <w:t>全年12次对站点进行防雷检测。</w:t>
                  </w:r>
                </w:p>
              </w:tc>
              <w:tc>
                <w:tcPr>
                  <w:tcW w:type="dxa" w:w="638"/>
                </w:tcPr>
                <w:p>
                  <w:pPr>
                    <w:pStyle w:val="null3"/>
                    <w:jc w:val="center"/>
                  </w:pPr>
                  <w:r>
                    <w:rPr>
                      <w:rFonts w:ascii="仿宋_GB2312" w:hAnsi="仿宋_GB2312" w:cs="仿宋_GB2312" w:eastAsia="仿宋_GB2312"/>
                      <w:sz w:val="21"/>
                    </w:rPr>
                    <w:t>/</w:t>
                  </w:r>
                </w:p>
              </w:tc>
            </w:tr>
          </w:tbl>
          <w:p>
            <w:pPr>
              <w:pStyle w:val="null3"/>
            </w:pPr>
            <w:r>
              <w:rPr>
                <w:rFonts w:ascii="仿宋_GB2312" w:hAnsi="仿宋_GB2312" w:cs="仿宋_GB2312" w:eastAsia="仿宋_GB2312"/>
                <w:sz w:val="21"/>
                <w:b/>
              </w:rPr>
              <w:t>二、运维技术要求</w:t>
            </w:r>
          </w:p>
          <w:p>
            <w:pPr>
              <w:pStyle w:val="null3"/>
            </w:pPr>
            <w:r>
              <w:rPr>
                <w:rFonts w:ascii="仿宋_GB2312" w:hAnsi="仿宋_GB2312" w:cs="仿宋_GB2312" w:eastAsia="仿宋_GB2312"/>
                <w:sz w:val="21"/>
              </w:rPr>
              <w:t>1、技术服务要求：</w:t>
            </w:r>
          </w:p>
          <w:p>
            <w:pPr>
              <w:pStyle w:val="null3"/>
            </w:pPr>
            <w:r>
              <w:rPr>
                <w:rFonts w:ascii="仿宋_GB2312" w:hAnsi="仿宋_GB2312" w:cs="仿宋_GB2312" w:eastAsia="仿宋_GB2312"/>
                <w:sz w:val="21"/>
              </w:rPr>
              <w:t>（1）服务期内按照采购人要求，须提供原厂安装、调试及培训，7*24小时原厂工程师上门服务。</w:t>
            </w:r>
          </w:p>
          <w:p>
            <w:pPr>
              <w:pStyle w:val="null3"/>
            </w:pPr>
            <w:r>
              <w:rPr>
                <w:rFonts w:ascii="仿宋_GB2312" w:hAnsi="仿宋_GB2312" w:cs="仿宋_GB2312" w:eastAsia="仿宋_GB2312"/>
                <w:sz w:val="21"/>
              </w:rPr>
              <w:t>（2）设置专人对接服务，提供7*24小时服务热线，出现一般故障须在30分钟内响应，4小时内解决问题。</w:t>
            </w:r>
          </w:p>
          <w:p>
            <w:pPr>
              <w:pStyle w:val="null3"/>
            </w:pPr>
            <w:r>
              <w:rPr>
                <w:rFonts w:ascii="仿宋_GB2312" w:hAnsi="仿宋_GB2312" w:cs="仿宋_GB2312" w:eastAsia="仿宋_GB2312"/>
                <w:sz w:val="21"/>
              </w:rPr>
              <w:t>（3）出现软件问题，须在7个工作日内解决。</w:t>
            </w:r>
          </w:p>
          <w:p>
            <w:pPr>
              <w:pStyle w:val="null3"/>
            </w:pPr>
            <w:r>
              <w:rPr>
                <w:rFonts w:ascii="仿宋_GB2312" w:hAnsi="仿宋_GB2312" w:cs="仿宋_GB2312" w:eastAsia="仿宋_GB2312"/>
                <w:sz w:val="21"/>
              </w:rPr>
              <w:t>（4）定期召开会议，针对服务内容进行服务方案完善。</w:t>
            </w:r>
          </w:p>
          <w:p>
            <w:pPr>
              <w:pStyle w:val="null3"/>
            </w:pPr>
            <w:r>
              <w:rPr>
                <w:rFonts w:ascii="仿宋_GB2312" w:hAnsi="仿宋_GB2312" w:cs="仿宋_GB2312" w:eastAsia="仿宋_GB2312"/>
                <w:sz w:val="21"/>
              </w:rPr>
              <w:t>2、维护指标：</w:t>
            </w:r>
          </w:p>
          <w:p>
            <w:pPr>
              <w:pStyle w:val="null3"/>
            </w:pPr>
            <w:r>
              <w:rPr>
                <w:rFonts w:ascii="仿宋_GB2312" w:hAnsi="仿宋_GB2312" w:cs="仿宋_GB2312" w:eastAsia="仿宋_GB2312"/>
                <w:sz w:val="21"/>
              </w:rPr>
              <w:t>（1）雷达设备的正常运行率不低于98%。</w:t>
            </w:r>
          </w:p>
          <w:p>
            <w:pPr>
              <w:pStyle w:val="null3"/>
            </w:pPr>
            <w:r>
              <w:rPr>
                <w:rFonts w:ascii="仿宋_GB2312" w:hAnsi="仿宋_GB2312" w:cs="仿宋_GB2312" w:eastAsia="仿宋_GB2312"/>
                <w:sz w:val="21"/>
              </w:rPr>
              <w:t>（2）每年站点例行维护4次，根据汛期合理安排维护时间。如果有重要天气过程或重大活动，根据采购人要求合理提高维护频次，确保雷达正常工作。</w:t>
            </w:r>
          </w:p>
          <w:p>
            <w:pPr>
              <w:pStyle w:val="null3"/>
            </w:pPr>
            <w:r>
              <w:rPr>
                <w:rFonts w:ascii="仿宋_GB2312" w:hAnsi="仿宋_GB2312" w:cs="仿宋_GB2312" w:eastAsia="仿宋_GB2312"/>
                <w:sz w:val="21"/>
              </w:rPr>
              <w:t>3、运行维护服务：</w:t>
            </w:r>
          </w:p>
          <w:p>
            <w:pPr>
              <w:pStyle w:val="null3"/>
            </w:pPr>
            <w:r>
              <w:rPr>
                <w:rFonts w:ascii="仿宋_GB2312" w:hAnsi="仿宋_GB2312" w:cs="仿宋_GB2312" w:eastAsia="仿宋_GB2312"/>
                <w:sz w:val="21"/>
              </w:rPr>
              <w:t>（1）提供专人负责专业化运行维护服务；</w:t>
            </w:r>
          </w:p>
          <w:p>
            <w:pPr>
              <w:pStyle w:val="null3"/>
            </w:pPr>
            <w:r>
              <w:rPr>
                <w:rFonts w:ascii="仿宋_GB2312" w:hAnsi="仿宋_GB2312" w:cs="仿宋_GB2312" w:eastAsia="仿宋_GB2312"/>
                <w:sz w:val="21"/>
              </w:rPr>
              <w:t>（2）维护期内，实现软件免费升级服务；</w:t>
            </w:r>
          </w:p>
          <w:p>
            <w:pPr>
              <w:pStyle w:val="null3"/>
            </w:pPr>
            <w:r>
              <w:rPr>
                <w:rFonts w:ascii="仿宋_GB2312" w:hAnsi="仿宋_GB2312" w:cs="仿宋_GB2312" w:eastAsia="仿宋_GB2312"/>
                <w:sz w:val="21"/>
              </w:rPr>
              <w:t>（3）提供软件功能介绍及使用培训服务；</w:t>
            </w:r>
          </w:p>
          <w:p>
            <w:pPr>
              <w:pStyle w:val="null3"/>
            </w:pPr>
            <w:r>
              <w:rPr>
                <w:rFonts w:ascii="仿宋_GB2312" w:hAnsi="仿宋_GB2312" w:cs="仿宋_GB2312" w:eastAsia="仿宋_GB2312"/>
                <w:sz w:val="21"/>
              </w:rPr>
              <w:t>（4）对安装后的运行软件实现日常例行远程监控服务，确保软件的正常运行；</w:t>
            </w:r>
          </w:p>
          <w:p>
            <w:pPr>
              <w:pStyle w:val="null3"/>
            </w:pPr>
            <w:r>
              <w:rPr>
                <w:rFonts w:ascii="仿宋_GB2312" w:hAnsi="仿宋_GB2312" w:cs="仿宋_GB2312" w:eastAsia="仿宋_GB2312"/>
                <w:sz w:val="21"/>
              </w:rPr>
              <w:t>4、值班要求：</w:t>
            </w:r>
          </w:p>
          <w:p>
            <w:pPr>
              <w:pStyle w:val="null3"/>
            </w:pPr>
            <w:r>
              <w:rPr>
                <w:rFonts w:ascii="仿宋_GB2312" w:hAnsi="仿宋_GB2312" w:cs="仿宋_GB2312" w:eastAsia="仿宋_GB2312"/>
                <w:sz w:val="21"/>
              </w:rPr>
              <w:t xml:space="preserve">  汛期期间供应商应派人员驻场，保障设备正常运行。</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须提供针对本项目的详细人员配备情况。要求拟派项目成员相关专业人员搭配合理、职能健全，岗位分工明确、职责清晰，包括人员配备情况及水平、人员安排、专业配置、从业经历、参与工作经验等方面，均应满足本项目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提供具有履行本合同所必需的设备。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合同签订后12个月内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西安市高陵区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采购人按国家有关规定以及磋商文件的服务要求、供应商的响应文件及承诺与本项目合同约定标准进行验收。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合同签订后15个工作日内完成系统的开发、部署及初运行</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乙方根据甲方要求制定维护保障方案并经过甲方组织专家评审同意后，成交供应商提供相应增值税发票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合同执行中发生争议的，当事人双方应协商解决，协商达不成一致时，可向项目所在地人民法院提请诉讼。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因平台格式限制，其他要求说明如下：（一）采购人应在成交通知书发出之日起二十五日内与成交供应商签订采购合同；（二）评审结束后，代理机构在评审结束之日起1个工作日内将磋商报告及有关资料送交采购人。采购人在收到磋商报告后4 个工作日内，在磋商报告确定的成交候选供应商名单中按顺序确定成交供应商。代理机构在收到成交复函后在1个工作日内发布成交结果公告。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供应商应提交的相关资格证明材料（格式）.docx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供应商应提交的相关资格证明材料（格式）.docx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提供供应商合法注册的法人或其他组织的营业执照/事业单位法人证书/非企业专业服务机构执业许可证/民办非企业单位登记证书；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供应商应提交的相关资格证明材料（格式）.docx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法定代表人委托授权书</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定代表人身份证，并与营业执照上信息一致。法定代表人授权代表参加磋商的，须同时出具法定代表人授权书、授权代表身份证及其近两个月内的本单位社保缴纳证明。</w:t>
            </w:r>
          </w:p>
        </w:tc>
        <w:tc>
          <w:tcPr>
            <w:tcW w:type="dxa" w:w="1661"/>
          </w:tcPr>
          <w:p>
            <w:pPr>
              <w:pStyle w:val="null3"/>
            </w:pPr>
            <w:r>
              <w:rPr>
                <w:rFonts w:ascii="仿宋_GB2312" w:hAnsi="仿宋_GB2312" w:cs="仿宋_GB2312" w:eastAsia="仿宋_GB2312"/>
              </w:rPr>
              <w:t>供应商应提交的相关资格证明材料（格式）.docx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提供磋商截止之日近一年内已缴纳的至少一个月纳税证明或完税证明，依法免税或无须缴纳税收的供应商，应提供相应证明文件；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供应商应提交的相关资格证明材料（格式）.docx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提供磋商截止之日近一年内已缴存的至少一个月的社会保障资金缴存单据或社保机构开具的社会保险参保缴费情况证明，依法不需要缴纳社会保障资金的单位应提供相关证明材料；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供应商应提交的相关资格证明材料（格式）.docx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审计事务所出具的2023年度或2024年度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w:t>
            </w:r>
          </w:p>
        </w:tc>
        <w:tc>
          <w:tcPr>
            <w:tcW w:type="dxa" w:w="1661"/>
          </w:tcPr>
          <w:p>
            <w:pPr>
              <w:pStyle w:val="null3"/>
            </w:pPr>
            <w:r>
              <w:rPr>
                <w:rFonts w:ascii="仿宋_GB2312" w:hAnsi="仿宋_GB2312" w:cs="仿宋_GB2312" w:eastAsia="仿宋_GB2312"/>
              </w:rPr>
              <w:t>供应商应提交的相关资格证明材料（格式）.docx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说明及承诺</w:t>
            </w:r>
          </w:p>
        </w:tc>
        <w:tc>
          <w:tcPr>
            <w:tcW w:type="dxa" w:w="3322"/>
          </w:tcPr>
          <w:p>
            <w:pPr>
              <w:pStyle w:val="null3"/>
            </w:pPr>
            <w:r>
              <w:rPr>
                <w:rFonts w:ascii="仿宋_GB2312" w:hAnsi="仿宋_GB2312" w:cs="仿宋_GB2312" w:eastAsia="仿宋_GB2312"/>
              </w:rPr>
              <w:t>提供具有履行合同所必需的设备和专业技术能力的说明及承诺</w:t>
            </w:r>
          </w:p>
        </w:tc>
        <w:tc>
          <w:tcPr>
            <w:tcW w:type="dxa" w:w="1661"/>
          </w:tcPr>
          <w:p>
            <w:pPr>
              <w:pStyle w:val="null3"/>
            </w:pPr>
            <w:r>
              <w:rPr>
                <w:rFonts w:ascii="仿宋_GB2312" w:hAnsi="仿宋_GB2312" w:cs="仿宋_GB2312" w:eastAsia="仿宋_GB2312"/>
              </w:rPr>
              <w:t>供应商应提交的相关资格证明材料（格式）.docx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无重大违纪声明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供应商应提交的相关资格证明材料（格式）.docx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企业信用</w:t>
            </w:r>
          </w:p>
        </w:tc>
        <w:tc>
          <w:tcPr>
            <w:tcW w:type="dxa" w:w="3322"/>
          </w:tcPr>
          <w:p>
            <w:pPr>
              <w:pStyle w:val="null3"/>
            </w:pPr>
            <w:r>
              <w:rPr>
                <w:rFonts w:ascii="仿宋_GB2312" w:hAnsi="仿宋_GB2312" w:cs="仿宋_GB2312" w:eastAsia="仿宋_GB2312"/>
              </w:rPr>
              <w:t>不得为“信用中国”网站(http：//www.creditchina.gov.cn)列入“失信被执行人或重大税收违法案件当事人名单或政府采购严重违法失信行为记录名单”的供应商；不得为中国政府采购网(http：//www.ccgp.gov.cn)“政府采购严重违 法失信行为记录名单”中的供应商。（根据财库【2019】38号文规定，此项由资审小组在磋商响应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供应商应提交的相关资格证明材料（格式）.docx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供应商提供中小企业声明函；</w:t>
            </w:r>
          </w:p>
        </w:tc>
        <w:tc>
          <w:tcPr>
            <w:tcW w:type="dxa" w:w="1661"/>
          </w:tcPr>
          <w:p>
            <w:pPr>
              <w:pStyle w:val="null3"/>
            </w:pPr>
            <w:r>
              <w:rPr>
                <w:rFonts w:ascii="仿宋_GB2312" w:hAnsi="仿宋_GB2312" w:cs="仿宋_GB2312" w:eastAsia="仿宋_GB2312"/>
              </w:rPr>
              <w:t>供应商应提交的相关资格证明材料（格式）.docx 中小企业声明函 残疾人福利性单位声明函 响应函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供应商应提交的相关资格证明材料（格式）.docx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w:t>
            </w:r>
          </w:p>
        </w:tc>
        <w:tc>
          <w:tcPr>
            <w:tcW w:type="dxa" w:w="3322"/>
          </w:tcPr>
          <w:p>
            <w:pPr>
              <w:pStyle w:val="null3"/>
            </w:pPr>
            <w:r>
              <w:rPr>
                <w:rFonts w:ascii="仿宋_GB2312" w:hAnsi="仿宋_GB2312" w:cs="仿宋_GB2312" w:eastAsia="仿宋_GB2312"/>
              </w:rPr>
              <w:t xml:space="preserve"> 响应文件语言符合磋商文件要求。</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供应商应提交的相关资格证明材料（格式）.docx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响应文件封面、响应函、法定代表人授权委托书三处的项目名称、项目编号</w:t>
            </w:r>
          </w:p>
        </w:tc>
        <w:tc>
          <w:tcPr>
            <w:tcW w:type="dxa" w:w="3322"/>
          </w:tcPr>
          <w:p>
            <w:pPr>
              <w:pStyle w:val="null3"/>
            </w:pPr>
            <w:r>
              <w:rPr>
                <w:rFonts w:ascii="仿宋_GB2312" w:hAnsi="仿宋_GB2312" w:cs="仿宋_GB2312" w:eastAsia="仿宋_GB2312"/>
              </w:rPr>
              <w:t>三处均无遗漏，且与所投项目名称、项目编号完全一致。</w:t>
            </w:r>
          </w:p>
        </w:tc>
        <w:tc>
          <w:tcPr>
            <w:tcW w:type="dxa" w:w="1661"/>
          </w:tcPr>
          <w:p>
            <w:pPr>
              <w:pStyle w:val="null3"/>
            </w:pPr>
            <w:r>
              <w:rPr>
                <w:rFonts w:ascii="仿宋_GB2312" w:hAnsi="仿宋_GB2312" w:cs="仿宋_GB2312" w:eastAsia="仿宋_GB2312"/>
              </w:rPr>
              <w:t>响应文件封面 供应商应提交的相关资格证明材料（格式）.docx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 。</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供应商应提交的相关资格证明材料（格式）.docx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第一次磋商报价表</w:t>
            </w:r>
          </w:p>
        </w:tc>
        <w:tc>
          <w:tcPr>
            <w:tcW w:type="dxa" w:w="3322"/>
          </w:tcPr>
          <w:p>
            <w:pPr>
              <w:pStyle w:val="null3"/>
            </w:pPr>
            <w:r>
              <w:rPr>
                <w:rFonts w:ascii="仿宋_GB2312" w:hAnsi="仿宋_GB2312" w:cs="仿宋_GB2312" w:eastAsia="仿宋_GB2312"/>
              </w:rPr>
              <w:t>（1）第一次磋商报价表填写符合要求； （2）计量单位、报价货币均符合磋商文件要求； （3）第一次磋商报价未超出采购预算或磋商文件规定的最高限价。</w:t>
            </w:r>
          </w:p>
        </w:tc>
        <w:tc>
          <w:tcPr>
            <w:tcW w:type="dxa" w:w="1661"/>
          </w:tcPr>
          <w:p>
            <w:pPr>
              <w:pStyle w:val="null3"/>
            </w:pPr>
            <w:r>
              <w:rPr>
                <w:rFonts w:ascii="仿宋_GB2312" w:hAnsi="仿宋_GB2312" w:cs="仿宋_GB2312" w:eastAsia="仿宋_GB2312"/>
              </w:rPr>
              <w:t>报价表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质量/技术/服务期要求</w:t>
            </w:r>
          </w:p>
        </w:tc>
        <w:tc>
          <w:tcPr>
            <w:tcW w:type="dxa" w:w="3322"/>
          </w:tcPr>
          <w:p>
            <w:pPr>
              <w:pStyle w:val="null3"/>
            </w:pPr>
            <w:r>
              <w:rPr>
                <w:rFonts w:ascii="仿宋_GB2312" w:hAnsi="仿宋_GB2312" w:cs="仿宋_GB2312" w:eastAsia="仿宋_GB2312"/>
              </w:rPr>
              <w:t>完全理解并接受对合格供应商合格的质量及服务期要求，技术/服务没有重大偏离和保留</w:t>
            </w:r>
          </w:p>
        </w:tc>
        <w:tc>
          <w:tcPr>
            <w:tcW w:type="dxa" w:w="1661"/>
          </w:tcPr>
          <w:p>
            <w:pPr>
              <w:pStyle w:val="null3"/>
            </w:pPr>
            <w:r>
              <w:rPr>
                <w:rFonts w:ascii="仿宋_GB2312" w:hAnsi="仿宋_GB2312" w:cs="仿宋_GB2312" w:eastAsia="仿宋_GB2312"/>
              </w:rPr>
              <w:t>响应文件封面 服务内容及服务邀请应答表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没有不符合招标文件规定的被视为无效响应的其他条款。</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完全理解并接受合同条款要求，合同条款没有重大偏离和保留。</w:t>
            </w:r>
          </w:p>
        </w:tc>
        <w:tc>
          <w:tcPr>
            <w:tcW w:type="dxa" w:w="1661"/>
          </w:tcPr>
          <w:p>
            <w:pPr>
              <w:pStyle w:val="null3"/>
            </w:pPr>
            <w:r>
              <w:rPr>
                <w:rFonts w:ascii="仿宋_GB2312" w:hAnsi="仿宋_GB2312" w:cs="仿宋_GB2312" w:eastAsia="仿宋_GB2312"/>
              </w:rPr>
              <w:t>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（一）评审内容：至少包括：①气象业务系统维护服务方案；②铁塔维护检查服务方案；③雷达硬件维护服务方案；④防雷检测服务方案。 （二）评审标准：上述三项内容全面详细、阐述条理清晰详尽、符合且针对本项目采购需求得16分；每项内容根据供应商响应程度每缺一项内容扣4分，有缺陷的扣2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项目实施进度计划</w:t>
            </w:r>
          </w:p>
        </w:tc>
        <w:tc>
          <w:tcPr>
            <w:tcW w:type="dxa" w:w="2492"/>
          </w:tcPr>
          <w:p>
            <w:pPr>
              <w:pStyle w:val="null3"/>
            </w:pPr>
            <w:r>
              <w:rPr>
                <w:rFonts w:ascii="仿宋_GB2312" w:hAnsi="仿宋_GB2312" w:cs="仿宋_GB2312" w:eastAsia="仿宋_GB2312"/>
              </w:rPr>
              <w:t>（一）评审内容：①全站维护计划安排；②维护进度保障措施；③故障处理机制；④维护人员安排；（二）评审标准：上述各部分内容全面详细、阐述条理清晰详尽、符合且针对本项目采购需求得12分，每缺一项内容扣3分，评审内容有缺陷的扣1.5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应急服务措施</w:t>
            </w:r>
          </w:p>
        </w:tc>
        <w:tc>
          <w:tcPr>
            <w:tcW w:type="dxa" w:w="2492"/>
          </w:tcPr>
          <w:p>
            <w:pPr>
              <w:pStyle w:val="null3"/>
            </w:pPr>
            <w:r>
              <w:rPr>
                <w:rFonts w:ascii="仿宋_GB2312" w:hAnsi="仿宋_GB2312" w:cs="仿宋_GB2312" w:eastAsia="仿宋_GB2312"/>
              </w:rPr>
              <w:t>（一）评审内容：①特殊天气过程（暴雨、大风、高温等）应急维护措施；②服务人员临时缺勤及更换的应急措施；③拟投入设施设备替换及补充的应急措施。 （二）评审标准： 上述各部分内容全面详细、阐述条理清晰详尽、符合且针对本项目采购需求得12分，每缺一项内容扣4分，评审内容有缺陷的根据情况扣2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（一）评审内容：提供项目负责人的基本情况信息，包括但不限于姓名、性别、学历、工作年限等。要求拟派项目负责人具有丰富的相关领域工作经验，曾担任过类似项目 总负责人的，每提供一份证明材料计2分，满分计4分。（二）1.提供类似项目服务合同，合同内容须体现项目负责人姓名；2.提供项目负责人响应截止时间前近3个月的社保缴纳证明。</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业绩一览表.docx</w:t>
            </w:r>
          </w:p>
          <w:p>
            <w:pPr>
              <w:pStyle w:val="null3"/>
            </w:pPr>
            <w:r>
              <w:rPr>
                <w:rFonts w:ascii="仿宋_GB2312" w:hAnsi="仿宋_GB2312" w:cs="仿宋_GB2312" w:eastAsia="仿宋_GB2312"/>
              </w:rPr>
              <w:t>主要人员简历</w:t>
            </w:r>
          </w:p>
        </w:tc>
      </w:tr>
      <w:tr>
        <w:tc>
          <w:tcPr>
            <w:tcW w:type="dxa" w:w="831"/>
            <w:vMerge/>
          </w:tcP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（一）评审内容：供应商针对本项目团队成员配备方案：①团队成员配置满足采购需求； ②各岗位职责分工明确、搭配合理，能够涵盖并满足服务内容； ③团队成员提供个人专业能力及工作经验等方面证明材料（包括但不限于身份证、毕业证、专业证书及相关履历等）。 （二）评审标准：1.根据项目团队成员配置、搭配合理程度计0-3分； 2.根据各岗位职责分工明确、搭配合理程度附0-3分； 3.根据项目成员证明材料的完整程度及能力0-3分。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拟投入设备</w:t>
            </w:r>
          </w:p>
        </w:tc>
        <w:tc>
          <w:tcPr>
            <w:tcW w:type="dxa" w:w="2492"/>
          </w:tcPr>
          <w:p>
            <w:pPr>
              <w:pStyle w:val="null3"/>
            </w:pPr>
            <w:r>
              <w:rPr>
                <w:rFonts w:ascii="仿宋_GB2312" w:hAnsi="仿宋_GB2312" w:cs="仿宋_GB2312" w:eastAsia="仿宋_GB2312"/>
              </w:rPr>
              <w:t>（一）评审内容：设施设备内容至少包括①拟投入设施设备配置清单（含设备名称、种类、数量等）；②主要设备技术参数描述；③日常设施设备维修保障方案等。 评审标准：上述各部分内容全面详细、阐述条理清晰详尽、符合且针对本项目采购需求得6分，每缺一项内容扣2分，评审内容有缺陷的扣1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防汛驻场方案</w:t>
            </w:r>
          </w:p>
        </w:tc>
        <w:tc>
          <w:tcPr>
            <w:tcW w:type="dxa" w:w="2492"/>
          </w:tcPr>
          <w:p>
            <w:pPr>
              <w:pStyle w:val="null3"/>
            </w:pPr>
            <w:r>
              <w:rPr>
                <w:rFonts w:ascii="仿宋_GB2312" w:hAnsi="仿宋_GB2312" w:cs="仿宋_GB2312" w:eastAsia="仿宋_GB2312"/>
              </w:rPr>
              <w:t>（一）评审内容：供应商针对本项目汛期期间人员驻场方案：①防汛驻场人员安排； ②驻场人员管理制度； ③驻场服务措施。 （二）评审标准：上述各部分内容全面详细、阐述条理清晰详尽、符合且针对本项目采购需求得9分，每缺一项内容扣3分，评审内容有缺陷的扣1.5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供应商针对本项目服务内容承诺①服务质量承诺；②服务响应时效性承诺；③售后上门及培训服务承诺。（二）评审标准：上述各部分内容全面详细、阐述条理清晰详尽、符合且针对本项目采购需求得6分，每缺一项内容扣2分，评审内容有缺陷的扣1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提供2022年以来至今的类似项目业绩，每提供1份得1.5分，本项最高得6分； 注：1.以合同复印件加盖公章为准； 2.时间以合同签订时间为准； 3.未提供或提供不完整或不清晰的均不得分。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采用低价优先法计算，即通过初步审查且最低的有效投标报价为评标基准价，其价格分为满分。 投标报价得分＝（评标基准价/供应商有效投标报价）×价格权值（20%）×100 【说明】 本项目为专门面向中小企业采购项目，不再执行价格扣除优惠的扶持政策。</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详见附件：供应商应提交的相关资格证明材料（格式）.docx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详见附件：主要人员简历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详见附件：高陵区气象局相控阵雷达维持项目合同 (1).docx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