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版本号：SXZCZB2025-ZCCS-073320250826001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高陵区规划技术审查服务项目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SXZCZB2025-ZCCS-0733</w:t>
      </w:r>
      <w:r>
        <w:br/>
      </w:r>
      <w:r>
        <w:br/>
      </w:r>
      <w:r>
        <w:br/>
      </w:r>
    </w:p>
    <w:p>
      <w:pPr>
        <w:pStyle w:val="null3"/>
        <w:jc w:val="center"/>
        <w:outlineLvl w:val="2"/>
      </w:pPr>
      <w:r>
        <w:rPr>
          <w:rFonts w:ascii="仿宋_GB2312" w:hAnsi="仿宋_GB2312" w:cs="仿宋_GB2312" w:eastAsia="仿宋_GB2312"/>
          <w:sz w:val="28"/>
          <w:b/>
        </w:rPr>
        <w:t>西安市自然资源和规划局高陵分局</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西安市自然资源和规划局高陵分局</w:t>
      </w:r>
      <w:r>
        <w:rPr>
          <w:rFonts w:ascii="仿宋_GB2312" w:hAnsi="仿宋_GB2312" w:cs="仿宋_GB2312" w:eastAsia="仿宋_GB2312"/>
        </w:rPr>
        <w:t>委托，拟对</w:t>
      </w:r>
      <w:r>
        <w:rPr>
          <w:rFonts w:ascii="仿宋_GB2312" w:hAnsi="仿宋_GB2312" w:cs="仿宋_GB2312" w:eastAsia="仿宋_GB2312"/>
        </w:rPr>
        <w:t>高陵区规划技术审查服务项目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SXZCZB2025-ZCCS-0733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高陵区规划技术审查服务项目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高陵区规划技术审查服务项目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采购包1（高陵区规划技术审查服务项目）：属于专门面向中小企业采购。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3、财务审计报告：提供2024年度的财务审计报告（成立时间至提交响应文件截止时间不足一年的可提供成立后任意时段的资产负债表），或开标时间前三个月内银行出具的资信证明；</w:t>
      </w:r>
    </w:p>
    <w:p>
      <w:pPr>
        <w:pStyle w:val="null3"/>
      </w:pPr>
      <w:r>
        <w:rPr>
          <w:rFonts w:ascii="仿宋_GB2312" w:hAnsi="仿宋_GB2312" w:cs="仿宋_GB2312" w:eastAsia="仿宋_GB2312"/>
        </w:rPr>
        <w:t>4、税收缴纳证明：提供磋商文件截止时间前近一年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5、社会保障资金缴纳证明：提供磋商文件截止时间前近一年内至少一个月的社会保障资金缴存单据或社保机构开具的社会保险参保缴费情况证明，依法不需要缴纳社会保障资金的单位应提供相关证明材料；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8、履约承诺：提供具有履行本合同所必需的设备和专业技术能力的说明及承诺书；</w:t>
      </w:r>
    </w:p>
    <w:p>
      <w:pPr>
        <w:pStyle w:val="null3"/>
      </w:pPr>
      <w:r>
        <w:rPr>
          <w:rFonts w:ascii="仿宋_GB2312" w:hAnsi="仿宋_GB2312" w:cs="仿宋_GB2312" w:eastAsia="仿宋_GB2312"/>
        </w:rPr>
        <w:t>9、资质证书：供应商须具备城乡规划编制乙级（含乙级）或乙级以上资质；</w:t>
      </w:r>
    </w:p>
    <w:p>
      <w:pPr>
        <w:pStyle w:val="null3"/>
      </w:pPr>
      <w:r>
        <w:rPr>
          <w:rFonts w:ascii="仿宋_GB2312" w:hAnsi="仿宋_GB2312" w:cs="仿宋_GB2312" w:eastAsia="仿宋_GB2312"/>
        </w:rPr>
        <w:t>10、中小企业声明函：本采购包专门面向中小企业采购（提供中小企业声明函）；</w:t>
      </w:r>
    </w:p>
    <w:p>
      <w:pPr>
        <w:pStyle w:val="null3"/>
      </w:pPr>
      <w:r>
        <w:rPr>
          <w:rFonts w:ascii="仿宋_GB2312" w:hAnsi="仿宋_GB2312" w:cs="仿宋_GB2312" w:eastAsia="仿宋_GB2312"/>
        </w:rPr>
        <w:t>11、非联合体承诺：本项目不接受联合体磋商（提供承诺书）。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高陵区环城东路165号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029-86927297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和发展改革委员会办公厅颁发的《关于招标代理服务收费有关问题的通知》（发改办价格[2003]857号）的有关规定执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西安市自然资源和规划局高陵分局</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西安市自然资源和规划局高陵分局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高陵区规划技术审查服务项目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为了响应全市审批新规要求，做好许可服务保障，高质量推进办件实效，依据《一书三证管理实施细则》、《西安市国土空间城镇开发边界内详细规划编制审批管理实施监督暂行规定》、《陕西省自然资源厅关于进一步强化规划许可规范规划实施监督管理的意见》等文件，拟采购地块实施详细规划成果技术审查、建设工程规划设计方案技术审查及规划公示牌小样制作等第三方服务事项。</w:t>
            </w:r>
          </w:p>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1、规划设计方案数据检测。对建设单位按照西安市规划建设项目技术审查规整要求提交的规整数据进行数据标准化检测，使之满足智能审查要求。</w:t>
            </w:r>
          </w:p>
          <w:p>
            <w:pPr>
              <w:pStyle w:val="null3"/>
            </w:pPr>
            <w:r>
              <w:rPr>
                <w:rFonts w:ascii="仿宋_GB2312" w:hAnsi="仿宋_GB2312" w:cs="仿宋_GB2312" w:eastAsia="仿宋_GB2312"/>
              </w:rPr>
              <w:t>2、规划建设用地合规性审查。对于在土地供应阶段或在企业原有用地上建设，未做过合规性审查的项目进行规划建设用地合规性审查。</w:t>
            </w:r>
          </w:p>
          <w:p>
            <w:pPr>
              <w:pStyle w:val="null3"/>
            </w:pPr>
            <w:r>
              <w:rPr>
                <w:rFonts w:ascii="仿宋_GB2312" w:hAnsi="仿宋_GB2312" w:cs="仿宋_GB2312" w:eastAsia="仿宋_GB2312"/>
              </w:rPr>
              <w:t>3、现状建筑审查。对和规划设计方案相关的周边现状建筑的建筑性质、建筑楼位、建筑层数、建筑高度等进行数据准确性审查。</w:t>
            </w:r>
          </w:p>
          <w:p>
            <w:pPr>
              <w:pStyle w:val="null3"/>
            </w:pPr>
            <w:r>
              <w:rPr>
                <w:rFonts w:ascii="仿宋_GB2312" w:hAnsi="仿宋_GB2312" w:cs="仿宋_GB2312" w:eastAsia="仿宋_GB2312"/>
              </w:rPr>
              <w:t>4、实施详细规划成果技术审查。对规划成果开展技术审查，包括成果规范性审查、上位规划符合性审查、技术标准符合性审查、合理性审查，其中规范性审查主要审查规划成果构成是否完整，成果文件的图面表达及内容规范性、图数文一致性等。上位规划符合性审查主要审查是否落实上位规划传导的控制线、用地、设施、指标等。技术标准符合性审查主要审查经济技术指标、地块控制指标、配套设施、交通组织、地下空间、城市设计、建筑控制线等内容的符合性。合理性审查主要审查方案合理性、实施可行性等内容。</w:t>
            </w:r>
          </w:p>
          <w:p>
            <w:pPr>
              <w:pStyle w:val="null3"/>
            </w:pPr>
            <w:r>
              <w:rPr>
                <w:rFonts w:ascii="仿宋_GB2312" w:hAnsi="仿宋_GB2312" w:cs="仿宋_GB2312" w:eastAsia="仿宋_GB2312"/>
              </w:rPr>
              <w:t>5、建设工程规划设计方案技术审查</w:t>
            </w:r>
          </w:p>
          <w:p>
            <w:pPr>
              <w:pStyle w:val="null3"/>
            </w:pPr>
            <w:r>
              <w:rPr>
                <w:rFonts w:ascii="仿宋_GB2312" w:hAnsi="仿宋_GB2312" w:cs="仿宋_GB2312" w:eastAsia="仿宋_GB2312"/>
              </w:rPr>
              <w:t>1）规划设计方案总图审查</w:t>
            </w:r>
          </w:p>
          <w:p>
            <w:pPr>
              <w:pStyle w:val="null3"/>
            </w:pPr>
            <w:r>
              <w:rPr>
                <w:rFonts w:ascii="仿宋_GB2312" w:hAnsi="仿宋_GB2312" w:cs="仿宋_GB2312" w:eastAsia="仿宋_GB2312"/>
              </w:rPr>
              <w:t>核查建设工程规划设计方案各项技术指标是否满足规划条件、国家省市相关技术标准、规范要求。包括不限于各类建（构）物的建筑面积、容积率、建筑密度（建筑系数）、绿地率、停车位、建筑高度、建筑间距、建筑退线以及《西安市居住区规划设计指导意见》等相关内容。</w:t>
            </w:r>
          </w:p>
          <w:p>
            <w:pPr>
              <w:pStyle w:val="null3"/>
            </w:pPr>
            <w:r>
              <w:rPr>
                <w:rFonts w:ascii="仿宋_GB2312" w:hAnsi="仿宋_GB2312" w:cs="仿宋_GB2312" w:eastAsia="仿宋_GB2312"/>
              </w:rPr>
              <w:t>2）规划设计方案建筑单体套图审查</w:t>
            </w:r>
          </w:p>
          <w:p>
            <w:pPr>
              <w:pStyle w:val="null3"/>
            </w:pPr>
            <w:r>
              <w:rPr>
                <w:rFonts w:ascii="仿宋_GB2312" w:hAnsi="仿宋_GB2312" w:cs="仿宋_GB2312" w:eastAsia="仿宋_GB2312"/>
              </w:rPr>
              <w:t>包括不限于建筑性质、面积、建筑高度等内容审查。</w:t>
            </w:r>
          </w:p>
          <w:p>
            <w:pPr>
              <w:pStyle w:val="null3"/>
            </w:pPr>
            <w:r>
              <w:rPr>
                <w:rFonts w:ascii="仿宋_GB2312" w:hAnsi="仿宋_GB2312" w:cs="仿宋_GB2312" w:eastAsia="仿宋_GB2312"/>
              </w:rPr>
              <w:t>3）规划设计方案日照分析报告审查</w:t>
            </w:r>
          </w:p>
          <w:p>
            <w:pPr>
              <w:pStyle w:val="null3"/>
            </w:pPr>
            <w:r>
              <w:rPr>
                <w:rFonts w:ascii="仿宋_GB2312" w:hAnsi="仿宋_GB2312" w:cs="仿宋_GB2312" w:eastAsia="仿宋_GB2312"/>
              </w:rPr>
              <w:t>按照国家、地方行业技术标准、管理规定，在现场踏勘基础上，对日照分析报告进行技术审查，审查内容包括日照分析标准、日照分析软件、日照分析参数、日照分析方法、日照分析主客体范围、日照分析周边资料、日照分析结论、日照分析成果格式等内容。</w:t>
            </w:r>
          </w:p>
          <w:p>
            <w:pPr>
              <w:pStyle w:val="null3"/>
            </w:pPr>
            <w:r>
              <w:rPr>
                <w:rFonts w:ascii="仿宋_GB2312" w:hAnsi="仿宋_GB2312" w:cs="仿宋_GB2312" w:eastAsia="仿宋_GB2312"/>
              </w:rPr>
              <w:t>6、规划公示牌小样制作。对供地和工程规划许可各阶段需要进行规划公示的，按照标准格式进行规划公示牌电子小样制作。</w:t>
            </w:r>
          </w:p>
          <w:p>
            <w:pPr>
              <w:pStyle w:val="null3"/>
            </w:pPr>
            <w:r>
              <w:rPr>
                <w:rFonts w:ascii="仿宋_GB2312" w:hAnsi="仿宋_GB2312" w:cs="仿宋_GB2312" w:eastAsia="仿宋_GB2312"/>
              </w:rPr>
              <w:t>三、技术要求（如有，一般适合于技术服务项目）</w:t>
            </w:r>
          </w:p>
          <w:p>
            <w:pPr>
              <w:pStyle w:val="null3"/>
            </w:pPr>
            <w:r>
              <w:rPr>
                <w:rFonts w:ascii="仿宋_GB2312" w:hAnsi="仿宋_GB2312" w:cs="仿宋_GB2312" w:eastAsia="仿宋_GB2312"/>
              </w:rPr>
              <w:t>严格依据国家相关行业标准和规范；陕西省、西安市相关技术规定和政策性文件；项目规划条件书及出让合同等进行审查。</w:t>
            </w:r>
          </w:p>
          <w:p>
            <w:pPr>
              <w:pStyle w:val="null3"/>
            </w:pPr>
            <w:r>
              <w:rPr>
                <w:rFonts w:ascii="仿宋_GB2312" w:hAnsi="仿宋_GB2312" w:cs="仿宋_GB2312" w:eastAsia="仿宋_GB2312"/>
              </w:rPr>
              <w:t>四、服务要求（如对人员配置、专业设备、服务标准等）</w:t>
            </w:r>
          </w:p>
          <w:p>
            <w:pPr>
              <w:pStyle w:val="null3"/>
            </w:pPr>
            <w:r>
              <w:rPr>
                <w:rFonts w:ascii="仿宋_GB2312" w:hAnsi="仿宋_GB2312" w:cs="仿宋_GB2312" w:eastAsia="仿宋_GB2312"/>
              </w:rPr>
              <w:t>在合同执行过程中需要服务商应执行的相关服务标准和应当履行的相关义务:</w:t>
            </w:r>
          </w:p>
          <w:p>
            <w:pPr>
              <w:pStyle w:val="null3"/>
            </w:pPr>
            <w:r>
              <w:rPr>
                <w:rFonts w:ascii="仿宋_GB2312" w:hAnsi="仿宋_GB2312" w:cs="仿宋_GB2312" w:eastAsia="仿宋_GB2312"/>
              </w:rPr>
              <w:t>1、规划管理范围内房建类新建、改建、扩建及其它需要开展技术审查的建筑工程项目，以及实施详细规划成果报审达到开展技术审查条件的，由经办人将技术审查资料转件至服务单位，进入技术审查程序。</w:t>
            </w:r>
          </w:p>
          <w:p>
            <w:pPr>
              <w:pStyle w:val="null3"/>
            </w:pPr>
            <w:r>
              <w:rPr>
                <w:rFonts w:ascii="仿宋_GB2312" w:hAnsi="仿宋_GB2312" w:cs="仿宋_GB2312" w:eastAsia="仿宋_GB2312"/>
              </w:rPr>
              <w:t>2、配置具有规划、建筑、地理信息、开发(系统、软件)专业背景技术团队，分别承担用地合规性审查、总图审查(规划专业)、建筑单体审查(建筑学专业)、数据质检(地理信息专业数据处理工程师)、软件(系统)服务(软件工程、计算机专业 ) 。</w:t>
            </w:r>
          </w:p>
          <w:p>
            <w:pPr>
              <w:pStyle w:val="null3"/>
            </w:pPr>
            <w:r>
              <w:rPr>
                <w:rFonts w:ascii="仿宋_GB2312" w:hAnsi="仿宋_GB2312" w:cs="仿宋_GB2312" w:eastAsia="仿宋_GB2312"/>
              </w:rPr>
              <w:t>3、服务单位需提供相关系统、软件咨询服务。</w:t>
            </w:r>
          </w:p>
          <w:p>
            <w:pPr>
              <w:pStyle w:val="null3"/>
            </w:pPr>
            <w:r>
              <w:rPr>
                <w:rFonts w:ascii="仿宋_GB2312" w:hAnsi="仿宋_GB2312" w:cs="仿宋_GB2312" w:eastAsia="仿宋_GB2312"/>
              </w:rPr>
              <w:t>4、服务单位需根据资源规划局的要求增加、修改相关系统、软件功能。</w:t>
            </w:r>
          </w:p>
          <w:p>
            <w:pPr>
              <w:pStyle w:val="null3"/>
            </w:pPr>
            <w:r>
              <w:rPr>
                <w:rFonts w:ascii="仿宋_GB2312" w:hAnsi="仿宋_GB2312" w:cs="仿宋_GB2312" w:eastAsia="仿宋_GB2312"/>
              </w:rPr>
              <w:t>5、服务单位需具有软件开发及本地化服务能力。</w:t>
            </w:r>
          </w:p>
          <w:p>
            <w:pPr>
              <w:pStyle w:val="null3"/>
            </w:pPr>
            <w:r>
              <w:rPr>
                <w:rFonts w:ascii="仿宋_GB2312" w:hAnsi="仿宋_GB2312" w:cs="仿宋_GB2312" w:eastAsia="仿宋_GB2312"/>
              </w:rPr>
              <w:t>6、智能审查要求。采用智能机审辅以人工审查的方式开展技术审查工作。</w:t>
            </w:r>
          </w:p>
          <w:p>
            <w:pPr>
              <w:pStyle w:val="null3"/>
            </w:pPr>
            <w:r>
              <w:rPr>
                <w:rFonts w:ascii="仿宋_GB2312" w:hAnsi="仿宋_GB2312" w:cs="仿宋_GB2312" w:eastAsia="仿宋_GB2312"/>
              </w:rPr>
              <w:t>7、全程网办要求。在“西安市建设工程设计方案技术审查系统”平台上开展全过程建设工程设计方案技术审查工作，包括资料受理、审查资料流转、审查成果出具，满足不见面、无纸化审查工作要求。</w:t>
            </w:r>
          </w:p>
          <w:p>
            <w:pPr>
              <w:pStyle w:val="null3"/>
            </w:pPr>
            <w:r>
              <w:rPr>
                <w:rFonts w:ascii="仿宋_GB2312" w:hAnsi="仿宋_GB2312" w:cs="仿宋_GB2312" w:eastAsia="仿宋_GB2312"/>
              </w:rPr>
              <w:t>8、成果加密要求。按指定格式，对审查完成的建设工程设计方案（包括总图、单体图）进行加密签章。</w:t>
            </w:r>
          </w:p>
          <w:p>
            <w:pPr>
              <w:pStyle w:val="null3"/>
            </w:pPr>
            <w:r>
              <w:rPr>
                <w:rFonts w:ascii="仿宋_GB2312" w:hAnsi="仿宋_GB2312" w:cs="仿宋_GB2312" w:eastAsia="仿宋_GB2312"/>
              </w:rPr>
              <w:t>9、配置1人在西安市自然资源和规划局高陵分局开展驻场协助工作。</w:t>
            </w:r>
          </w:p>
          <w:p>
            <w:pPr>
              <w:pStyle w:val="null3"/>
            </w:pPr>
            <w:r>
              <w:rPr>
                <w:rFonts w:ascii="仿宋_GB2312" w:hAnsi="仿宋_GB2312" w:cs="仿宋_GB2312" w:eastAsia="仿宋_GB2312"/>
              </w:rPr>
              <w:t>五、商务要求（如服务期限、款项结算等）</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 xml:space="preserve"> 合同履行期限为2025年全年。</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 xml:space="preserve"> 每半年，供应商应向采购方出具书面付款通知（注明开户行及账户信息）以及符合国家财税规定的增值税发票，且供应商提交已完成审查的实施详细规划地块数量、建设工程规划设计方案审查面积、规划公示牌小样制作等工作量总结的书面文件给采购方。甲方收到书面文件审核无异议后，根据单价和实际完成审查项目并收到 合规的发票，达到付款条件起 15 日内，支付合同总金额的100.00%。</w:t>
            </w:r>
          </w:p>
          <w:p>
            <w:pPr>
              <w:pStyle w:val="null3"/>
            </w:pPr>
            <w:r>
              <w:rPr>
                <w:rFonts w:ascii="仿宋_GB2312" w:hAnsi="仿宋_GB2312" w:cs="仿宋_GB2312" w:eastAsia="仿宋_GB2312"/>
              </w:rPr>
              <w:t>六、其他（如有要求，请写明）</w:t>
            </w:r>
          </w:p>
          <w:p>
            <w:pPr>
              <w:pStyle w:val="null3"/>
            </w:pPr>
            <w:r>
              <w:rPr>
                <w:rFonts w:ascii="仿宋_GB2312" w:hAnsi="仿宋_GB2312" w:cs="仿宋_GB2312" w:eastAsia="仿宋_GB2312"/>
              </w:rPr>
              <w:t>（一）对服务商的业绩要求</w:t>
            </w:r>
          </w:p>
          <w:p>
            <w:pPr>
              <w:pStyle w:val="null3"/>
            </w:pPr>
            <w:r>
              <w:rPr>
                <w:rFonts w:ascii="仿宋_GB2312" w:hAnsi="仿宋_GB2312" w:cs="仿宋_GB2312" w:eastAsia="仿宋_GB2312"/>
              </w:rPr>
              <w:t>提供2022年1月1日至今承担过规划技术审查、建设项目方案技术审查 (非咨询) 类相关业绩。</w:t>
            </w:r>
          </w:p>
          <w:p>
            <w:pPr>
              <w:pStyle w:val="null3"/>
            </w:pPr>
            <w:r>
              <w:rPr>
                <w:rFonts w:ascii="仿宋_GB2312" w:hAnsi="仿宋_GB2312" w:cs="仿宋_GB2312" w:eastAsia="仿宋_GB2312"/>
              </w:rPr>
              <w:t>（二）进度要求</w:t>
            </w:r>
          </w:p>
          <w:p>
            <w:pPr>
              <w:pStyle w:val="null3"/>
            </w:pPr>
            <w:r>
              <w:rPr>
                <w:rFonts w:ascii="仿宋_GB2312" w:hAnsi="仿宋_GB2312" w:cs="仿宋_GB2312" w:eastAsia="仿宋_GB2312"/>
              </w:rPr>
              <w:t>实施详细规划成果技术审查时限为一个地块乙方技术审查用时三个工作日（补充资料、修改图纸时间不计入），建设工程规划设计方案技术审查、日照分析审查时限为三个工作日（补充资料、修改图纸时间不计入），规划公示牌小样制作成果用时一个工作日。为如遇项目情况较为复杂或其他特殊情况，经双方协商一致后，乙方可适当增加审查用时。</w:t>
            </w:r>
          </w:p>
          <w:p>
            <w:pPr>
              <w:pStyle w:val="null3"/>
            </w:pPr>
            <w:r>
              <w:rPr>
                <w:rFonts w:ascii="仿宋_GB2312" w:hAnsi="仿宋_GB2312" w:cs="仿宋_GB2312" w:eastAsia="仿宋_GB2312"/>
              </w:rPr>
              <w:t>（三）成果交付要求</w:t>
            </w:r>
          </w:p>
          <w:p>
            <w:pPr>
              <w:pStyle w:val="null3"/>
            </w:pPr>
            <w:r>
              <w:rPr>
                <w:rFonts w:ascii="仿宋_GB2312" w:hAnsi="仿宋_GB2312" w:cs="仿宋_GB2312" w:eastAsia="仿宋_GB2312"/>
              </w:rPr>
              <w:t>实施详细规划成果技术审查成果为《地块实施详细规划成果技术审查报告》，建设工程规划设计方案技术审查成果为《建设工程规划设计方案技术审查意见书》，日照分析审查成果为《规划设计方案日照分析报告复核意见书》，规划建设用地合规性审查成果为《建设项目规划合规性技术审查表》，规划公示牌小样制作成果为公示牌电子小样。</w:t>
            </w:r>
          </w:p>
          <w:p>
            <w:pPr>
              <w:pStyle w:val="null3"/>
            </w:pPr>
            <w:r>
              <w:rPr>
                <w:rFonts w:ascii="仿宋_GB2312" w:hAnsi="仿宋_GB2312" w:cs="仿宋_GB2312" w:eastAsia="仿宋_GB2312"/>
              </w:rPr>
              <w:t>（四）质量验收标准或规范</w:t>
            </w:r>
          </w:p>
          <w:p>
            <w:pPr>
              <w:pStyle w:val="null3"/>
            </w:pPr>
            <w:r>
              <w:rPr>
                <w:rFonts w:ascii="仿宋_GB2312" w:hAnsi="仿宋_GB2312" w:cs="仿宋_GB2312" w:eastAsia="仿宋_GB2312"/>
              </w:rPr>
              <w:t>国家相关行业标准和规范；陕西省、西安市相关技术规定和政策性文件；项目规划条件书及出让合同。</w:t>
            </w:r>
          </w:p>
          <w:p>
            <w:pPr>
              <w:pStyle w:val="null3"/>
            </w:pPr>
            <w:r>
              <w:rPr>
                <w:rFonts w:ascii="仿宋_GB2312" w:hAnsi="仿宋_GB2312" w:cs="仿宋_GB2312" w:eastAsia="仿宋_GB2312"/>
              </w:rPr>
              <w:t>（五）违约责任</w:t>
            </w:r>
          </w:p>
          <w:p>
            <w:pPr>
              <w:pStyle w:val="null3"/>
            </w:pPr>
            <w:r>
              <w:rPr>
                <w:rFonts w:ascii="仿宋_GB2312" w:hAnsi="仿宋_GB2312" w:cs="仿宋_GB2312" w:eastAsia="仿宋_GB2312"/>
              </w:rPr>
              <w:t>1.按《中华人民共和国民法典》中的相关条款执行。</w:t>
            </w:r>
          </w:p>
          <w:p>
            <w:pPr>
              <w:pStyle w:val="null3"/>
            </w:pPr>
            <w:r>
              <w:rPr>
                <w:rFonts w:ascii="仿宋_GB2312" w:hAnsi="仿宋_GB2312" w:cs="仿宋_GB2312" w:eastAsia="仿宋_GB2312"/>
              </w:rPr>
              <w:t>2.未按合同或招标书要求提供服务，质量不能满足采购方技术要求，采购单位有权终止合同，甚至对供方违约行为进行追究。</w:t>
            </w:r>
          </w:p>
          <w:p>
            <w:pPr>
              <w:pStyle w:val="null3"/>
            </w:pPr>
            <w:r>
              <w:rPr>
                <w:rFonts w:ascii="仿宋_GB2312" w:hAnsi="仿宋_GB2312" w:cs="仿宋_GB2312" w:eastAsia="仿宋_GB2312"/>
              </w:rPr>
              <w:t>3.乙方由于自身过错，延误按本合同规定的服务成果交付时间，每延误一天，应减收本合同总额的1 ‰作为延误违约金。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单价限价： 1.建设工程设计方案技术审查(含遗留项目建设工程方案技术审查)包含总图审查、单体审查及日照分析报告审查。最终以实际审查项目总建筑面积核算，单价限价:￥0.4元/㎡。 2.实施详细规划审查以提交审查项目个数核算，单价限价：20000元/个。 3.公示牌小样制作以提交正式小样个数核算，单价限价:800元/个。 备注：投标报价报单价合计金额。</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合同履行期限为2025年全年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半年，供应商应向采购方出具书面付款通知（注明开户行及账户信息）以及符合国家财税规定的增值税发票，且供应商提交已完成审查的实施详细规划地块数量、建设工程规划设计方案审查面积、规划公示牌小样制作等工作量总结的书面文件给采购方。甲方收到书面文件审核无异议后，根据单价和实际完成审查项目并收到合规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提供2024年度的财务审计报告（成立时间至提交响应文件截止时间不足一年的可提供成立后任意时段的资产负债表），或开标时间前三个月内银行出具的资信证明；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文件截止时间前近一年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提供磋商文件截止时间前近一年内至少一个月的社会保障资金缴存单据或社保机构开具的社会保险参保缴费情况证明，依法不需要缴纳社会保障资金的单位应提供相关证明材料；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供应商须具备城乡规划编制乙级（含乙级）或乙级以上资质；</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分项报价表.docx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1分，未完全满足一个评审标准得0-0.9分，满分3分； ②需求分析：每完全满足一个评审标准得1分，未完全满足一个评审标准得0-0.9分，满分3分； ③项目重难点分析：每完全满足一个评审标准得1 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针对本项目提出适用于本项目的服务方案，包括：①总体工作方案②项目实施计划③组织实施方案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三、赋分标准（满分18分） ①总体工作方案：每完全满足一个评审标准得2分，未完全满足一个评审标准得0-1.9分，满分6分； ②项目实施计划：每完全满足一个评审标准得2分，未完全满足一个评审标准得0-1.9分，满分6分； ③组织实施方案：每完全满足一个评审标准得2分，未完全满足一个评审标准得0-1.9分，满分6分。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①质量保证措施：每完全满足一个评审标准得1分，未完全满足一个评审标准得0-0.9分，满分3分； ②进度控制措施：每完全满足一个评审标准得1分，未完全满足一个评审标准得0-0.9分，满分3分。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智能化审查实施方案</w:t>
            </w:r>
          </w:p>
        </w:tc>
        <w:tc>
          <w:tcPr>
            <w:tcW w:type="dxa" w:w="2492"/>
          </w:tcPr>
          <w:p>
            <w:pPr>
              <w:pStyle w:val="null3"/>
            </w:pPr>
            <w:r>
              <w:rPr>
                <w:rFonts w:ascii="仿宋_GB2312" w:hAnsi="仿宋_GB2312" w:cs="仿宋_GB2312" w:eastAsia="仿宋_GB2312"/>
              </w:rPr>
              <w:t>一、评审内容 针对本项目提出适用于本项目的智能化审查实施方案，方案包括：①智能化审查目标、思路、流程②机审内容、人机分工③相关系统、平台、软件互联互通 二、评审标准 1、完整性：方案必须全面，对评审内容中的各项要求有详细描述； 2、可实施性：切合本项目实际情况，提出步骤清晰、合理的方案； 3、针对性：方案能够紧扣项目实际情况，内容科学合理。 三、赋分标准（满分9分） ：①智能化审查目标、思路、流程：每完全满足一个评审标准得1分，未完全满足一个评审标准得0-0.9分，满分3分； ②机审内容、人机分工：每完全满足一个评审标准得1分，未完全满足一个评审标准得0-0.9分，满分3分;③相关系统、平台、软件互联互通 ：每完全满足一个评审标准得1分，未完全满足一个评审标准得0-0.9分，满分3分。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①服务承诺：每完全满足一个评审标准得1分，未完全满足一个评审标准得0-0.9分，满分3分； ②应急预案：每完全满足一个评审标准得1分，未完全满足一个评审标准得0-0.9分，满分3分； ③应急保障措施：每完全满足一个评审标准得1分，未完全满足一个评审标准得0-0.9分，满分3分。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供应商具有自然资源或国土空间等相关领域计算机软件著作权登记证书，每提供1个得1分，最高得2分； 供应商具有ISO9001质量管理体系认证证书得1分； ISO14001环境管理体系认证证书得1分； ISO45001职业健康安全管理体系认证证书得1分。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拟定项目总负责人具备规划类中级职称的得1分，高级职称的得2分； 有国家注册城乡规划师或国家注册一级建筑师职业资格的，得2分。 （提供相关证明资料及近6个月内缴纳社保证明复印件加盖公章）。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数据专项负责人</w:t>
            </w:r>
          </w:p>
        </w:tc>
        <w:tc>
          <w:tcPr>
            <w:tcW w:type="dxa" w:w="2492"/>
          </w:tcPr>
          <w:p>
            <w:pPr>
              <w:pStyle w:val="null3"/>
            </w:pPr>
            <w:r>
              <w:rPr>
                <w:rFonts w:ascii="仿宋_GB2312" w:hAnsi="仿宋_GB2312" w:cs="仿宋_GB2312" w:eastAsia="仿宋_GB2312"/>
              </w:rPr>
              <w:t>数据负责人为地理信息专业（包括地理信息、测绘）中级职称得1分，高级职称得2分； 数据负责人具备注册测绘师职业资格得2分，未提供不得分。（提供相关证明资料及近6个月内缴纳社保证明复印件加盖公章）。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1.常驻服务人员1人以上（含1人）（不含项目总负责人，数据负责人），有国家注册城乡规划师或国家注册一级建筑师职业资格的，得1分。 （提供相关证明资料及近6个月内缴纳社保证明复印件加盖公章）。 2.拟投入项目团队人员（不含项目总负责人，数据负责人和常驻服务人员）项目组成员每提供一名具有注册城乡规划师或一级注册建筑师职业资格的得1分，最高得4分。 3.项目组成员专业（以毕业证为准）涵盖城市（乡）规划、建筑学、人文地理、土地资源管理、地理信息系统、风景园林、计算机科学与技术等相关专业，每涵盖上述一个专业得1分，最高得5分。 （提供相关证明资料及近6个月内缴纳社保证明复印件加盖公章）。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针对本项目提出适用于本项目的售后服务方案，包括：①售后服务内容②保障措施二、评审标准 1、完整性：方案必须全面，对评审内容中的各项要求有详细描述； 2、可实施性：切合本项目实际情况，提出步骤清晰、合理的方案； 3、针对性：方案能够紧扣项目实际情况，内容科学合理。 三、赋分标准（满分6分）①售后服务内容：每完全满足一个评审标准得1分，未满足一个评审标准要求综合赋分0-0.9分，满分3分；②保障措施：每完全满足一个评审标准得1分，未满足一个评审标准要求综合赋分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规划技术审查、建设项目方案技术审查项目类似项目业绩，以供应商提供的合同或中标（成交）通知书复印件（或扫描件）为准（日期以合同签订时间或中标（成交）通知书时间为准），每提供一份得1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