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版本号：ZYZB-2025-0602G20250821001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高陵区昭慧广场站周边衔接道路工程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ZYZB-2025-0602G</w:t>
      </w:r>
      <w:r>
        <w:br/>
      </w:r>
      <w:r>
        <w:br/>
      </w:r>
      <w:r>
        <w:br/>
      </w:r>
    </w:p>
    <w:p>
      <w:pPr>
        <w:pStyle w:val="null3"/>
        <w:jc w:val="center"/>
        <w:outlineLvl w:val="2"/>
      </w:pPr>
      <w:r>
        <w:rPr>
          <w:rFonts w:ascii="仿宋_GB2312" w:hAnsi="仿宋_GB2312" w:cs="仿宋_GB2312" w:eastAsia="仿宋_GB2312"/>
          <w:sz w:val="28"/>
          <w:b/>
        </w:rPr>
        <w:t>西安市高陵区住房和城乡建设局</w:t>
      </w:r>
    </w:p>
    <w:p>
      <w:pPr>
        <w:pStyle w:val="null3"/>
        <w:jc w:val="center"/>
        <w:outlineLvl w:val="2"/>
      </w:pPr>
      <w:r>
        <w:rPr>
          <w:rFonts w:ascii="仿宋_GB2312" w:hAnsi="仿宋_GB2312" w:cs="仿宋_GB2312" w:eastAsia="仿宋_GB2312"/>
          <w:sz w:val="28"/>
          <w:b/>
        </w:rPr>
        <w:t>中扬国际项目管理有限公司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中扬国际项目管理有限公司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西安市高陵区住房和城乡建设局</w:t>
      </w:r>
      <w:r>
        <w:rPr>
          <w:rFonts w:ascii="仿宋_GB2312" w:hAnsi="仿宋_GB2312" w:cs="仿宋_GB2312" w:eastAsia="仿宋_GB2312"/>
        </w:rPr>
        <w:t>委托，拟对</w:t>
      </w:r>
      <w:r>
        <w:rPr>
          <w:rFonts w:ascii="仿宋_GB2312" w:hAnsi="仿宋_GB2312" w:cs="仿宋_GB2312" w:eastAsia="仿宋_GB2312"/>
        </w:rPr>
        <w:t>高陵区昭慧广场站周边衔接道路工程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ZYZB-2025-0602G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高陵区昭慧广场站周边衔接道路工程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陵区昭慧广场站周边衔接道路工程南起昭慧广场站北至昭慧大道，道路长度497m,主道宽9m，建设内容包含路基清表、灰土压实、混凝土基层浇筑、路肩平石安装、沥青混凝土路面铺设、画设热熔标线、PC仿石材砖铺设及衔接道路东西两侧场地清表、垃圾清运、平整、油菜花种植、护栏安装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采购包1（高陵区昭慧广场站周边衔接道路工程）：属于专门面向中小企业采购。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1、法定代表人授权委托书：法定代表人授权书及授权代表身份证（法定代表人直接参加投标的须提供法定代表人证明及其身份证），非法人单位参照执行。</w:t>
      </w:r>
    </w:p>
    <w:p>
      <w:pPr>
        <w:pStyle w:val="null3"/>
      </w:pPr>
      <w:r>
        <w:rPr>
          <w:rFonts w:ascii="仿宋_GB2312" w:hAnsi="仿宋_GB2312" w:cs="仿宋_GB2312" w:eastAsia="仿宋_GB2312"/>
        </w:rPr>
        <w:t>2、信用记录：未被列入“信用中国”及“中国政府采购网”失信行为记录。</w:t>
      </w:r>
    </w:p>
    <w:p>
      <w:pPr>
        <w:pStyle w:val="null3"/>
      </w:pPr>
      <w:r>
        <w:rPr>
          <w:rFonts w:ascii="仿宋_GB2312" w:hAnsi="仿宋_GB2312" w:cs="仿宋_GB2312" w:eastAsia="仿宋_GB2312"/>
        </w:rPr>
        <w:t>3、企业资质：供应商须具备建设行政主管部门颁发的市政公用工程施工总承包三级及以上资质，且具有有效的安全生产许可证。</w:t>
      </w:r>
    </w:p>
    <w:p>
      <w:pPr>
        <w:pStyle w:val="null3"/>
      </w:pPr>
      <w:r>
        <w:rPr>
          <w:rFonts w:ascii="仿宋_GB2312" w:hAnsi="仿宋_GB2312" w:cs="仿宋_GB2312" w:eastAsia="仿宋_GB2312"/>
        </w:rPr>
        <w:t>4、项目负责人：拟派项目负责人具有市政公用工程专业二级以上（含二级）注册建造师资格及有效的安全生产考核合格证书，且无其他在建项目（提供无在建工程的承诺函）。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西安市高陵区文卫路132号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王国旗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13399184761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中扬国际项目管理有限公司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西安市未央区太华北路百寰国际10楼1001室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18991873656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采购包1：3,518,800.00元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的《招标代理服务收费管理暂行办法》（计价格[2002]1980号）和国家发展和改革委员会办公厅印发的《关于招标代理服务收费有关问题的通知》（发改办价格[2003]857号）的有关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西安市高陵区住房和城乡建设局</w:t>
      </w:r>
      <w:r>
        <w:rPr>
          <w:rFonts w:ascii="仿宋_GB2312" w:hAnsi="仿宋_GB2312" w:cs="仿宋_GB2312" w:eastAsia="仿宋_GB2312"/>
        </w:rPr>
        <w:t>和</w:t>
      </w:r>
      <w:r>
        <w:rPr>
          <w:rFonts w:ascii="仿宋_GB2312" w:hAnsi="仿宋_GB2312" w:cs="仿宋_GB2312" w:eastAsia="仿宋_GB2312"/>
        </w:rPr>
        <w:t>中扬国际项目管理有限公司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中扬国际项目管理有限公司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中扬国际项目管理有限公司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中扬国际项目管理有限公司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联系人：朱鑫</w:t>
      </w:r>
    </w:p>
    <w:p>
      <w:pPr>
        <w:pStyle w:val="null3"/>
      </w:pPr>
      <w:r>
        <w:rPr>
          <w:rFonts w:ascii="仿宋_GB2312" w:hAnsi="仿宋_GB2312" w:cs="仿宋_GB2312" w:eastAsia="仿宋_GB2312"/>
        </w:rPr>
        <w:t>联系电话：18991873656</w:t>
      </w:r>
    </w:p>
    <w:p>
      <w:pPr>
        <w:pStyle w:val="null3"/>
      </w:pPr>
      <w:r>
        <w:rPr>
          <w:rFonts w:ascii="仿宋_GB2312" w:hAnsi="仿宋_GB2312" w:cs="仿宋_GB2312" w:eastAsia="仿宋_GB2312"/>
        </w:rPr>
        <w:t>地址：西安市未央区太华北路百寰国际10楼1001室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3,518,800.00</w:t>
      </w:r>
    </w:p>
    <w:p>
      <w:pPr>
        <w:pStyle w:val="null3"/>
      </w:pPr>
      <w:r>
        <w:rPr>
          <w:rFonts w:ascii="仿宋_GB2312" w:hAnsi="仿宋_GB2312" w:cs="仿宋_GB2312" w:eastAsia="仿宋_GB2312"/>
        </w:rPr>
        <w:t>采购包最高限价（元）: 3,518,799.78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市政道路、排水管网及配套绿化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3,518,800.00</w:t>
            </w:r>
          </w:p>
        </w:tc>
        <w:tc>
          <w:tcPr>
            <w:tcW w:type="dxa" w:w="1384"/>
          </w:tcPr>
          <w:p>
            <w:pPr>
              <w:pStyle w:val="null3"/>
            </w:pPr>
            <w:r>
              <w:rPr>
                <w:rFonts w:ascii="仿宋_GB2312" w:hAnsi="仿宋_GB2312" w:cs="仿宋_GB2312" w:eastAsia="仿宋_GB2312"/>
              </w:rPr>
              <w:t>元</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标的名称：市政道路、排水管网及配套绿化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rPr>
              <w:t>（一）工程内容：</w:t>
            </w:r>
            <w:r>
              <w:rPr>
                <w:rFonts w:ascii="仿宋_GB2312" w:hAnsi="仿宋_GB2312" w:cs="仿宋_GB2312" w:eastAsia="仿宋_GB2312"/>
                <w:sz w:val="24"/>
              </w:rPr>
              <w:t>高陵区昭慧广场站周边衔接道路工程南起昭慧广场站北至昭慧大道，道路长度</w:t>
            </w:r>
            <w:r>
              <w:rPr>
                <w:rFonts w:ascii="仿宋_GB2312" w:hAnsi="仿宋_GB2312" w:cs="仿宋_GB2312" w:eastAsia="仿宋_GB2312"/>
                <w:sz w:val="24"/>
              </w:rPr>
              <w:t>497m,主道宽9m，建设内容包含路基清表、灰土压实、混凝土基层浇筑、路肩平石安装、沥青混凝土路面铺设、画设热熔标线、PC仿石材砖铺设及衔接道路东西两侧场地清表、垃圾清运、平整、油菜花种植、护栏安装等内容。</w:t>
            </w:r>
          </w:p>
          <w:p>
            <w:pPr>
              <w:pStyle w:val="null3"/>
              <w:ind w:firstLine="480"/>
              <w:jc w:val="both"/>
            </w:pPr>
            <w:r>
              <w:rPr>
                <w:rFonts w:ascii="仿宋_GB2312" w:hAnsi="仿宋_GB2312" w:cs="仿宋_GB2312" w:eastAsia="仿宋_GB2312"/>
                <w:sz w:val="24"/>
              </w:rPr>
              <w:t>（二）计划工期：</w:t>
            </w:r>
            <w:r>
              <w:rPr>
                <w:rFonts w:ascii="仿宋_GB2312" w:hAnsi="仿宋_GB2312" w:cs="仿宋_GB2312" w:eastAsia="仿宋_GB2312"/>
                <w:sz w:val="24"/>
              </w:rPr>
              <w:t>自合同签订之日起</w:t>
            </w:r>
            <w:r>
              <w:rPr>
                <w:rFonts w:ascii="仿宋_GB2312" w:hAnsi="仿宋_GB2312" w:cs="仿宋_GB2312" w:eastAsia="仿宋_GB2312"/>
                <w:sz w:val="24"/>
              </w:rPr>
              <w:t>30日内完成</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color w:val="000000"/>
              </w:rPr>
              <w:t>）</w:t>
            </w:r>
            <w:r>
              <w:rPr>
                <w:rFonts w:ascii="仿宋_GB2312" w:hAnsi="仿宋_GB2312" w:cs="仿宋_GB2312" w:eastAsia="仿宋_GB2312"/>
                <w:sz w:val="24"/>
                <w:color w:val="000000"/>
              </w:rPr>
              <w:t>缺陷责任期：</w:t>
            </w:r>
            <w:r>
              <w:rPr>
                <w:rFonts w:ascii="仿宋_GB2312" w:hAnsi="仿宋_GB2312" w:cs="仿宋_GB2312" w:eastAsia="仿宋_GB2312"/>
                <w:sz w:val="24"/>
                <w:color w:val="000000"/>
              </w:rPr>
              <w:t>2年。</w:t>
            </w:r>
          </w:p>
          <w:p>
            <w:pPr>
              <w:pStyle w:val="null3"/>
              <w:ind w:firstLine="480"/>
              <w:jc w:val="both"/>
            </w:pPr>
            <w:r>
              <w:rPr>
                <w:rFonts w:ascii="仿宋_GB2312" w:hAnsi="仿宋_GB2312" w:cs="仿宋_GB2312" w:eastAsia="仿宋_GB2312"/>
                <w:sz w:val="24"/>
              </w:rPr>
              <w:t>（四）质量保修期：见《建设工程质量管理条例》。</w:t>
            </w:r>
          </w:p>
          <w:p>
            <w:pPr>
              <w:pStyle w:val="null3"/>
              <w:ind w:firstLine="480"/>
              <w:jc w:val="both"/>
            </w:pPr>
            <w:r>
              <w:rPr>
                <w:rFonts w:ascii="仿宋_GB2312" w:hAnsi="仿宋_GB2312" w:cs="仿宋_GB2312" w:eastAsia="仿宋_GB2312"/>
                <w:sz w:val="24"/>
              </w:rPr>
              <w:t>（五）计价依据：计价依据《陕西省建设工程工程量清单计价规则》（</w:t>
            </w:r>
            <w:r>
              <w:rPr>
                <w:rFonts w:ascii="仿宋_GB2312" w:hAnsi="仿宋_GB2312" w:cs="仿宋_GB2312" w:eastAsia="仿宋_GB2312"/>
                <w:sz w:val="24"/>
              </w:rPr>
              <w:t>2009年）、《陕西省建筑装饰工程消耗量定额》（2004年）、《陕西省建筑装饰工程2009年价目表》、《全国修缮定额土建工程陕西省价目表》（2001年）及配套费用定额、相关取费文件，报价以给定的工程量清单及现场情况自主编报。</w:t>
            </w:r>
          </w:p>
          <w:p>
            <w:pPr>
              <w:pStyle w:val="null3"/>
              <w:ind w:firstLine="480"/>
              <w:jc w:val="both"/>
            </w:pPr>
            <w:r>
              <w:rPr>
                <w:rFonts w:ascii="仿宋_GB2312" w:hAnsi="仿宋_GB2312" w:cs="仿宋_GB2312" w:eastAsia="仿宋_GB2312"/>
                <w:sz w:val="24"/>
              </w:rPr>
              <w:t>（六）工程量清单及图纸：详见附件。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符合施工质量验收标准以及国家、省、市、行业及地方标准等相关规范要求。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1、施工要求：在施工期间，施工单位必须注意人员安全，加强安全措施，并对施工人员进行安全教育。施工人员必须持证上岗，在施工中做到封闭性施工。 2、付款方式：合同签订后，支付40%预付款；项目完工后支付合同总价款的30%；项目竣工验收合格后，办理完资料移交手续，付总价款的27%；质保期满后付清剩余3%。付款时需开具符合税务规定的发票。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具有良好的商业信誉和健全的财务会计制度：提供经会计师事务所审计的2024年度财务审计报告，或本年度基本开户银行出具的资信证明（附开户许可证或基本存款账户信息）。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参与的供应商（联合体）工程的施工单位全部为符合政策要求的中小企业。监狱企业及残疾人福利性单位，视同中、小型企业</w:t>
            </w:r>
          </w:p>
        </w:tc>
        <w:tc>
          <w:tcPr>
            <w:tcW w:type="dxa" w:w="1661"/>
          </w:tcPr>
          <w:p>
            <w:pPr>
              <w:pStyle w:val="null3"/>
            </w:pPr>
            <w:r>
              <w:rPr>
                <w:rFonts w:ascii="仿宋_GB2312" w:hAnsi="仿宋_GB2312" w:cs="仿宋_GB2312" w:eastAsia="仿宋_GB2312"/>
              </w:rPr>
              <w:t>供应商资格证明材料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法定代表人授权书及授权代表身份证（法定代表人直接参加投标的须提供法定代表人证明及其身份证），非法人单位参照执行。</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未被列入“信用中国”及“中国政府采购网”失信行为记录。</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供应商须具备建设行政主管部门颁发的市政公用工程施工总承包三级及以上资质，且具有有效的安全生产许可证。</w:t>
            </w:r>
          </w:p>
        </w:tc>
        <w:tc>
          <w:tcPr>
            <w:tcW w:type="dxa" w:w="1661"/>
          </w:tcPr>
          <w:p>
            <w:pPr>
              <w:pStyle w:val="null3"/>
            </w:pPr>
            <w:r>
              <w:rPr>
                <w:rFonts w:ascii="仿宋_GB2312" w:hAnsi="仿宋_GB2312" w:cs="仿宋_GB2312" w:eastAsia="仿宋_GB2312"/>
              </w:rPr>
              <w:t>供应商资格证明材料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拟派项目负责人具有市政公用工程专业二级以上（含二级）注册建造师资格及有效的安全生产考核合格证书，且无其他在建项目（提供无在建工程的承诺函）。</w:t>
            </w:r>
          </w:p>
        </w:tc>
        <w:tc>
          <w:tcPr>
            <w:tcW w:type="dxa" w:w="1661"/>
          </w:tcPr>
          <w:p>
            <w:pPr>
              <w:pStyle w:val="null3"/>
            </w:pPr>
            <w:r>
              <w:rPr>
                <w:rFonts w:ascii="仿宋_GB2312" w:hAnsi="仿宋_GB2312" w:cs="仿宋_GB2312" w:eastAsia="仿宋_GB2312"/>
              </w:rPr>
              <w:t>供应商资格证明材料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w:t>
            </w:r>
          </w:p>
        </w:tc>
        <w:tc>
          <w:tcPr>
            <w:tcW w:type="dxa" w:w="1661"/>
          </w:tcPr>
          <w:p>
            <w:pPr>
              <w:pStyle w:val="null3"/>
            </w:pPr>
            <w:r>
              <w:rPr>
                <w:rFonts w:ascii="仿宋_GB2312" w:hAnsi="仿宋_GB2312" w:cs="仿宋_GB2312" w:eastAsia="仿宋_GB2312"/>
              </w:rPr>
              <w:t>已标价工程量清单 供应商资格证明材料 中小企业声明函 磋商响应方案 承诺书 项目团队 业绩一览表 响应文件封面 商务要求及合同条款响应偏离表 残疾人福利性单位声明函 响应报价表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满足采购需求</w:t>
            </w:r>
          </w:p>
        </w:tc>
        <w:tc>
          <w:tcPr>
            <w:tcW w:type="dxa" w:w="1661"/>
          </w:tcPr>
          <w:p>
            <w:pPr>
              <w:pStyle w:val="null3"/>
            </w:pPr>
            <w:r>
              <w:rPr>
                <w:rFonts w:ascii="仿宋_GB2312" w:hAnsi="仿宋_GB2312" w:cs="仿宋_GB2312" w:eastAsia="仿宋_GB2312"/>
              </w:rPr>
              <w:t>供应商资格证明材料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满足本磋商文件中标注的实质性条款（服务期限、服务地点、支付方式、支付约定等）要求的</w:t>
            </w:r>
          </w:p>
        </w:tc>
        <w:tc>
          <w:tcPr>
            <w:tcW w:type="dxa" w:w="1661"/>
          </w:tcPr>
          <w:p>
            <w:pPr>
              <w:pStyle w:val="null3"/>
            </w:pPr>
            <w:r>
              <w:rPr>
                <w:rFonts w:ascii="仿宋_GB2312" w:hAnsi="仿宋_GB2312" w:cs="仿宋_GB2312" w:eastAsia="仿宋_GB2312"/>
              </w:rPr>
              <w:t>已标价工程量清单 供应商资格证明材料 中小企业声明函 磋商响应方案 承诺书 项目团队 业绩一览表 响应文件封面 商务要求及合同条款响应偏离表 残疾人福利性单位声明函 响应报价表 报价函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已标价工程量清单 供应商资格证明材料 中小企业声明函 磋商响应方案 承诺书 项目团队 业绩一览表 响应文件封面 商务要求及合同条款响应偏离表 残疾人福利性单位声明函 响应报价表 报价函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报价未超过磋商文件要求的最高限价</w:t>
            </w:r>
          </w:p>
        </w:tc>
        <w:tc>
          <w:tcPr>
            <w:tcW w:type="dxa" w:w="1661"/>
          </w:tcPr>
          <w:p>
            <w:pPr>
              <w:pStyle w:val="null3"/>
            </w:pPr>
            <w:r>
              <w:rPr>
                <w:rFonts w:ascii="仿宋_GB2312" w:hAnsi="仿宋_GB2312" w:cs="仿宋_GB2312" w:eastAsia="仿宋_GB2312"/>
              </w:rPr>
              <w:t>已标价工程量清单 响应报价表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提供的施工方案进行打分，包含但不限于:施工技术措施、组织结构、保障措施、应急预案等，上述内容有针对性的措施且内容完整的得12分，每缺1项内容扣3分，每有1处不合理或有瑕疵扣1分。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供应商提供的施工重点难点分析进行打分，包含但不限于施工组织设计内容、施工组织设计重点部位、重点结构施工方案、对重点施工工艺、对重点施工环节等，上述内容有针对性的措施且内容完整的得5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1、拟派项目经理具备高级及以上职称证书，得2分，中级职称证书得1分，其余情况不得分。 2、拟派技术负责人具备高级及以上职称证书，得2分，中级职称证书得1分，其余情况不得分。 3、对拟派本项目其余人员(不含项目经理和技术负责人)进行评分，拟投入人员须是具备施工员、质检员、安全员、资料员、材料人员证书，具有岗位证且在有效期，提供人员证书齐全的得5分，否则不得分。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供应商提供的确保工程质量的技术组织措施进行打分，措施包含但不限于质量管理措施、规章制度、岗位职责、质量管理目标等。措施科学合理且内容完整的得6分，每缺1项内容扣1.5分，每有1处不合理或有瑕扣1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安全施工保障措施</w:t>
            </w:r>
          </w:p>
        </w:tc>
        <w:tc>
          <w:tcPr>
            <w:tcW w:type="dxa" w:w="2492"/>
          </w:tcPr>
          <w:p>
            <w:pPr>
              <w:pStyle w:val="null3"/>
            </w:pPr>
            <w:r>
              <w:rPr>
                <w:rFonts w:ascii="仿宋_GB2312" w:hAnsi="仿宋_GB2312" w:cs="仿宋_GB2312" w:eastAsia="仿宋_GB2312"/>
              </w:rPr>
              <w:t>根据供应商提供的确保安全生产的技术组织措施进行打分，措施包含但不限于安全管理规定、安全管理体系、安全教育、安全培训计划等。 措施科学合理且内容完整的得4分，每缺1项内容扣1分每有1处不台理或有瑕扣0.5分。未提供的不得分。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文明施工保障措施</w:t>
            </w:r>
          </w:p>
        </w:tc>
        <w:tc>
          <w:tcPr>
            <w:tcW w:type="dxa" w:w="2492"/>
          </w:tcPr>
          <w:p>
            <w:pPr>
              <w:pStyle w:val="null3"/>
            </w:pPr>
            <w:r>
              <w:rPr>
                <w:rFonts w:ascii="仿宋_GB2312" w:hAnsi="仿宋_GB2312" w:cs="仿宋_GB2312" w:eastAsia="仿宋_GB2312"/>
              </w:rPr>
              <w:t>根据供应商提供的确保文明施工的技术组织措施进行打分，措施包含但不限于文明施工计划、关键环节控制措施等。 措施科学合理且内容完整的得4分，每缺1项内容扣2分，每有1处不合理或有瑕扣 1 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工期保障措施</w:t>
            </w:r>
          </w:p>
        </w:tc>
        <w:tc>
          <w:tcPr>
            <w:tcW w:type="dxa" w:w="2492"/>
          </w:tcPr>
          <w:p>
            <w:pPr>
              <w:pStyle w:val="null3"/>
            </w:pPr>
            <w:r>
              <w:rPr>
                <w:rFonts w:ascii="仿宋_GB2312" w:hAnsi="仿宋_GB2312" w:cs="仿宋_GB2312" w:eastAsia="仿宋_GB2312"/>
              </w:rPr>
              <w:t>根据供应商提供的确保工期的技术组织措施进行打分，措施包含但不限于总进度计划、分阶段进度计划、规章制度、奖惩措施、工序安排等。措施科学合理且内容完整的得5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拟投入的主要物资计划</w:t>
            </w:r>
          </w:p>
        </w:tc>
        <w:tc>
          <w:tcPr>
            <w:tcW w:type="dxa" w:w="2492"/>
          </w:tcPr>
          <w:p>
            <w:pPr>
              <w:pStyle w:val="null3"/>
            </w:pPr>
            <w:r>
              <w:rPr>
                <w:rFonts w:ascii="仿宋_GB2312" w:hAnsi="仿宋_GB2312" w:cs="仿宋_GB2312" w:eastAsia="仿宋_GB2312"/>
              </w:rPr>
              <w:t>根据供应商提供的拟投入的主要物资计划进行打分，计划包含但不限于资源配备计划、物资清单等。计划科学合理且内容完整的得4分，每缺1项内容扣2分，每有1处不合理或有瑕扣1分。未提供的不得分。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拟投入的主要施工机械计划</w:t>
            </w:r>
          </w:p>
        </w:tc>
        <w:tc>
          <w:tcPr>
            <w:tcW w:type="dxa" w:w="2492"/>
          </w:tcPr>
          <w:p>
            <w:pPr>
              <w:pStyle w:val="null3"/>
            </w:pPr>
            <w:r>
              <w:rPr>
                <w:rFonts w:ascii="仿宋_GB2312" w:hAnsi="仿宋_GB2312" w:cs="仿宋_GB2312" w:eastAsia="仿宋_GB2312"/>
              </w:rPr>
              <w:t>根据供应商提供的拟投入的主要施工机械计划进行打分，计划包含但不限于施工机械配备计划、机械清单等。 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根据供应商提供的劳动力安排计划进行打分，计划包含但不限于人员配备计划、人员清单等。计划科学合理且内容完整的得4分，每缺1项内容扣2分，每有1处不合理或有瑕扣1分。未提供的不得分。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进行打分，包括但不限于质保服务方案及承诺、与相关部门的配合协调承诺、优化建议等进行赋分，方案科学合理、满足项目要求，合理性、针对性强、服务承诺明确，计3分；每缺1项内容扣1分，每有1处不合理或有瑕扣0.5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供应商提供2022年1月1日（以合同签订日期为准）至今承担过的类似项目的业绩合同，每提供一份计2分，满分10分。 备注：提供合同（包括合同服务内容、合同金额、合同签订日期），否则不计分。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满足磋商文件要求的有效磋商报价的最低值为评审基准价，其价格分为满分。其他响应供应商的价格分统一按照下列公式计算：磋商报价得分=（评审基准价／磋商报价）×30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详见附件：磋商响应方案</w:t>
      </w:r>
    </w:p>
    <w:p>
      <w:pPr>
        <w:pStyle w:val="null3"/>
        <w:ind w:firstLine="960"/>
      </w:pPr>
      <w:r>
        <w:rPr>
          <w:rFonts w:ascii="仿宋_GB2312" w:hAnsi="仿宋_GB2312" w:cs="仿宋_GB2312" w:eastAsia="仿宋_GB2312"/>
        </w:rPr>
        <w:t>详见附件：供应商资格证明材料</w:t>
      </w:r>
    </w:p>
    <w:p>
      <w:pPr>
        <w:pStyle w:val="null3"/>
        <w:ind w:firstLine="960"/>
      </w:pPr>
      <w:r>
        <w:rPr>
          <w:rFonts w:ascii="仿宋_GB2312" w:hAnsi="仿宋_GB2312" w:cs="仿宋_GB2312" w:eastAsia="仿宋_GB2312"/>
        </w:rPr>
        <w:t>详见附件：商务要求及合同条款响应偏离表</w:t>
      </w:r>
    </w:p>
    <w:p>
      <w:pPr>
        <w:pStyle w:val="null3"/>
        <w:ind w:firstLine="960"/>
      </w:pPr>
      <w:r>
        <w:rPr>
          <w:rFonts w:ascii="仿宋_GB2312" w:hAnsi="仿宋_GB2312" w:cs="仿宋_GB2312" w:eastAsia="仿宋_GB2312"/>
        </w:rPr>
        <w:t>详见附件：响应报价表</w:t>
      </w:r>
    </w:p>
    <w:p>
      <w:pPr>
        <w:pStyle w:val="null3"/>
        <w:ind w:firstLine="960"/>
      </w:pPr>
      <w:r>
        <w:rPr>
          <w:rFonts w:ascii="仿宋_GB2312" w:hAnsi="仿宋_GB2312" w:cs="仿宋_GB2312" w:eastAsia="仿宋_GB2312"/>
        </w:rPr>
        <w:t>详见附件：项目团队</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