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版本号：ZCSP-高陵区-2025-0003620250904002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2025年全民健身基础设施器材配置项目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ZCSP-高陵区-2025-00036</w:t>
      </w:r>
      <w:r>
        <w:br/>
      </w:r>
      <w:r>
        <w:br/>
      </w:r>
      <w:r>
        <w:br/>
      </w:r>
    </w:p>
    <w:p>
      <w:pPr>
        <w:pStyle w:val="null3"/>
        <w:jc w:val="center"/>
        <w:outlineLvl w:val="2"/>
      </w:pPr>
      <w:r>
        <w:rPr>
          <w:rFonts w:ascii="仿宋_GB2312" w:hAnsi="仿宋_GB2312" w:cs="仿宋_GB2312" w:eastAsia="仿宋_GB2312"/>
          <w:sz w:val="28"/>
          <w:b/>
        </w:rPr>
        <w:t>西安市高陵区文化和旅游体育局</w:t>
      </w:r>
    </w:p>
    <w:p>
      <w:pPr>
        <w:pStyle w:val="null3"/>
        <w:jc w:val="center"/>
        <w:outlineLvl w:val="2"/>
      </w:pPr>
      <w:r>
        <w:rPr>
          <w:rFonts w:ascii="仿宋_GB2312" w:hAnsi="仿宋_GB2312" w:cs="仿宋_GB2312" w:eastAsia="仿宋_GB2312"/>
          <w:sz w:val="28"/>
          <w:b/>
        </w:rPr>
        <w:t>陕西天意达工程咨询有限公司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陕西天意达工程咨询有限公司</w:t>
      </w:r>
      <w:r>
        <w:rPr>
          <w:rFonts w:ascii="仿宋_GB2312" w:hAnsi="仿宋_GB2312" w:cs="仿宋_GB2312" w:eastAsia="仿宋_GB2312"/>
        </w:rPr>
        <w:t>（以下简称“代理机构”）受</w:t>
      </w:r>
      <w:r>
        <w:rPr>
          <w:rFonts w:ascii="仿宋_GB2312" w:hAnsi="仿宋_GB2312" w:cs="仿宋_GB2312" w:eastAsia="仿宋_GB2312"/>
        </w:rPr>
        <w:t>西安市高陵区文化和旅游体育局</w:t>
      </w:r>
      <w:r>
        <w:rPr>
          <w:rFonts w:ascii="仿宋_GB2312" w:hAnsi="仿宋_GB2312" w:cs="仿宋_GB2312" w:eastAsia="仿宋_GB2312"/>
        </w:rPr>
        <w:t>委托，拟对</w:t>
      </w:r>
      <w:r>
        <w:rPr>
          <w:rFonts w:ascii="仿宋_GB2312" w:hAnsi="仿宋_GB2312" w:cs="仿宋_GB2312" w:eastAsia="仿宋_GB2312"/>
        </w:rPr>
        <w:t>2025年全民健身基础设施器材配置项目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ZCSP-高陵区-2025-00036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2025年全民健身基础设施器材配置项目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新建全民健身路径25个(A类型10个、B类型15个)、多功能运动场2个(笼式足球场2个)。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采购包1（2025年全民健身基础设施器材配置项目）：属于专门面向中小企业采购。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法定代表人（主要负责人）身份证明：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2、信用记录截图：供应商不得为“信用中国”网站（www.creditchina.gov.cn）中列入“失信被执行人（中国执行 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3、控股管理关系：单位负责人为同一人或者存在直接控股、管理关系的供应商，不得参加同一合同下的政府采购活动。</w:t>
      </w:r>
    </w:p>
    <w:p>
      <w:pPr>
        <w:pStyle w:val="null3"/>
      </w:pPr>
      <w:r>
        <w:rPr>
          <w:rFonts w:ascii="仿宋_GB2312" w:hAnsi="仿宋_GB2312" w:cs="仿宋_GB2312" w:eastAsia="仿宋_GB2312"/>
        </w:rPr>
        <w:t>4、其他：为本项目提供过整体设计、规范编制或者项目管理等服务的供应商，不得再参加本项目采购活动。</w:t>
      </w:r>
    </w:p>
    <w:p>
      <w:pPr>
        <w:pStyle w:val="null3"/>
      </w:pPr>
      <w:r>
        <w:rPr>
          <w:rFonts w:ascii="仿宋_GB2312" w:hAnsi="仿宋_GB2312" w:cs="仿宋_GB2312" w:eastAsia="仿宋_GB2312"/>
        </w:rPr>
        <w:t>5、联合体：本项目不接受联合体投标，不允许分包。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西安市高陵区文体中心内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西安市高陵区文化和旅游体育局经办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86912043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陕西天意达工程咨询有限公司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西安市未央区未央路荣民中央国际16层1612室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蔚浩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15002971117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在领取《中标通知书》之前，向采购代理机构一次付清招标代理服务费。代理服务费参照发改办价格〔2015〕299号、国家计委关于印发《招标代理服务收费管理暂行办法》的通知（计价格〔2002〕1980号）、《国家发展和改革委员会办公厅关于招标代理服务收费有关问题的通知》（发改办价格〔2003〕857号）规定向中标（成交）供应商收取代理服务费。 2.招标代理服务费交纳信息如下： 开户名称：陕西天意达工程咨询有限公司 开户银行：中国建设银行股份有限公司西安唐延路支行 账 号：61001923900052500393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西安市高陵区文化和旅游体育局</w:t>
      </w:r>
      <w:r>
        <w:rPr>
          <w:rFonts w:ascii="仿宋_GB2312" w:hAnsi="仿宋_GB2312" w:cs="仿宋_GB2312" w:eastAsia="仿宋_GB2312"/>
        </w:rPr>
        <w:t>和</w:t>
      </w:r>
      <w:r>
        <w:rPr>
          <w:rFonts w:ascii="仿宋_GB2312" w:hAnsi="仿宋_GB2312" w:cs="仿宋_GB2312" w:eastAsia="仿宋_GB2312"/>
        </w:rPr>
        <w:t>陕西天意达工程咨询有限公司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西安市高陵区文化和旅游体育局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陕西天意达工程咨询有限公司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陕西天意达工程咨询有限公司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各项具体工作的质量标准符合国家法律法规的规定与相关技术标准。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陕西天意达工程咨询有限公司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陕西天意达工程咨询有限公司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陕西天意达工程咨询有限公司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联系人：蔚浩</w:t>
      </w:r>
    </w:p>
    <w:p>
      <w:pPr>
        <w:pStyle w:val="null3"/>
      </w:pPr>
      <w:r>
        <w:rPr>
          <w:rFonts w:ascii="仿宋_GB2312" w:hAnsi="仿宋_GB2312" w:cs="仿宋_GB2312" w:eastAsia="仿宋_GB2312"/>
        </w:rPr>
        <w:t>联系电话：15002971117</w:t>
      </w:r>
    </w:p>
    <w:p>
      <w:pPr>
        <w:pStyle w:val="null3"/>
      </w:pPr>
      <w:r>
        <w:rPr>
          <w:rFonts w:ascii="仿宋_GB2312" w:hAnsi="仿宋_GB2312" w:cs="仿宋_GB2312" w:eastAsia="仿宋_GB2312"/>
        </w:rPr>
        <w:t>地址：西安市未央区未央路荣民中央国际16层1612室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新建全民健身路径25个(A类型10个、B类型15个)、多功能运动场2个(笼式足球场2个)。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975,000.00</w:t>
      </w:r>
    </w:p>
    <w:p>
      <w:pPr>
        <w:pStyle w:val="null3"/>
      </w:pPr>
      <w:r>
        <w:rPr>
          <w:rFonts w:ascii="仿宋_GB2312" w:hAnsi="仿宋_GB2312" w:cs="仿宋_GB2312" w:eastAsia="仿宋_GB2312"/>
        </w:rPr>
        <w:t>采购包最高限价（元）: 975,000.00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975000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标的名称：975000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4"/>
              <w:gridCol w:w="728"/>
              <w:gridCol w:w="422"/>
              <w:gridCol w:w="1168"/>
            </w:tblGrid>
            <w:tr>
              <w:tc>
                <w:tcPr>
                  <w:tcW w:type="dxa" w:w="254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2025年全民健身基础设施器材配置项目采购清单</w:t>
                  </w:r>
                </w:p>
              </w:tc>
            </w:tr>
            <w:tr>
              <w:tc>
                <w:tcPr>
                  <w:tcW w:type="dxa" w:w="254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w:t>
                  </w:r>
                  <w:r>
                    <w:rPr>
                      <w:rFonts w:ascii="仿宋_GB2312" w:hAnsi="仿宋_GB2312" w:cs="仿宋_GB2312" w:eastAsia="仿宋_GB2312"/>
                      <w:sz w:val="22"/>
                      <w:color w:val="000000"/>
                    </w:rPr>
                    <w:t>A类</w:t>
                  </w:r>
                </w:p>
              </w:tc>
            </w:tr>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器材名称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数量（副</w:t>
                  </w:r>
                  <w:r>
                    <w:rPr>
                      <w:rFonts w:ascii="仿宋_GB2312" w:hAnsi="仿宋_GB2312" w:cs="仿宋_GB2312" w:eastAsia="仿宋_GB2312"/>
                      <w:sz w:val="22"/>
                      <w:color w:val="000000"/>
                    </w:rPr>
                    <w:t>/件）</w:t>
                  </w:r>
                </w:p>
              </w:tc>
              <w:tc>
                <w:tcPr>
                  <w:tcW w:type="dxa" w:w="1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地埋式篮球架</w:t>
                  </w:r>
                  <w:r>
                    <w:rPr>
                      <w:rFonts w:ascii="仿宋_GB2312" w:hAnsi="仿宋_GB2312" w:cs="仿宋_GB2312" w:eastAsia="仿宋_GB2312"/>
                      <w:sz w:val="22"/>
                      <w:color w:val="000000"/>
                    </w:rPr>
                    <w:t>(含划线)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2、主要承载立柱尺寸：Φ165×4.0mm</w:t>
                  </w:r>
                </w:p>
                <w:p>
                  <w:pPr>
                    <w:pStyle w:val="null3"/>
                    <w:jc w:val="both"/>
                  </w:pPr>
                  <w:r>
                    <w:rPr>
                      <w:rFonts w:ascii="仿宋_GB2312" w:hAnsi="仿宋_GB2312" w:cs="仿宋_GB2312" w:eastAsia="仿宋_GB2312"/>
                      <w:sz w:val="22"/>
                      <w:color w:val="000000"/>
                    </w:rPr>
                    <w:t>3、主要支撑横梁尺寸：Ф165×4.0mm</w:t>
                  </w:r>
                </w:p>
                <w:p>
                  <w:pPr>
                    <w:pStyle w:val="null3"/>
                    <w:jc w:val="both"/>
                  </w:pPr>
                  <w:r>
                    <w:rPr>
                      <w:rFonts w:ascii="仿宋_GB2312" w:hAnsi="仿宋_GB2312" w:cs="仿宋_GB2312" w:eastAsia="仿宋_GB2312"/>
                      <w:sz w:val="22"/>
                      <w:color w:val="000000"/>
                    </w:rPr>
                    <w:t>4、安装方式：直埋或预埋，地埋深度：950mm，地基尺寸：800×800×1050mm</w:t>
                  </w:r>
                </w:p>
                <w:p>
                  <w:pPr>
                    <w:pStyle w:val="null3"/>
                    <w:jc w:val="both"/>
                  </w:pPr>
                  <w:r>
                    <w:rPr>
                      <w:rFonts w:ascii="仿宋_GB2312" w:hAnsi="仿宋_GB2312" w:cs="仿宋_GB2312" w:eastAsia="仿宋_GB2312"/>
                      <w:sz w:val="22"/>
                      <w:color w:val="000000"/>
                    </w:rPr>
                    <w:t>5、关键特性：SMC篮板</w:t>
                  </w:r>
                </w:p>
                <w:p>
                  <w:pPr>
                    <w:pStyle w:val="null3"/>
                    <w:jc w:val="both"/>
                  </w:pPr>
                  <w:r>
                    <w:rPr>
                      <w:rFonts w:ascii="仿宋_GB2312" w:hAnsi="仿宋_GB2312" w:cs="仿宋_GB2312" w:eastAsia="仿宋_GB2312"/>
                      <w:sz w:val="22"/>
                      <w:color w:val="000000"/>
                    </w:rPr>
                    <w:t>6、篮板长：1800mm，篮板宽：1050mm，小框宽：590mm，小框高：450mm，边框宽：50mm</w:t>
                  </w:r>
                </w:p>
                <w:p>
                  <w:pPr>
                    <w:pStyle w:val="null3"/>
                    <w:jc w:val="both"/>
                  </w:pPr>
                  <w:r>
                    <w:rPr>
                      <w:rFonts w:ascii="仿宋_GB2312" w:hAnsi="仿宋_GB2312" w:cs="仿宋_GB2312" w:eastAsia="仿宋_GB2312"/>
                      <w:sz w:val="22"/>
                      <w:color w:val="000000"/>
                    </w:rPr>
                    <w:t>7、篮板底边距小框下沿边框上端距离为：150mm，篮板距立柱间距：1850mm，篮圈距地面高度为：3050mm。</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室外乒乓球台</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2、主要承载立柱尺寸：Φ60mm×3.0mm；</w:t>
                  </w:r>
                </w:p>
                <w:p>
                  <w:pPr>
                    <w:pStyle w:val="null3"/>
                    <w:jc w:val="both"/>
                  </w:pPr>
                  <w:r>
                    <w:rPr>
                      <w:rFonts w:ascii="仿宋_GB2312" w:hAnsi="仿宋_GB2312" w:cs="仿宋_GB2312" w:eastAsia="仿宋_GB2312"/>
                      <w:sz w:val="22"/>
                      <w:color w:val="000000"/>
                    </w:rPr>
                    <w:t>3、主要支撑横梁尺寸：20×30×2.0mm</w:t>
                  </w:r>
                </w:p>
                <w:p>
                  <w:pPr>
                    <w:pStyle w:val="null3"/>
                    <w:jc w:val="both"/>
                  </w:pPr>
                  <w:r>
                    <w:rPr>
                      <w:rFonts w:ascii="仿宋_GB2312" w:hAnsi="仿宋_GB2312" w:cs="仿宋_GB2312" w:eastAsia="仿宋_GB2312"/>
                      <w:sz w:val="22"/>
                      <w:color w:val="000000"/>
                    </w:rPr>
                    <w:t>4、安装方式：预埋式，埋入深度：400mm，基础坑400×400×500mm;</w:t>
                  </w:r>
                </w:p>
                <w:p>
                  <w:pPr>
                    <w:pStyle w:val="null3"/>
                    <w:jc w:val="both"/>
                  </w:pPr>
                  <w:r>
                    <w:rPr>
                      <w:rFonts w:ascii="仿宋_GB2312" w:hAnsi="仿宋_GB2312" w:cs="仿宋_GB2312" w:eastAsia="仿宋_GB2312"/>
                      <w:sz w:val="22"/>
                      <w:color w:val="000000"/>
                    </w:rPr>
                    <w:t>5、台长：2740mm，台宽：1525mm，台面离地高度：760mm，球台边框高度（含球台面板厚度）：50mm，半张台面对角线之差：1mm，半张台面平面度：2 mm，端、边线宽度：20.0mm，中线宽度：3mm，中线对称度为1，中线与网间距离：48mm，中线与端线距离为9mm；</w:t>
                  </w:r>
                </w:p>
                <w:p>
                  <w:pPr>
                    <w:pStyle w:val="null3"/>
                    <w:jc w:val="both"/>
                  </w:pPr>
                  <w:r>
                    <w:rPr>
                      <w:rFonts w:ascii="仿宋_GB2312" w:hAnsi="仿宋_GB2312" w:cs="仿宋_GB2312" w:eastAsia="仿宋_GB2312"/>
                      <w:sz w:val="22"/>
                      <w:color w:val="000000"/>
                    </w:rPr>
                    <w:t>6、台面背部连接采用钢管支撑架连接，支撑架管壁厚度为2.5mm，每半块板面支撑架有不少于4横4纵支撑管连接；</w:t>
                  </w:r>
                </w:p>
                <w:p>
                  <w:pPr>
                    <w:pStyle w:val="null3"/>
                    <w:jc w:val="both"/>
                  </w:pPr>
                  <w:r>
                    <w:rPr>
                      <w:rFonts w:ascii="仿宋_GB2312" w:hAnsi="仿宋_GB2312" w:cs="仿宋_GB2312" w:eastAsia="仿宋_GB2312"/>
                      <w:sz w:val="22"/>
                      <w:color w:val="000000"/>
                    </w:rPr>
                    <w:t>7、台面弹性为240mm。</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告示牌</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3、主要支撑横梁：45×30×2.5mm；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5、各撑人体的表面所有棱边和尖角的半径不小于3.0mm；</w:t>
                  </w:r>
                </w:p>
                <w:p>
                  <w:pPr>
                    <w:pStyle w:val="null3"/>
                    <w:jc w:val="both"/>
                  </w:pPr>
                  <w:r>
                    <w:rPr>
                      <w:rFonts w:ascii="仿宋_GB2312" w:hAnsi="仿宋_GB2312" w:cs="仿宋_GB2312" w:eastAsia="仿宋_GB2312"/>
                      <w:sz w:val="22"/>
                      <w:color w:val="000000"/>
                    </w:rPr>
                    <w:t>6、易接触的零部件的其他所有棱边予以圆弧过渡或加以防护；</w:t>
                  </w:r>
                </w:p>
                <w:p>
                  <w:pPr>
                    <w:pStyle w:val="null3"/>
                    <w:jc w:val="both"/>
                  </w:pPr>
                  <w:r>
                    <w:rPr>
                      <w:rFonts w:ascii="仿宋_GB2312" w:hAnsi="仿宋_GB2312" w:cs="仿宋_GB2312" w:eastAsia="仿宋_GB2312"/>
                      <w:sz w:val="22"/>
                      <w:color w:val="000000"/>
                    </w:rPr>
                    <w:t>7、没有任何方向的倾斜、翻倒或较明显的永久变形现象。</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椭圆机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2、主要承载立柱尺寸：Φ114×3.0mm</w:t>
                  </w:r>
                </w:p>
                <w:p>
                  <w:pPr>
                    <w:pStyle w:val="null3"/>
                    <w:jc w:val="both"/>
                  </w:pPr>
                  <w:r>
                    <w:rPr>
                      <w:rFonts w:ascii="仿宋_GB2312" w:hAnsi="仿宋_GB2312" w:cs="仿宋_GB2312" w:eastAsia="仿宋_GB2312"/>
                      <w:sz w:val="22"/>
                      <w:color w:val="000000"/>
                    </w:rPr>
                    <w:t>3、主要承载横梁尺寸：40×60×3.0mm</w:t>
                  </w:r>
                </w:p>
                <w:p>
                  <w:pPr>
                    <w:pStyle w:val="null3"/>
                    <w:jc w:val="both"/>
                  </w:pPr>
                  <w:r>
                    <w:rPr>
                      <w:rFonts w:ascii="仿宋_GB2312" w:hAnsi="仿宋_GB2312" w:cs="仿宋_GB2312" w:eastAsia="仿宋_GB2312"/>
                      <w:sz w:val="22"/>
                      <w:color w:val="000000"/>
                    </w:rPr>
                    <w:t>4、表面处理工艺：脱脂-抛丸-静电喷涂</w:t>
                  </w:r>
                </w:p>
                <w:p>
                  <w:pPr>
                    <w:pStyle w:val="null3"/>
                    <w:jc w:val="both"/>
                  </w:pPr>
                  <w:r>
                    <w:rPr>
                      <w:rFonts w:ascii="仿宋_GB2312" w:hAnsi="仿宋_GB2312" w:cs="仿宋_GB2312" w:eastAsia="仿宋_GB2312"/>
                      <w:sz w:val="22"/>
                      <w:color w:val="000000"/>
                    </w:rPr>
                    <w:t>5、安装方式：直埋式</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腰背按摩器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3、主要支撑横梁尺寸：80×40×3.0mm；</w:t>
                  </w:r>
                </w:p>
                <w:p>
                  <w:pPr>
                    <w:pStyle w:val="null3"/>
                    <w:jc w:val="both"/>
                  </w:pPr>
                  <w:r>
                    <w:rPr>
                      <w:rFonts w:ascii="仿宋_GB2312" w:hAnsi="仿宋_GB2312" w:cs="仿宋_GB2312" w:eastAsia="仿宋_GB2312"/>
                      <w:sz w:val="22"/>
                      <w:color w:val="000000"/>
                    </w:rPr>
                    <w:t>4、安装方式：直埋式，埋入深度：500mm，基础坑400mm×400mm×600mm;</w:t>
                  </w:r>
                </w:p>
                <w:p>
                  <w:pPr>
                    <w:pStyle w:val="null3"/>
                    <w:jc w:val="both"/>
                  </w:pPr>
                  <w:r>
                    <w:rPr>
                      <w:rFonts w:ascii="仿宋_GB2312" w:hAnsi="仿宋_GB2312" w:cs="仿宋_GB2312" w:eastAsia="仿宋_GB2312"/>
                      <w:sz w:val="22"/>
                      <w:color w:val="000000"/>
                    </w:rPr>
                    <w:t>5、各支撑人体的表面所有棱边和尖角的半径不小于3.0mm；</w:t>
                  </w:r>
                </w:p>
                <w:p>
                  <w:pPr>
                    <w:pStyle w:val="null3"/>
                    <w:jc w:val="both"/>
                  </w:pPr>
                  <w:r>
                    <w:rPr>
                      <w:rFonts w:ascii="仿宋_GB2312" w:hAnsi="仿宋_GB2312" w:cs="仿宋_GB2312" w:eastAsia="仿宋_GB2312"/>
                      <w:sz w:val="22"/>
                      <w:color w:val="000000"/>
                    </w:rPr>
                    <w:t>6、易接触的其他零部件的棱边予以圆弧过渡。</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双杠</w:t>
                  </w:r>
                  <w:r>
                    <w:rPr>
                      <w:rFonts w:ascii="仿宋_GB2312" w:hAnsi="仿宋_GB2312" w:cs="仿宋_GB2312" w:eastAsia="仿宋_GB2312"/>
                      <w:sz w:val="22"/>
                      <w:color w:val="000000"/>
                    </w:rPr>
                    <w:t>(含悬浮地板)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3、主要支撑横梁尺寸：Ф42×3.0mm；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5、关键特性：缓冲层为沙层，厚度为200mm；</w:t>
                  </w:r>
                </w:p>
                <w:p>
                  <w:pPr>
                    <w:pStyle w:val="null3"/>
                    <w:jc w:val="both"/>
                  </w:pPr>
                  <w:r>
                    <w:rPr>
                      <w:rFonts w:ascii="仿宋_GB2312" w:hAnsi="仿宋_GB2312" w:cs="仿宋_GB2312" w:eastAsia="仿宋_GB2312"/>
                      <w:sz w:val="22"/>
                      <w:color w:val="000000"/>
                    </w:rPr>
                    <w:t>6、各支撑人体的表面所有棱边和尖角的半径不小于3.0mm，</w:t>
                  </w:r>
                </w:p>
                <w:p>
                  <w:pPr>
                    <w:pStyle w:val="null3"/>
                    <w:jc w:val="both"/>
                  </w:pPr>
                  <w:r>
                    <w:rPr>
                      <w:rFonts w:ascii="仿宋_GB2312" w:hAnsi="仿宋_GB2312" w:cs="仿宋_GB2312" w:eastAsia="仿宋_GB2312"/>
                      <w:sz w:val="22"/>
                      <w:color w:val="000000"/>
                    </w:rPr>
                    <w:t>7、易接触的零部件的其他所有棱边予以圆弧过渡或加以防护。</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划船器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2、主要承载立柱尺寸：Φ114×3.0mm</w:t>
                  </w:r>
                </w:p>
                <w:p>
                  <w:pPr>
                    <w:pStyle w:val="null3"/>
                    <w:jc w:val="both"/>
                  </w:pPr>
                  <w:r>
                    <w:rPr>
                      <w:rFonts w:ascii="仿宋_GB2312" w:hAnsi="仿宋_GB2312" w:cs="仿宋_GB2312" w:eastAsia="仿宋_GB2312"/>
                      <w:sz w:val="22"/>
                      <w:color w:val="000000"/>
                    </w:rPr>
                    <w:t>3、主要承载横梁尺寸：Φ60×3.0mm</w:t>
                  </w:r>
                </w:p>
                <w:p>
                  <w:pPr>
                    <w:pStyle w:val="null3"/>
                    <w:jc w:val="both"/>
                  </w:pPr>
                  <w:r>
                    <w:rPr>
                      <w:rFonts w:ascii="仿宋_GB2312" w:hAnsi="仿宋_GB2312" w:cs="仿宋_GB2312" w:eastAsia="仿宋_GB2312"/>
                      <w:sz w:val="22"/>
                      <w:color w:val="000000"/>
                    </w:rPr>
                    <w:t>4、表面处理工艺：脱脂-抛丸-静电喷涂</w:t>
                  </w:r>
                </w:p>
                <w:p>
                  <w:pPr>
                    <w:pStyle w:val="null3"/>
                    <w:jc w:val="both"/>
                  </w:pPr>
                  <w:r>
                    <w:rPr>
                      <w:rFonts w:ascii="仿宋_GB2312" w:hAnsi="仿宋_GB2312" w:cs="仿宋_GB2312" w:eastAsia="仿宋_GB2312"/>
                      <w:sz w:val="22"/>
                      <w:color w:val="000000"/>
                    </w:rPr>
                    <w:t>5、安装方式：直埋式</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腿部按摩器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3、主要支撑横梁尺寸：Ф60×3.0mm；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5、各支撑人体的表面所有棱边和尖角的半径不小于3.0mm；</w:t>
                  </w:r>
                </w:p>
                <w:p>
                  <w:pPr>
                    <w:pStyle w:val="null3"/>
                    <w:jc w:val="both"/>
                  </w:pPr>
                  <w:r>
                    <w:rPr>
                      <w:rFonts w:ascii="仿宋_GB2312" w:hAnsi="仿宋_GB2312" w:cs="仿宋_GB2312" w:eastAsia="仿宋_GB2312"/>
                      <w:sz w:val="22"/>
                      <w:color w:val="000000"/>
                    </w:rPr>
                    <w:t>6、易接触的零部件的其他所有棱边予以圆弧过渡或加以防护；</w:t>
                  </w:r>
                </w:p>
                <w:p>
                  <w:pPr>
                    <w:pStyle w:val="null3"/>
                    <w:jc w:val="both"/>
                  </w:pPr>
                  <w:r>
                    <w:rPr>
                      <w:rFonts w:ascii="仿宋_GB2312" w:hAnsi="仿宋_GB2312" w:cs="仿宋_GB2312" w:eastAsia="仿宋_GB2312"/>
                      <w:sz w:val="22"/>
                      <w:color w:val="000000"/>
                    </w:rPr>
                    <w:t>7、用于握持的支撑部位的横截面在任何方向上尺寸为32mm；</w:t>
                  </w:r>
                </w:p>
                <w:p>
                  <w:pPr>
                    <w:pStyle w:val="null3"/>
                    <w:jc w:val="both"/>
                  </w:pPr>
                  <w:r>
                    <w:rPr>
                      <w:rFonts w:ascii="仿宋_GB2312" w:hAnsi="仿宋_GB2312" w:cs="仿宋_GB2312" w:eastAsia="仿宋_GB2312"/>
                      <w:sz w:val="22"/>
                      <w:color w:val="000000"/>
                    </w:rPr>
                    <w:t>8、活动部件和固定部件之间的距离在运动中保持不变，其距离不小于30mm。</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健身车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1、主要承载立柱尺寸：Ф114×3.0mm；</w:t>
                  </w:r>
                </w:p>
                <w:p>
                  <w:pPr>
                    <w:pStyle w:val="null3"/>
                    <w:jc w:val="both"/>
                  </w:pPr>
                  <w:r>
                    <w:rPr>
                      <w:rFonts w:ascii="仿宋_GB2312" w:hAnsi="仿宋_GB2312" w:cs="仿宋_GB2312" w:eastAsia="仿宋_GB2312"/>
                      <w:sz w:val="22"/>
                      <w:color w:val="000000"/>
                    </w:rPr>
                    <w:t>2、主要支撑横梁尺寸：Ф60×3.0mm；</w:t>
                  </w:r>
                </w:p>
                <w:p>
                  <w:pPr>
                    <w:pStyle w:val="null3"/>
                    <w:jc w:val="both"/>
                  </w:pPr>
                  <w:r>
                    <w:rPr>
                      <w:rFonts w:ascii="仿宋_GB2312" w:hAnsi="仿宋_GB2312" w:cs="仿宋_GB2312" w:eastAsia="仿宋_GB2312"/>
                      <w:sz w:val="22"/>
                      <w:color w:val="000000"/>
                    </w:rPr>
                    <w:t>3、安装方式：直埋式，埋入深度：500mm，基础坑400×400×600mm；</w:t>
                  </w:r>
                </w:p>
                <w:p>
                  <w:pPr>
                    <w:pStyle w:val="null3"/>
                    <w:jc w:val="both"/>
                  </w:pPr>
                  <w:r>
                    <w:rPr>
                      <w:rFonts w:ascii="仿宋_GB2312" w:hAnsi="仿宋_GB2312" w:cs="仿宋_GB2312" w:eastAsia="仿宋_GB2312"/>
                      <w:sz w:val="22"/>
                      <w:color w:val="000000"/>
                    </w:rPr>
                    <w:t>4、关键特性：：内置阻尼；</w:t>
                  </w:r>
                </w:p>
                <w:p>
                  <w:pPr>
                    <w:pStyle w:val="null3"/>
                    <w:jc w:val="both"/>
                  </w:pPr>
                  <w:r>
                    <w:rPr>
                      <w:rFonts w:ascii="仿宋_GB2312" w:hAnsi="仿宋_GB2312" w:cs="仿宋_GB2312" w:eastAsia="仿宋_GB2312"/>
                      <w:sz w:val="22"/>
                      <w:color w:val="000000"/>
                    </w:rPr>
                    <w:t>5、各支撑人体的表面所有棱边和尖角的半径不小于3.0mm；</w:t>
                  </w:r>
                </w:p>
                <w:p>
                  <w:pPr>
                    <w:pStyle w:val="null3"/>
                    <w:jc w:val="both"/>
                  </w:pPr>
                  <w:r>
                    <w:rPr>
                      <w:rFonts w:ascii="仿宋_GB2312" w:hAnsi="仿宋_GB2312" w:cs="仿宋_GB2312" w:eastAsia="仿宋_GB2312"/>
                      <w:sz w:val="22"/>
                      <w:color w:val="000000"/>
                    </w:rPr>
                    <w:t>6、易接触的其他零部件的棱边予以圆弧过渡。</w:t>
                  </w:r>
                </w:p>
              </w:tc>
            </w:tr>
            <w:tr>
              <w:tc>
                <w:tcPr>
                  <w:tcW w:type="dxa" w:w="25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备注</w:t>
                  </w:r>
                  <w:r>
                    <w:rPr>
                      <w:rFonts w:ascii="仿宋_GB2312" w:hAnsi="仿宋_GB2312" w:cs="仿宋_GB2312" w:eastAsia="仿宋_GB2312"/>
                      <w:sz w:val="22"/>
                      <w:color w:val="000000"/>
                    </w:rPr>
                    <w:t>:所有器材符合GB19272-2011《室外健身器材的安全通用要求》并持有国家认证认可监督管理委员会批准具备体育用品认证资格的第三方认证机构依据GB19272-2011标准出具的认证证书;质保期8年。</w:t>
                  </w:r>
                </w:p>
              </w:tc>
            </w:tr>
            <w:tr>
              <w:tc>
                <w:tcPr>
                  <w:tcW w:type="dxa" w:w="254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二、</w:t>
                  </w:r>
                  <w:r>
                    <w:rPr>
                      <w:rFonts w:ascii="仿宋_GB2312" w:hAnsi="仿宋_GB2312" w:cs="仿宋_GB2312" w:eastAsia="仿宋_GB2312"/>
                      <w:sz w:val="22"/>
                      <w:color w:val="000000"/>
                    </w:rPr>
                    <w:t>B类</w:t>
                  </w:r>
                </w:p>
              </w:tc>
            </w:tr>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器材名称</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数量（副</w:t>
                  </w:r>
                  <w:r>
                    <w:rPr>
                      <w:rFonts w:ascii="仿宋_GB2312" w:hAnsi="仿宋_GB2312" w:cs="仿宋_GB2312" w:eastAsia="仿宋_GB2312"/>
                      <w:sz w:val="22"/>
                      <w:color w:val="000000"/>
                    </w:rPr>
                    <w:t>/件）</w:t>
                  </w:r>
                </w:p>
              </w:tc>
              <w:tc>
                <w:tcPr>
                  <w:tcW w:type="dxa" w:w="1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室外乒乓球台</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2、主要承载立柱尺寸：Φ60mm×3.0mm；</w:t>
                  </w:r>
                </w:p>
                <w:p>
                  <w:pPr>
                    <w:pStyle w:val="null3"/>
                    <w:jc w:val="both"/>
                  </w:pPr>
                  <w:r>
                    <w:rPr>
                      <w:rFonts w:ascii="仿宋_GB2312" w:hAnsi="仿宋_GB2312" w:cs="仿宋_GB2312" w:eastAsia="仿宋_GB2312"/>
                      <w:sz w:val="22"/>
                      <w:color w:val="000000"/>
                    </w:rPr>
                    <w:t>3、主要支撑横梁尺寸：20×30×2.0mm</w:t>
                  </w:r>
                </w:p>
                <w:p>
                  <w:pPr>
                    <w:pStyle w:val="null3"/>
                    <w:jc w:val="both"/>
                  </w:pPr>
                  <w:r>
                    <w:rPr>
                      <w:rFonts w:ascii="仿宋_GB2312" w:hAnsi="仿宋_GB2312" w:cs="仿宋_GB2312" w:eastAsia="仿宋_GB2312"/>
                      <w:sz w:val="22"/>
                      <w:color w:val="000000"/>
                    </w:rPr>
                    <w:t>4、安装方式：预埋式，埋入深度：400mm，基础坑400×400×500mm;</w:t>
                  </w:r>
                </w:p>
                <w:p>
                  <w:pPr>
                    <w:pStyle w:val="null3"/>
                    <w:jc w:val="both"/>
                  </w:pPr>
                  <w:r>
                    <w:rPr>
                      <w:rFonts w:ascii="仿宋_GB2312" w:hAnsi="仿宋_GB2312" w:cs="仿宋_GB2312" w:eastAsia="仿宋_GB2312"/>
                      <w:sz w:val="22"/>
                      <w:color w:val="000000"/>
                    </w:rPr>
                    <w:t>5、台长：2740mm，台宽：1525mm，台面离地高度：760mm，球台边框高度（含球台面板厚度）：50mm，半张台面对角线之差：1mm，半张台面平面度：2 mm，端、边线宽度：20.0mm，中线宽度：3mm，中线对称度为1，中线与网间距离：48mm，中线与端线距离为9mm；</w:t>
                  </w:r>
                </w:p>
                <w:p>
                  <w:pPr>
                    <w:pStyle w:val="null3"/>
                    <w:jc w:val="both"/>
                  </w:pPr>
                  <w:r>
                    <w:rPr>
                      <w:rFonts w:ascii="仿宋_GB2312" w:hAnsi="仿宋_GB2312" w:cs="仿宋_GB2312" w:eastAsia="仿宋_GB2312"/>
                      <w:sz w:val="22"/>
                      <w:color w:val="000000"/>
                    </w:rPr>
                    <w:t>6、台面背部连接采用钢管支撑架连接，支撑架管壁厚度为2.5mm，每半块板面支撑架有不少于4横4纵支撑管连接；</w:t>
                  </w:r>
                </w:p>
                <w:p>
                  <w:pPr>
                    <w:pStyle w:val="null3"/>
                    <w:jc w:val="both"/>
                  </w:pPr>
                  <w:r>
                    <w:rPr>
                      <w:rFonts w:ascii="仿宋_GB2312" w:hAnsi="仿宋_GB2312" w:cs="仿宋_GB2312" w:eastAsia="仿宋_GB2312"/>
                      <w:sz w:val="22"/>
                      <w:color w:val="000000"/>
                    </w:rPr>
                    <w:t>7、台面弹性为240mm。</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告示牌</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3、主要支撑横梁：45×30×2.5mm；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5、各撑人体的表面所有棱边和尖角的半径不小于3.0mm；</w:t>
                  </w:r>
                </w:p>
                <w:p>
                  <w:pPr>
                    <w:pStyle w:val="null3"/>
                    <w:jc w:val="both"/>
                  </w:pPr>
                  <w:r>
                    <w:rPr>
                      <w:rFonts w:ascii="仿宋_GB2312" w:hAnsi="仿宋_GB2312" w:cs="仿宋_GB2312" w:eastAsia="仿宋_GB2312"/>
                      <w:sz w:val="22"/>
                      <w:color w:val="000000"/>
                    </w:rPr>
                    <w:t>6、易接触的零部件的其他所有棱边予以圆弧过渡或加以防护；</w:t>
                  </w:r>
                </w:p>
                <w:p>
                  <w:pPr>
                    <w:pStyle w:val="null3"/>
                    <w:jc w:val="both"/>
                  </w:pPr>
                  <w:r>
                    <w:rPr>
                      <w:rFonts w:ascii="仿宋_GB2312" w:hAnsi="仿宋_GB2312" w:cs="仿宋_GB2312" w:eastAsia="仿宋_GB2312"/>
                      <w:sz w:val="22"/>
                      <w:color w:val="000000"/>
                    </w:rPr>
                    <w:t>7、没有任何方向的倾斜、翻倒或较明显的永久变形现象。</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椭圆机</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2、主要承载立柱尺寸：Φ114×3.0mm</w:t>
                  </w:r>
                </w:p>
                <w:p>
                  <w:pPr>
                    <w:pStyle w:val="null3"/>
                    <w:jc w:val="both"/>
                  </w:pPr>
                  <w:r>
                    <w:rPr>
                      <w:rFonts w:ascii="仿宋_GB2312" w:hAnsi="仿宋_GB2312" w:cs="仿宋_GB2312" w:eastAsia="仿宋_GB2312"/>
                      <w:sz w:val="22"/>
                      <w:color w:val="000000"/>
                    </w:rPr>
                    <w:t>3、主要承载横梁尺寸：40×60×3.0mm</w:t>
                  </w:r>
                </w:p>
                <w:p>
                  <w:pPr>
                    <w:pStyle w:val="null3"/>
                    <w:jc w:val="both"/>
                  </w:pPr>
                  <w:r>
                    <w:rPr>
                      <w:rFonts w:ascii="仿宋_GB2312" w:hAnsi="仿宋_GB2312" w:cs="仿宋_GB2312" w:eastAsia="仿宋_GB2312"/>
                      <w:sz w:val="22"/>
                      <w:color w:val="000000"/>
                    </w:rPr>
                    <w:t>4、表面处理工艺：脱脂-抛丸-静电喷涂</w:t>
                  </w:r>
                </w:p>
                <w:p>
                  <w:pPr>
                    <w:pStyle w:val="null3"/>
                    <w:jc w:val="both"/>
                  </w:pPr>
                  <w:r>
                    <w:rPr>
                      <w:rFonts w:ascii="仿宋_GB2312" w:hAnsi="仿宋_GB2312" w:cs="仿宋_GB2312" w:eastAsia="仿宋_GB2312"/>
                      <w:sz w:val="22"/>
                      <w:color w:val="000000"/>
                    </w:rPr>
                    <w:t>5、安装方式：直埋式</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腰背按摩器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3、主要支撑横梁尺寸：80×40×3.0mm；</w:t>
                  </w:r>
                </w:p>
                <w:p>
                  <w:pPr>
                    <w:pStyle w:val="null3"/>
                    <w:jc w:val="both"/>
                  </w:pPr>
                  <w:r>
                    <w:rPr>
                      <w:rFonts w:ascii="仿宋_GB2312" w:hAnsi="仿宋_GB2312" w:cs="仿宋_GB2312" w:eastAsia="仿宋_GB2312"/>
                      <w:sz w:val="22"/>
                      <w:color w:val="000000"/>
                    </w:rPr>
                    <w:t>4、安装方式：直埋式，埋入深度：500mm，基础坑400mm×400mm×600mm;</w:t>
                  </w:r>
                </w:p>
                <w:p>
                  <w:pPr>
                    <w:pStyle w:val="null3"/>
                    <w:jc w:val="both"/>
                  </w:pPr>
                  <w:r>
                    <w:rPr>
                      <w:rFonts w:ascii="仿宋_GB2312" w:hAnsi="仿宋_GB2312" w:cs="仿宋_GB2312" w:eastAsia="仿宋_GB2312"/>
                      <w:sz w:val="22"/>
                      <w:color w:val="000000"/>
                    </w:rPr>
                    <w:t>5、各支撑人体的表面所有棱边和尖角的半径不小于3.0mm；</w:t>
                  </w:r>
                </w:p>
                <w:p>
                  <w:pPr>
                    <w:pStyle w:val="null3"/>
                    <w:jc w:val="both"/>
                  </w:pPr>
                  <w:r>
                    <w:rPr>
                      <w:rFonts w:ascii="仿宋_GB2312" w:hAnsi="仿宋_GB2312" w:cs="仿宋_GB2312" w:eastAsia="仿宋_GB2312"/>
                      <w:sz w:val="22"/>
                      <w:color w:val="000000"/>
                    </w:rPr>
                    <w:t>6、易接触的其他零部件的棱边予以圆弧过渡。</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双杠</w:t>
                  </w:r>
                  <w:r>
                    <w:rPr>
                      <w:rFonts w:ascii="仿宋_GB2312" w:hAnsi="仿宋_GB2312" w:cs="仿宋_GB2312" w:eastAsia="仿宋_GB2312"/>
                      <w:sz w:val="22"/>
                      <w:color w:val="000000"/>
                    </w:rPr>
                    <w:t>(含悬浮地板)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3、主要支撑横梁尺寸：Ф42×3.0mm；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5、关键特性：缓冲层为沙层，厚度为200mm；</w:t>
                  </w:r>
                </w:p>
                <w:p>
                  <w:pPr>
                    <w:pStyle w:val="null3"/>
                    <w:jc w:val="both"/>
                  </w:pPr>
                  <w:r>
                    <w:rPr>
                      <w:rFonts w:ascii="仿宋_GB2312" w:hAnsi="仿宋_GB2312" w:cs="仿宋_GB2312" w:eastAsia="仿宋_GB2312"/>
                      <w:sz w:val="22"/>
                      <w:color w:val="000000"/>
                    </w:rPr>
                    <w:t>6、各支撑人体的表面所有棱边和尖角的半径不小于3.0mm，</w:t>
                  </w:r>
                </w:p>
                <w:p>
                  <w:pPr>
                    <w:pStyle w:val="null3"/>
                    <w:jc w:val="both"/>
                  </w:pPr>
                  <w:r>
                    <w:rPr>
                      <w:rFonts w:ascii="仿宋_GB2312" w:hAnsi="仿宋_GB2312" w:cs="仿宋_GB2312" w:eastAsia="仿宋_GB2312"/>
                      <w:sz w:val="22"/>
                      <w:color w:val="000000"/>
                    </w:rPr>
                    <w:t>7、易接触的零部件的其他所有棱边予以圆弧过渡或加以防护。</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健身车</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1、主要承载立柱尺寸：Ф114×3.0mm；</w:t>
                  </w:r>
                </w:p>
                <w:p>
                  <w:pPr>
                    <w:pStyle w:val="null3"/>
                    <w:jc w:val="both"/>
                  </w:pPr>
                  <w:r>
                    <w:rPr>
                      <w:rFonts w:ascii="仿宋_GB2312" w:hAnsi="仿宋_GB2312" w:cs="仿宋_GB2312" w:eastAsia="仿宋_GB2312"/>
                      <w:sz w:val="22"/>
                      <w:color w:val="000000"/>
                    </w:rPr>
                    <w:t>2、主要支撑横梁尺寸：Ф60×3.0mm；</w:t>
                  </w:r>
                </w:p>
                <w:p>
                  <w:pPr>
                    <w:pStyle w:val="null3"/>
                    <w:jc w:val="both"/>
                  </w:pPr>
                  <w:r>
                    <w:rPr>
                      <w:rFonts w:ascii="仿宋_GB2312" w:hAnsi="仿宋_GB2312" w:cs="仿宋_GB2312" w:eastAsia="仿宋_GB2312"/>
                      <w:sz w:val="22"/>
                      <w:color w:val="000000"/>
                    </w:rPr>
                    <w:t>3、安装方式：直埋式，埋入深度：500mm，基础坑400×400×600mm；</w:t>
                  </w:r>
                </w:p>
                <w:p>
                  <w:pPr>
                    <w:pStyle w:val="null3"/>
                    <w:jc w:val="both"/>
                  </w:pPr>
                  <w:r>
                    <w:rPr>
                      <w:rFonts w:ascii="仿宋_GB2312" w:hAnsi="仿宋_GB2312" w:cs="仿宋_GB2312" w:eastAsia="仿宋_GB2312"/>
                      <w:sz w:val="22"/>
                      <w:color w:val="000000"/>
                    </w:rPr>
                    <w:t>4、关键特性：：内置阻尼；</w:t>
                  </w:r>
                </w:p>
                <w:p>
                  <w:pPr>
                    <w:pStyle w:val="null3"/>
                    <w:jc w:val="both"/>
                  </w:pPr>
                  <w:r>
                    <w:rPr>
                      <w:rFonts w:ascii="仿宋_GB2312" w:hAnsi="仿宋_GB2312" w:cs="仿宋_GB2312" w:eastAsia="仿宋_GB2312"/>
                      <w:sz w:val="22"/>
                      <w:color w:val="000000"/>
                    </w:rPr>
                    <w:t>5、各支撑人体的表面所有棱边和尖角的半径不小于3.0mm；</w:t>
                  </w:r>
                </w:p>
                <w:p>
                  <w:pPr>
                    <w:pStyle w:val="null3"/>
                    <w:jc w:val="both"/>
                  </w:pPr>
                  <w:r>
                    <w:rPr>
                      <w:rFonts w:ascii="仿宋_GB2312" w:hAnsi="仿宋_GB2312" w:cs="仿宋_GB2312" w:eastAsia="仿宋_GB2312"/>
                      <w:sz w:val="22"/>
                      <w:color w:val="000000"/>
                    </w:rPr>
                    <w:t>6、易接触的其他零部件的棱边予以圆弧过渡。</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腿部按摩器</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1、主要材料：钢管</w:t>
                  </w:r>
                </w:p>
                <w:p>
                  <w:pPr>
                    <w:pStyle w:val="null3"/>
                    <w:jc w:val="both"/>
                  </w:pPr>
                  <w:r>
                    <w:rPr>
                      <w:rFonts w:ascii="仿宋_GB2312" w:hAnsi="仿宋_GB2312" w:cs="仿宋_GB2312" w:eastAsia="仿宋_GB2312"/>
                      <w:sz w:val="22"/>
                      <w:color w:val="000000"/>
                    </w:rPr>
                    <w:t>2、主要承载立柱尺寸：Ф114×3.0mm；</w:t>
                  </w:r>
                </w:p>
                <w:p>
                  <w:pPr>
                    <w:pStyle w:val="null3"/>
                    <w:jc w:val="both"/>
                  </w:pPr>
                  <w:r>
                    <w:rPr>
                      <w:rFonts w:ascii="仿宋_GB2312" w:hAnsi="仿宋_GB2312" w:cs="仿宋_GB2312" w:eastAsia="仿宋_GB2312"/>
                      <w:sz w:val="22"/>
                      <w:color w:val="000000"/>
                    </w:rPr>
                    <w:t>3、主要支撑横梁尺寸：Ф60×3.0mm；</w:t>
                  </w:r>
                </w:p>
                <w:p>
                  <w:pPr>
                    <w:pStyle w:val="null3"/>
                    <w:jc w:val="both"/>
                  </w:pPr>
                  <w:r>
                    <w:rPr>
                      <w:rFonts w:ascii="仿宋_GB2312" w:hAnsi="仿宋_GB2312" w:cs="仿宋_GB2312" w:eastAsia="仿宋_GB2312"/>
                      <w:sz w:val="22"/>
                      <w:color w:val="000000"/>
                    </w:rPr>
                    <w:t>4、安装方式：直埋式，埋入深度：500mm，基础坑400×400×600mm；</w:t>
                  </w:r>
                </w:p>
                <w:p>
                  <w:pPr>
                    <w:pStyle w:val="null3"/>
                    <w:jc w:val="both"/>
                  </w:pPr>
                  <w:r>
                    <w:rPr>
                      <w:rFonts w:ascii="仿宋_GB2312" w:hAnsi="仿宋_GB2312" w:cs="仿宋_GB2312" w:eastAsia="仿宋_GB2312"/>
                      <w:sz w:val="22"/>
                      <w:color w:val="000000"/>
                    </w:rPr>
                    <w:t>5、各支撑人体的表面所有棱边和尖角的半径不小于3.0mm；</w:t>
                  </w:r>
                </w:p>
                <w:p>
                  <w:pPr>
                    <w:pStyle w:val="null3"/>
                    <w:jc w:val="both"/>
                  </w:pPr>
                  <w:r>
                    <w:rPr>
                      <w:rFonts w:ascii="仿宋_GB2312" w:hAnsi="仿宋_GB2312" w:cs="仿宋_GB2312" w:eastAsia="仿宋_GB2312"/>
                      <w:sz w:val="22"/>
                      <w:color w:val="000000"/>
                    </w:rPr>
                    <w:t>6、易接触的零部件的其他所有棱边予以圆弧过渡或加以防护；</w:t>
                  </w:r>
                </w:p>
                <w:p>
                  <w:pPr>
                    <w:pStyle w:val="null3"/>
                    <w:jc w:val="both"/>
                  </w:pPr>
                  <w:r>
                    <w:rPr>
                      <w:rFonts w:ascii="仿宋_GB2312" w:hAnsi="仿宋_GB2312" w:cs="仿宋_GB2312" w:eastAsia="仿宋_GB2312"/>
                      <w:sz w:val="22"/>
                      <w:color w:val="000000"/>
                    </w:rPr>
                    <w:t>7、用于握持的支撑部位的横截面在任何方向上尺寸为32mm；</w:t>
                  </w:r>
                </w:p>
                <w:p>
                  <w:pPr>
                    <w:pStyle w:val="null3"/>
                    <w:jc w:val="both"/>
                  </w:pPr>
                  <w:r>
                    <w:rPr>
                      <w:rFonts w:ascii="仿宋_GB2312" w:hAnsi="仿宋_GB2312" w:cs="仿宋_GB2312" w:eastAsia="仿宋_GB2312"/>
                      <w:sz w:val="22"/>
                      <w:color w:val="000000"/>
                    </w:rPr>
                    <w:t>8、活动部件和固定部件之间的距离在运动中保持不变，其距离不小于30mm。</w:t>
                  </w:r>
                </w:p>
              </w:tc>
            </w:tr>
            <w:tr>
              <w:tc>
                <w:tcPr>
                  <w:tcW w:type="dxa" w:w="254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备注</w:t>
                  </w:r>
                  <w:r>
                    <w:rPr>
                      <w:rFonts w:ascii="仿宋_GB2312" w:hAnsi="仿宋_GB2312" w:cs="仿宋_GB2312" w:eastAsia="仿宋_GB2312"/>
                      <w:sz w:val="22"/>
                      <w:color w:val="000000"/>
                    </w:rPr>
                    <w:t>:所有器材符合GB19272-2011《室外健身器材的安全通用要求》并持有国家认证认可监督管理委员会批准具备体育用品认证资格的第三方认证机构依据GB19272-2011标准出具的认证证书;质保期8年。</w:t>
                  </w:r>
                </w:p>
              </w:tc>
            </w:tr>
            <w:tr>
              <w:tc>
                <w:tcPr>
                  <w:tcW w:type="dxa" w:w="2542"/>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三、多功能运动场</w:t>
                  </w:r>
                </w:p>
              </w:tc>
            </w:tr>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11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数量（个）</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1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笼式足球场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bl>
          <w:p>
            <w:pPr>
              <w:pStyle w:val="null3"/>
              <w:spacing w:before="195"/>
              <w:ind w:left="825"/>
              <w:jc w:val="both"/>
            </w:pPr>
            <w:r>
              <w:rPr>
                <w:rFonts w:ascii="仿宋_GB2312" w:hAnsi="仿宋_GB2312" w:cs="仿宋_GB2312" w:eastAsia="仿宋_GB2312"/>
                <w:sz w:val="22"/>
              </w:rPr>
              <w:t>(一)笼式足球场</w:t>
            </w:r>
          </w:p>
          <w:p>
            <w:pPr>
              <w:pStyle w:val="null3"/>
              <w:spacing w:before="225"/>
              <w:ind w:left="675"/>
              <w:jc w:val="both"/>
            </w:pPr>
            <w:r>
              <w:rPr>
                <w:rFonts w:ascii="仿宋_GB2312" w:hAnsi="仿宋_GB2312" w:cs="仿宋_GB2312" w:eastAsia="仿宋_GB2312"/>
                <w:sz w:val="22"/>
                <w:b/>
              </w:rPr>
              <w:t>1.技术标准。</w:t>
            </w:r>
          </w:p>
          <w:p>
            <w:pPr>
              <w:pStyle w:val="null3"/>
              <w:spacing w:before="180"/>
              <w:ind w:right="90" w:firstLine="674"/>
              <w:jc w:val="both"/>
            </w:pPr>
            <w:r>
              <w:rPr>
                <w:rFonts w:ascii="仿宋_GB2312" w:hAnsi="仿宋_GB2312" w:cs="仿宋_GB2312" w:eastAsia="仿宋_GB2312"/>
                <w:sz w:val="22"/>
                <w:b/>
              </w:rPr>
              <w:t>场地尺寸：</w:t>
            </w:r>
            <w:r>
              <w:rPr>
                <w:rFonts w:ascii="仿宋_GB2312" w:hAnsi="仿宋_GB2312" w:cs="仿宋_GB2312" w:eastAsia="仿宋_GB2312"/>
                <w:sz w:val="22"/>
              </w:rPr>
              <w:t>整体占地面积</w:t>
            </w:r>
            <w:r>
              <w:rPr>
                <w:rFonts w:ascii="仿宋_GB2312" w:hAnsi="仿宋_GB2312" w:cs="仿宋_GB2312" w:eastAsia="仿宋_GB2312"/>
                <w:sz w:val="22"/>
              </w:rPr>
              <w:t>28米×18米，划线面积25×15</w:t>
            </w:r>
            <w:r>
              <w:rPr>
                <w:rFonts w:ascii="仿宋_GB2312" w:hAnsi="仿宋_GB2312" w:cs="仿宋_GB2312" w:eastAsia="仿宋_GB2312"/>
                <w:sz w:val="22"/>
              </w:rPr>
              <w:t>米。</w:t>
            </w:r>
          </w:p>
          <w:p>
            <w:pPr>
              <w:pStyle w:val="null3"/>
              <w:ind w:right="105" w:firstLine="670"/>
              <w:jc w:val="both"/>
            </w:pPr>
            <w:r>
              <w:rPr>
                <w:rFonts w:ascii="仿宋_GB2312" w:hAnsi="仿宋_GB2312" w:cs="仿宋_GB2312" w:eastAsia="仿宋_GB2312"/>
                <w:sz w:val="22"/>
                <w:b/>
              </w:rPr>
              <w:t>人造草坪：</w:t>
            </w:r>
            <w:r>
              <w:rPr>
                <w:rFonts w:ascii="仿宋_GB2312" w:hAnsi="仿宋_GB2312" w:cs="仿宋_GB2312" w:eastAsia="仿宋_GB2312"/>
                <w:sz w:val="22"/>
              </w:rPr>
              <w:t>球场地面铺设田园绿和橄榄绿双色人造草皮，草</w:t>
            </w:r>
            <w:r>
              <w:rPr>
                <w:rFonts w:ascii="仿宋_GB2312" w:hAnsi="仿宋_GB2312" w:cs="仿宋_GB2312" w:eastAsia="仿宋_GB2312"/>
                <w:sz w:val="22"/>
              </w:rPr>
              <w:t>高</w:t>
            </w:r>
            <w:r>
              <w:rPr>
                <w:rFonts w:ascii="仿宋_GB2312" w:hAnsi="仿宋_GB2312" w:cs="仿宋_GB2312" w:eastAsia="仿宋_GB2312"/>
                <w:sz w:val="22"/>
              </w:rPr>
              <w:t>50</w:t>
            </w:r>
            <w:r>
              <w:rPr>
                <w:rFonts w:ascii="仿宋_GB2312" w:hAnsi="仿宋_GB2312" w:cs="仿宋_GB2312" w:eastAsia="仿宋_GB2312"/>
                <w:sz w:val="22"/>
              </w:rPr>
              <w:t>mm</w:t>
            </w:r>
            <w:r>
              <w:rPr>
                <w:rFonts w:ascii="仿宋_GB2312" w:hAnsi="仿宋_GB2312" w:cs="仿宋_GB2312" w:eastAsia="仿宋_GB2312"/>
                <w:sz w:val="22"/>
              </w:rPr>
              <w:t>±5%</w:t>
            </w:r>
            <w:r>
              <w:rPr>
                <w:rFonts w:ascii="仿宋_GB2312" w:hAnsi="仿宋_GB2312" w:cs="仿宋_GB2312" w:eastAsia="仿宋_GB2312"/>
                <w:sz w:val="22"/>
              </w:rPr>
              <w:t>mm</w:t>
            </w:r>
            <w:r>
              <w:rPr>
                <w:rFonts w:ascii="仿宋_GB2312" w:hAnsi="仿宋_GB2312" w:cs="仿宋_GB2312" w:eastAsia="仿宋_GB2312"/>
                <w:sz w:val="22"/>
              </w:rPr>
              <w:t>,密度不小于</w:t>
            </w:r>
            <w:r>
              <w:rPr>
                <w:rFonts w:ascii="仿宋_GB2312" w:hAnsi="仿宋_GB2312" w:cs="仿宋_GB2312" w:eastAsia="仿宋_GB2312"/>
                <w:sz w:val="22"/>
              </w:rPr>
              <w:t>10500</w:t>
            </w:r>
            <w:r>
              <w:rPr>
                <w:rFonts w:ascii="仿宋_GB2312" w:hAnsi="仿宋_GB2312" w:cs="仿宋_GB2312" w:eastAsia="仿宋_GB2312"/>
                <w:sz w:val="22"/>
              </w:rPr>
              <w:t>针</w:t>
            </w:r>
            <w:r>
              <w:rPr>
                <w:rFonts w:ascii="仿宋_GB2312" w:hAnsi="仿宋_GB2312" w:cs="仿宋_GB2312" w:eastAsia="仿宋_GB2312"/>
                <w:sz w:val="22"/>
              </w:rPr>
              <w:t>/平方米。透水性、抗紫</w:t>
            </w:r>
            <w:r>
              <w:rPr>
                <w:rFonts w:ascii="仿宋_GB2312" w:hAnsi="仿宋_GB2312" w:cs="仿宋_GB2312" w:eastAsia="仿宋_GB2312"/>
                <w:sz w:val="22"/>
              </w:rPr>
              <w:t>外线性能、色牢度、阻燃性等需满足</w:t>
            </w:r>
            <w:r>
              <w:rPr>
                <w:rFonts w:ascii="仿宋_GB2312" w:hAnsi="仿宋_GB2312" w:cs="仿宋_GB2312" w:eastAsia="仿宋_GB2312"/>
                <w:sz w:val="22"/>
              </w:rPr>
              <w:t>GB</w:t>
            </w:r>
            <w:r>
              <w:rPr>
                <w:rFonts w:ascii="仿宋_GB2312" w:hAnsi="仿宋_GB2312" w:cs="仿宋_GB2312" w:eastAsia="仿宋_GB2312"/>
                <w:sz w:val="22"/>
              </w:rPr>
              <w:t>/T20394-2013标准。人</w:t>
            </w:r>
            <w:r>
              <w:rPr>
                <w:rFonts w:ascii="仿宋_GB2312" w:hAnsi="仿宋_GB2312" w:cs="仿宋_GB2312" w:eastAsia="仿宋_GB2312"/>
                <w:sz w:val="22"/>
              </w:rPr>
              <w:t>造草坪面层内需填充石英砂</w:t>
            </w:r>
            <w:r>
              <w:rPr>
                <w:rFonts w:ascii="仿宋_GB2312" w:hAnsi="仿宋_GB2312" w:cs="仿宋_GB2312" w:eastAsia="仿宋_GB2312"/>
                <w:sz w:val="22"/>
              </w:rPr>
              <w:t>(20-40目，每平方不少于40</w:t>
            </w:r>
            <w:r>
              <w:rPr>
                <w:rFonts w:ascii="仿宋_GB2312" w:hAnsi="仿宋_GB2312" w:cs="仿宋_GB2312" w:eastAsia="仿宋_GB2312"/>
                <w:sz w:val="22"/>
              </w:rPr>
              <w:t>KG</w:t>
            </w:r>
            <w:r>
              <w:rPr>
                <w:rFonts w:ascii="仿宋_GB2312" w:hAnsi="仿宋_GB2312" w:cs="仿宋_GB2312" w:eastAsia="仿宋_GB2312"/>
                <w:sz w:val="22"/>
              </w:rPr>
              <w:t>)、</w:t>
            </w:r>
            <w:r>
              <w:rPr>
                <w:rFonts w:ascii="仿宋_GB2312" w:hAnsi="仿宋_GB2312" w:cs="仿宋_GB2312" w:eastAsia="仿宋_GB2312"/>
                <w:sz w:val="22"/>
              </w:rPr>
              <w:t>环保橡胶颗粒</w:t>
            </w:r>
            <w:r>
              <w:rPr>
                <w:rFonts w:ascii="仿宋_GB2312" w:hAnsi="仿宋_GB2312" w:cs="仿宋_GB2312" w:eastAsia="仿宋_GB2312"/>
                <w:sz w:val="22"/>
              </w:rPr>
              <w:t>(粒径3</w:t>
            </w:r>
            <w:r>
              <w:rPr>
                <w:rFonts w:ascii="仿宋_GB2312" w:hAnsi="仿宋_GB2312" w:cs="仿宋_GB2312" w:eastAsia="仿宋_GB2312"/>
                <w:sz w:val="22"/>
              </w:rPr>
              <w:t>mm</w:t>
            </w:r>
            <w:r>
              <w:rPr>
                <w:rFonts w:ascii="仿宋_GB2312" w:hAnsi="仿宋_GB2312" w:cs="仿宋_GB2312" w:eastAsia="仿宋_GB2312"/>
                <w:sz w:val="22"/>
              </w:rPr>
              <w:t>-4</w:t>
            </w:r>
            <w:r>
              <w:rPr>
                <w:rFonts w:ascii="仿宋_GB2312" w:hAnsi="仿宋_GB2312" w:cs="仿宋_GB2312" w:eastAsia="仿宋_GB2312"/>
                <w:sz w:val="22"/>
              </w:rPr>
              <w:t>mm</w:t>
            </w:r>
            <w:r>
              <w:rPr>
                <w:rFonts w:ascii="仿宋_GB2312" w:hAnsi="仿宋_GB2312" w:cs="仿宋_GB2312" w:eastAsia="仿宋_GB2312"/>
                <w:sz w:val="22"/>
              </w:rPr>
              <w:t>,每平方不少于8</w:t>
            </w:r>
            <w:r>
              <w:rPr>
                <w:rFonts w:ascii="仿宋_GB2312" w:hAnsi="仿宋_GB2312" w:cs="仿宋_GB2312" w:eastAsia="仿宋_GB2312"/>
                <w:sz w:val="22"/>
              </w:rPr>
              <w:t>KG</w:t>
            </w:r>
            <w:r>
              <w:rPr>
                <w:rFonts w:ascii="仿宋_GB2312" w:hAnsi="仿宋_GB2312" w:cs="仿宋_GB2312" w:eastAsia="仿宋_GB2312"/>
                <w:sz w:val="22"/>
              </w:rPr>
              <w:t>)。</w:t>
            </w:r>
          </w:p>
          <w:p>
            <w:pPr>
              <w:pStyle w:val="null3"/>
              <w:spacing w:before="60"/>
              <w:ind w:firstLine="674"/>
              <w:jc w:val="both"/>
            </w:pPr>
            <w:r>
              <w:rPr>
                <w:rFonts w:ascii="仿宋_GB2312" w:hAnsi="仿宋_GB2312" w:cs="仿宋_GB2312" w:eastAsia="仿宋_GB2312"/>
                <w:sz w:val="22"/>
                <w:b/>
              </w:rPr>
              <w:t>围网：</w:t>
            </w:r>
            <w:r>
              <w:rPr>
                <w:rFonts w:ascii="仿宋_GB2312" w:hAnsi="仿宋_GB2312" w:cs="仿宋_GB2312" w:eastAsia="仿宋_GB2312"/>
                <w:sz w:val="22"/>
              </w:rPr>
              <w:t>围网颜色为绿色，设置在边线、端线</w:t>
            </w:r>
            <w:r>
              <w:rPr>
                <w:rFonts w:ascii="仿宋_GB2312" w:hAnsi="仿宋_GB2312" w:cs="仿宋_GB2312" w:eastAsia="仿宋_GB2312"/>
                <w:sz w:val="22"/>
              </w:rPr>
              <w:t>1.</w:t>
            </w:r>
            <w:r>
              <w:rPr>
                <w:rFonts w:ascii="仿宋_GB2312" w:hAnsi="仿宋_GB2312" w:cs="仿宋_GB2312" w:eastAsia="仿宋_GB2312"/>
                <w:sz w:val="22"/>
              </w:rPr>
              <w:t>5米以外，高</w:t>
            </w:r>
            <w:r>
              <w:rPr>
                <w:rFonts w:ascii="仿宋_GB2312" w:hAnsi="仿宋_GB2312" w:cs="仿宋_GB2312" w:eastAsia="仿宋_GB2312"/>
                <w:sz w:val="22"/>
              </w:rPr>
              <w:t>度不小于</w:t>
            </w:r>
            <w:r>
              <w:rPr>
                <w:rFonts w:ascii="仿宋_GB2312" w:hAnsi="仿宋_GB2312" w:cs="仿宋_GB2312" w:eastAsia="仿宋_GB2312"/>
                <w:sz w:val="22"/>
              </w:rPr>
              <w:t>4.5米，风载荷标准值不小于0.35KN/平米。围网表面PVC</w:t>
            </w:r>
            <w:r>
              <w:rPr>
                <w:rFonts w:ascii="仿宋_GB2312" w:hAnsi="仿宋_GB2312" w:cs="仿宋_GB2312" w:eastAsia="仿宋_GB2312"/>
                <w:sz w:val="22"/>
              </w:rPr>
              <w:t>包塑，丝径</w:t>
            </w:r>
            <w:r>
              <w:rPr>
                <w:rFonts w:ascii="仿宋_GB2312" w:hAnsi="仿宋_GB2312" w:cs="仿宋_GB2312" w:eastAsia="仿宋_GB2312"/>
                <w:sz w:val="22"/>
              </w:rPr>
              <w:t>Ø4</w:t>
            </w:r>
            <w:r>
              <w:rPr>
                <w:rFonts w:ascii="仿宋_GB2312" w:hAnsi="仿宋_GB2312" w:cs="仿宋_GB2312" w:eastAsia="仿宋_GB2312"/>
                <w:sz w:val="22"/>
              </w:rPr>
              <w:t>mm</w:t>
            </w:r>
            <w:r>
              <w:rPr>
                <w:rFonts w:ascii="仿宋_GB2312" w:hAnsi="仿宋_GB2312" w:cs="仿宋_GB2312" w:eastAsia="仿宋_GB2312"/>
                <w:sz w:val="22"/>
              </w:rPr>
              <w:t>,网孔不大于50</w:t>
            </w:r>
            <w:r>
              <w:rPr>
                <w:rFonts w:ascii="仿宋_GB2312" w:hAnsi="仿宋_GB2312" w:cs="仿宋_GB2312" w:eastAsia="仿宋_GB2312"/>
                <w:sz w:val="22"/>
              </w:rPr>
              <w:t>mm</w:t>
            </w:r>
            <w:r>
              <w:rPr>
                <w:rFonts w:ascii="仿宋_GB2312" w:hAnsi="仿宋_GB2312" w:cs="仿宋_GB2312" w:eastAsia="仿宋_GB2312"/>
                <w:sz w:val="22"/>
              </w:rPr>
              <w:t>×50</w:t>
            </w:r>
            <w:r>
              <w:rPr>
                <w:rFonts w:ascii="仿宋_GB2312" w:hAnsi="仿宋_GB2312" w:cs="仿宋_GB2312" w:eastAsia="仿宋_GB2312"/>
                <w:sz w:val="22"/>
              </w:rPr>
              <w:t>mm</w:t>
            </w:r>
            <w:r>
              <w:rPr>
                <w:rFonts w:ascii="仿宋_GB2312" w:hAnsi="仿宋_GB2312" w:cs="仿宋_GB2312" w:eastAsia="仿宋_GB2312"/>
                <w:sz w:val="22"/>
              </w:rPr>
              <w:t>；</w:t>
            </w:r>
            <w:r>
              <w:rPr>
                <w:rFonts w:ascii="仿宋_GB2312" w:hAnsi="仿宋_GB2312" w:cs="仿宋_GB2312" w:eastAsia="仿宋_GB2312"/>
                <w:sz w:val="22"/>
              </w:rPr>
              <w:t>栅栏网片的</w:t>
            </w:r>
            <w:r>
              <w:rPr>
                <w:rFonts w:ascii="仿宋_GB2312" w:hAnsi="仿宋_GB2312" w:cs="仿宋_GB2312" w:eastAsia="仿宋_GB2312"/>
                <w:sz w:val="22"/>
              </w:rPr>
              <w:t>纵横连接件应采用不小于</w:t>
            </w:r>
            <w:r>
              <w:rPr>
                <w:rFonts w:ascii="仿宋_GB2312" w:hAnsi="仿宋_GB2312" w:cs="仿宋_GB2312" w:eastAsia="仿宋_GB2312"/>
                <w:sz w:val="22"/>
              </w:rPr>
              <w:t>φ</w:t>
            </w:r>
            <w:r>
              <w:rPr>
                <w:rFonts w:ascii="仿宋_GB2312" w:hAnsi="仿宋_GB2312" w:cs="仿宋_GB2312" w:eastAsia="仿宋_GB2312"/>
                <w:sz w:val="22"/>
              </w:rPr>
              <w:t>6</w:t>
            </w:r>
            <w:r>
              <w:rPr>
                <w:rFonts w:ascii="仿宋_GB2312" w:hAnsi="仿宋_GB2312" w:cs="仿宋_GB2312" w:eastAsia="仿宋_GB2312"/>
                <w:sz w:val="22"/>
              </w:rPr>
              <w:t>mm</w:t>
            </w:r>
            <w:r>
              <w:rPr>
                <w:rFonts w:ascii="仿宋_GB2312" w:hAnsi="仿宋_GB2312" w:cs="仿宋_GB2312" w:eastAsia="仿宋_GB2312"/>
                <w:sz w:val="22"/>
              </w:rPr>
              <w:t>的圆钢，栅栏网片圆钢间距小</w:t>
            </w:r>
            <w:r>
              <w:rPr>
                <w:rFonts w:ascii="仿宋_GB2312" w:hAnsi="仿宋_GB2312" w:cs="仿宋_GB2312" w:eastAsia="仿宋_GB2312"/>
                <w:sz w:val="22"/>
              </w:rPr>
              <w:t>于</w:t>
            </w:r>
            <w:r>
              <w:rPr>
                <w:rFonts w:ascii="仿宋_GB2312" w:hAnsi="仿宋_GB2312" w:cs="仿宋_GB2312" w:eastAsia="仿宋_GB2312"/>
                <w:sz w:val="22"/>
              </w:rPr>
              <w:t>70</w:t>
            </w:r>
            <w:r>
              <w:rPr>
                <w:rFonts w:ascii="仿宋_GB2312" w:hAnsi="仿宋_GB2312" w:cs="仿宋_GB2312" w:eastAsia="仿宋_GB2312"/>
                <w:sz w:val="22"/>
              </w:rPr>
              <w:t>mm</w:t>
            </w:r>
            <w:r>
              <w:rPr>
                <w:rFonts w:ascii="仿宋_GB2312" w:hAnsi="仿宋_GB2312" w:cs="仿宋_GB2312" w:eastAsia="仿宋_GB2312"/>
                <w:sz w:val="22"/>
              </w:rPr>
              <w:t>,连接结构稳定；围网主立柱采用直径不小于76</w:t>
            </w:r>
            <w:r>
              <w:rPr>
                <w:rFonts w:ascii="仿宋_GB2312" w:hAnsi="仿宋_GB2312" w:cs="仿宋_GB2312" w:eastAsia="仿宋_GB2312"/>
                <w:sz w:val="22"/>
              </w:rPr>
              <w:t>mm</w:t>
            </w:r>
            <w:r>
              <w:rPr>
                <w:rFonts w:ascii="仿宋_GB2312" w:hAnsi="仿宋_GB2312" w:cs="仿宋_GB2312" w:eastAsia="仿宋_GB2312"/>
                <w:sz w:val="22"/>
              </w:rPr>
              <w:t>×</w:t>
            </w:r>
            <w:r>
              <w:rPr>
                <w:rFonts w:ascii="仿宋_GB2312" w:hAnsi="仿宋_GB2312" w:cs="仿宋_GB2312" w:eastAsia="仿宋_GB2312"/>
                <w:sz w:val="22"/>
              </w:rPr>
              <w:t>3mm或等强度管材，间距不大于3米，并采用软质保护套包裹。</w:t>
            </w:r>
            <w:r>
              <w:rPr>
                <w:rFonts w:ascii="仿宋_GB2312" w:hAnsi="仿宋_GB2312" w:cs="仿宋_GB2312" w:eastAsia="仿宋_GB2312"/>
                <w:sz w:val="22"/>
              </w:rPr>
              <w:t>立柱埋入地下的深度应不小于</w:t>
            </w:r>
            <w:r>
              <w:rPr>
                <w:rFonts w:ascii="仿宋_GB2312" w:hAnsi="仿宋_GB2312" w:cs="仿宋_GB2312" w:eastAsia="仿宋_GB2312"/>
                <w:sz w:val="22"/>
              </w:rPr>
              <w:t>400</w:t>
            </w:r>
            <w:r>
              <w:rPr>
                <w:rFonts w:ascii="仿宋_GB2312" w:hAnsi="仿宋_GB2312" w:cs="仿宋_GB2312" w:eastAsia="仿宋_GB2312"/>
                <w:sz w:val="22"/>
              </w:rPr>
              <w:t>mm</w:t>
            </w:r>
            <w:r>
              <w:rPr>
                <w:rFonts w:ascii="仿宋_GB2312" w:hAnsi="仿宋_GB2312" w:cs="仿宋_GB2312" w:eastAsia="仿宋_GB2312"/>
                <w:sz w:val="22"/>
              </w:rPr>
              <w:t>(特殊地</w:t>
            </w:r>
            <w:r>
              <w:rPr>
                <w:rFonts w:ascii="仿宋_GB2312" w:hAnsi="仿宋_GB2312" w:cs="仿宋_GB2312" w:eastAsia="仿宋_GB2312"/>
                <w:sz w:val="22"/>
              </w:rPr>
              <w:t>层具体分析</w:t>
            </w:r>
            <w:r>
              <w:rPr>
                <w:rFonts w:ascii="仿宋_GB2312" w:hAnsi="仿宋_GB2312" w:cs="仿宋_GB2312" w:eastAsia="仿宋_GB2312"/>
                <w:sz w:val="22"/>
              </w:rPr>
              <w:t>)</w:t>
            </w:r>
            <w:r>
              <w:rPr>
                <w:rFonts w:ascii="仿宋_GB2312" w:hAnsi="仿宋_GB2312" w:cs="仿宋_GB2312" w:eastAsia="仿宋_GB2312"/>
                <w:sz w:val="22"/>
              </w:rPr>
              <w:t>；</w:t>
            </w:r>
            <w:r>
              <w:rPr>
                <w:rFonts w:ascii="仿宋_GB2312" w:hAnsi="仿宋_GB2312" w:cs="仿宋_GB2312" w:eastAsia="仿宋_GB2312"/>
                <w:sz w:val="22"/>
              </w:rPr>
              <w:t>设置网门</w:t>
            </w:r>
            <w:r>
              <w:rPr>
                <w:rFonts w:ascii="仿宋_GB2312" w:hAnsi="仿宋_GB2312" w:cs="仿宋_GB2312" w:eastAsia="仿宋_GB2312"/>
                <w:sz w:val="22"/>
              </w:rPr>
              <w:t>2个，网门≥1.0米。在每个网门周边</w:t>
            </w:r>
            <w:r>
              <w:rPr>
                <w:rFonts w:ascii="仿宋_GB2312" w:hAnsi="仿宋_GB2312" w:cs="仿宋_GB2312" w:eastAsia="仿宋_GB2312"/>
                <w:sz w:val="22"/>
              </w:rPr>
              <w:t>明显位置悬挂标</w:t>
            </w:r>
            <w:r>
              <w:rPr>
                <w:rFonts w:ascii="仿宋_GB2312" w:hAnsi="仿宋_GB2312" w:cs="仿宋_GB2312" w:eastAsia="仿宋_GB2312"/>
                <w:sz w:val="22"/>
              </w:rPr>
              <w:t>识牌，尺寸为</w:t>
            </w:r>
            <w:r>
              <w:rPr>
                <w:rFonts w:ascii="仿宋_GB2312" w:hAnsi="仿宋_GB2312" w:cs="仿宋_GB2312" w:eastAsia="仿宋_GB2312"/>
                <w:sz w:val="22"/>
              </w:rPr>
              <w:t>80</w:t>
            </w:r>
            <w:r>
              <w:rPr>
                <w:rFonts w:ascii="仿宋_GB2312" w:hAnsi="仿宋_GB2312" w:cs="仿宋_GB2312" w:eastAsia="仿宋_GB2312"/>
                <w:sz w:val="22"/>
              </w:rPr>
              <w:t>cm</w:t>
            </w:r>
            <w:r>
              <w:rPr>
                <w:rFonts w:ascii="仿宋_GB2312" w:hAnsi="仿宋_GB2312" w:cs="仿宋_GB2312" w:eastAsia="仿宋_GB2312"/>
                <w:sz w:val="22"/>
              </w:rPr>
              <w:t>×60</w:t>
            </w:r>
            <w:r>
              <w:rPr>
                <w:rFonts w:ascii="仿宋_GB2312" w:hAnsi="仿宋_GB2312" w:cs="仿宋_GB2312" w:eastAsia="仿宋_GB2312"/>
                <w:sz w:val="22"/>
              </w:rPr>
              <w:t>cn</w:t>
            </w:r>
            <w:r>
              <w:rPr>
                <w:rFonts w:ascii="仿宋_GB2312" w:hAnsi="仿宋_GB2312" w:cs="仿宋_GB2312" w:eastAsia="仿宋_GB2312"/>
                <w:sz w:val="22"/>
              </w:rPr>
              <w:t>,标牌内容另行确定；易接触的管材</w:t>
            </w:r>
            <w:r>
              <w:rPr>
                <w:rFonts w:ascii="仿宋_GB2312" w:hAnsi="仿宋_GB2312" w:cs="仿宋_GB2312" w:eastAsia="仿宋_GB2312"/>
                <w:sz w:val="22"/>
              </w:rPr>
              <w:t>末端无锐角，螺钉、螺母等紧固件需做防锈、防松处理。</w:t>
            </w:r>
          </w:p>
          <w:p>
            <w:pPr>
              <w:pStyle w:val="null3"/>
              <w:spacing w:before="30"/>
              <w:ind w:left="675"/>
              <w:jc w:val="both"/>
            </w:pPr>
            <w:r>
              <w:rPr>
                <w:rFonts w:ascii="仿宋_GB2312" w:hAnsi="仿宋_GB2312" w:cs="仿宋_GB2312" w:eastAsia="仿宋_GB2312"/>
                <w:sz w:val="22"/>
                <w:b/>
              </w:rPr>
              <w:t>顶</w:t>
            </w:r>
            <w:r>
              <w:rPr>
                <w:rFonts w:ascii="仿宋_GB2312" w:hAnsi="仿宋_GB2312" w:cs="仿宋_GB2312" w:eastAsia="仿宋_GB2312"/>
                <w:sz w:val="22"/>
                <w:b/>
              </w:rPr>
              <w:t>网：</w:t>
            </w:r>
            <w:r>
              <w:rPr>
                <w:rFonts w:ascii="仿宋_GB2312" w:hAnsi="仿宋_GB2312" w:cs="仿宋_GB2312" w:eastAsia="仿宋_GB2312"/>
                <w:sz w:val="22"/>
              </w:rPr>
              <w:t>顶</w:t>
            </w:r>
            <w:r>
              <w:rPr>
                <w:rFonts w:ascii="仿宋_GB2312" w:hAnsi="仿宋_GB2312" w:cs="仿宋_GB2312" w:eastAsia="仿宋_GB2312"/>
                <w:sz w:val="22"/>
              </w:rPr>
              <w:t>网为绿色尼龙网，聚乙烯材质，股数</w:t>
            </w:r>
            <w:r>
              <w:rPr>
                <w:rFonts w:ascii="仿宋_GB2312" w:hAnsi="仿宋_GB2312" w:cs="仿宋_GB2312" w:eastAsia="仿宋_GB2312"/>
                <w:sz w:val="22"/>
              </w:rPr>
              <w:t>30股。</w:t>
            </w:r>
          </w:p>
          <w:p>
            <w:pPr>
              <w:pStyle w:val="null3"/>
              <w:spacing w:before="60"/>
              <w:ind w:firstLine="674"/>
              <w:jc w:val="both"/>
            </w:pPr>
            <w:r>
              <w:rPr>
                <w:rFonts w:ascii="仿宋_GB2312" w:hAnsi="仿宋_GB2312" w:cs="仿宋_GB2312" w:eastAsia="仿宋_GB2312"/>
                <w:sz w:val="22"/>
                <w:b/>
              </w:rPr>
              <w:t>球门：</w:t>
            </w:r>
            <w:r>
              <w:rPr>
                <w:rFonts w:ascii="仿宋_GB2312" w:hAnsi="仿宋_GB2312" w:cs="仿宋_GB2312" w:eastAsia="仿宋_GB2312"/>
                <w:sz w:val="22"/>
              </w:rPr>
              <w:t>采用</w:t>
            </w:r>
            <w:r>
              <w:rPr>
                <w:rFonts w:ascii="仿宋_GB2312" w:hAnsi="仿宋_GB2312" w:cs="仿宋_GB2312" w:eastAsia="仿宋_GB2312"/>
                <w:sz w:val="22"/>
              </w:rPr>
              <w:t>5人制足球比赛专用、可移动矩形足球门(3号足球门),球门内口规格按宽×高×底深表示为：3000mm×2000mm×1500mm</w:t>
            </w:r>
            <w:r>
              <w:rPr>
                <w:rFonts w:ascii="仿宋_GB2312" w:hAnsi="仿宋_GB2312" w:cs="仿宋_GB2312" w:eastAsia="仿宋_GB2312"/>
                <w:sz w:val="22"/>
              </w:rPr>
              <w:t>；</w:t>
            </w:r>
            <w:r>
              <w:rPr>
                <w:rFonts w:ascii="仿宋_GB2312" w:hAnsi="仿宋_GB2312" w:cs="仿宋_GB2312" w:eastAsia="仿宋_GB2312"/>
                <w:sz w:val="22"/>
              </w:rPr>
              <w:t>球门立杆和横梁采用直径不小于</w:t>
            </w:r>
            <w:r>
              <w:rPr>
                <w:rFonts w:ascii="仿宋_GB2312" w:hAnsi="仿宋_GB2312" w:cs="仿宋_GB2312" w:eastAsia="仿宋_GB2312"/>
                <w:sz w:val="22"/>
              </w:rPr>
              <w:t>76mm×3mm或等强度管材，球门横梁能承受2700N的静负荷；球门组装完成后，立杆与地面、横梁夹角均为90度，连接件周边处理圆滑，无棱角，表面静电喷涂；配置球网1套。</w:t>
            </w:r>
          </w:p>
          <w:p>
            <w:pPr>
              <w:pStyle w:val="null3"/>
              <w:spacing w:before="60"/>
              <w:ind w:firstLine="674"/>
              <w:jc w:val="both"/>
            </w:pPr>
            <w:r>
              <w:rPr>
                <w:rFonts w:ascii="仿宋_GB2312" w:hAnsi="仿宋_GB2312" w:cs="仿宋_GB2312" w:eastAsia="仿宋_GB2312"/>
                <w:sz w:val="22"/>
                <w:b/>
              </w:rPr>
              <w:t>灯光：</w:t>
            </w:r>
            <w:r>
              <w:rPr>
                <w:rFonts w:ascii="仿宋_GB2312" w:hAnsi="仿宋_GB2312" w:cs="仿宋_GB2312" w:eastAsia="仿宋_GB2312"/>
                <w:sz w:val="22"/>
              </w:rPr>
              <w:t>采用太阳能灯光，灯杆应设置在边线、端线</w:t>
            </w:r>
            <w:r>
              <w:rPr>
                <w:rFonts w:ascii="仿宋_GB2312" w:hAnsi="仿宋_GB2312" w:cs="仿宋_GB2312" w:eastAsia="仿宋_GB2312"/>
                <w:sz w:val="22"/>
              </w:rPr>
              <w:t>1.5米以外，或利用球场边围网立柱架设灯具6组；灯杆高度不低于6米，场地照度不低于150勒克斯。</w:t>
            </w:r>
          </w:p>
          <w:p>
            <w:pPr>
              <w:pStyle w:val="null3"/>
              <w:ind w:right="480" w:firstLine="681"/>
              <w:jc w:val="both"/>
            </w:pPr>
            <w:r>
              <w:rPr>
                <w:rFonts w:ascii="仿宋_GB2312" w:hAnsi="仿宋_GB2312" w:cs="仿宋_GB2312" w:eastAsia="仿宋_GB2312"/>
                <w:sz w:val="22"/>
                <w:b/>
              </w:rPr>
              <w:t>场地画线：</w:t>
            </w:r>
            <w:r>
              <w:rPr>
                <w:rFonts w:ascii="仿宋_GB2312" w:hAnsi="仿宋_GB2312" w:cs="仿宋_GB2312" w:eastAsia="仿宋_GB2312"/>
                <w:sz w:val="22"/>
              </w:rPr>
              <w:t>采用白色人造草勾勒</w:t>
            </w:r>
            <w:r>
              <w:rPr>
                <w:rFonts w:ascii="仿宋_GB2312" w:hAnsi="仿宋_GB2312" w:cs="仿宋_GB2312" w:eastAsia="仿宋_GB2312"/>
                <w:sz w:val="22"/>
              </w:rPr>
              <w:t>而成，不得用油漆等涂料喷画。界线一律为</w:t>
            </w:r>
            <w:r>
              <w:rPr>
                <w:rFonts w:ascii="仿宋_GB2312" w:hAnsi="仿宋_GB2312" w:cs="仿宋_GB2312" w:eastAsia="仿宋_GB2312"/>
                <w:sz w:val="22"/>
              </w:rPr>
              <w:t>8厘米。场地划线详细规格详见下图。</w:t>
            </w:r>
          </w:p>
          <w:p>
            <w:pPr>
              <w:pStyle w:val="null3"/>
              <w:jc w:val="both"/>
            </w:pPr>
            <w:r>
              <w:drawing>
                <wp:inline distT="0" distR="0" distB="0" distL="0">
                  <wp:extent cx="1621155" cy="968596"/>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968596"/>
                          </a:xfrm>
                          <a:prstGeom prst="rect">
                            <a:avLst/>
                          </a:prstGeom>
                        </pic:spPr>
                      </pic:pic>
                    </a:graphicData>
                  </a:graphic>
                </wp:inline>
              </w:drawing>
            </w:r>
          </w:p>
          <w:p>
            <w:pPr>
              <w:pStyle w:val="null3"/>
              <w:spacing w:before="105"/>
              <w:ind w:left="675"/>
              <w:jc w:val="both"/>
            </w:pPr>
            <w:r>
              <w:rPr>
                <w:rFonts w:ascii="仿宋_GB2312" w:hAnsi="仿宋_GB2312" w:cs="仿宋_GB2312" w:eastAsia="仿宋_GB2312"/>
                <w:sz w:val="22"/>
                <w:b/>
              </w:rPr>
              <w:t>2.各组成部分。</w:t>
            </w:r>
          </w:p>
          <w:tbl>
            <w:tblPr>
              <w:tblBorders>
                <w:top w:val="none" w:color="000000" w:sz="4"/>
                <w:left w:val="none" w:color="000000" w:sz="4"/>
                <w:bottom w:val="none" w:color="000000" w:sz="4"/>
                <w:right w:val="none" w:color="000000" w:sz="4"/>
                <w:insideH w:val="none"/>
                <w:insideV w:val="none"/>
              </w:tblBorders>
            </w:tblPr>
            <w:tblGrid>
              <w:gridCol w:w="725"/>
              <w:gridCol w:w="426"/>
              <w:gridCol w:w="584"/>
              <w:gridCol w:w="812"/>
            </w:tblGrid>
            <w:tr>
              <w:tc>
                <w:tcPr>
                  <w:tcW w:type="dxa" w:w="7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85"/>
                    <w:jc w:val="center"/>
                  </w:pPr>
                  <w:r>
                    <w:rPr>
                      <w:rFonts w:ascii="仿宋_GB2312" w:hAnsi="仿宋_GB2312" w:cs="仿宋_GB2312" w:eastAsia="仿宋_GB2312"/>
                      <w:sz w:val="22"/>
                      <w:b/>
                    </w:rPr>
                    <w:t>项目</w:t>
                  </w:r>
                </w:p>
              </w:tc>
              <w:tc>
                <w:tcPr>
                  <w:tcW w:type="dxa" w:w="4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2"/>
                      <w:b/>
                    </w:rPr>
                    <w:t>单位</w:t>
                  </w:r>
                </w:p>
              </w:tc>
              <w:tc>
                <w:tcPr>
                  <w:tcW w:type="dxa" w:w="58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2"/>
                      <w:b/>
                    </w:rPr>
                    <w:t>数量</w:t>
                  </w:r>
                </w:p>
              </w:tc>
              <w:tc>
                <w:tcPr>
                  <w:tcW w:type="dxa" w:w="8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2"/>
                      <w:b/>
                    </w:rPr>
                    <w:t>备注</w:t>
                  </w:r>
                </w:p>
              </w:tc>
            </w:tr>
            <w:tr>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2"/>
                    </w:rPr>
                    <w:t>围网</w:t>
                  </w:r>
                </w:p>
              </w:tc>
              <w:tc>
                <w:tcPr>
                  <w:tcW w:type="dxa" w:w="4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m²</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414</w:t>
                  </w:r>
                </w:p>
              </w:tc>
              <w:tc>
                <w:tcPr>
                  <w:tcW w:type="dxa" w:w="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2"/>
                    </w:rPr>
                    <w:t>(28+18)×2×4.5</w:t>
                  </w:r>
                </w:p>
              </w:tc>
            </w:tr>
            <w:tr>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2"/>
                    </w:rPr>
                    <w:t>人造草</w:t>
                  </w:r>
                  <w:r>
                    <w:rPr>
                      <w:rFonts w:ascii="仿宋_GB2312" w:hAnsi="仿宋_GB2312" w:cs="仿宋_GB2312" w:eastAsia="仿宋_GB2312"/>
                      <w:sz w:val="22"/>
                    </w:rPr>
                    <w:t>(含划线)</w:t>
                  </w:r>
                </w:p>
              </w:tc>
              <w:tc>
                <w:tcPr>
                  <w:tcW w:type="dxa" w:w="4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m²</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504</w:t>
                  </w:r>
                </w:p>
              </w:tc>
              <w:tc>
                <w:tcPr>
                  <w:tcW w:type="dxa" w:w="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28×18</w:t>
                  </w:r>
                </w:p>
              </w:tc>
            </w:tr>
            <w:tr>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2"/>
                    </w:rPr>
                    <w:t>顶</w:t>
                  </w:r>
                  <w:r>
                    <w:rPr>
                      <w:rFonts w:ascii="仿宋_GB2312" w:hAnsi="仿宋_GB2312" w:cs="仿宋_GB2312" w:eastAsia="仿宋_GB2312"/>
                      <w:sz w:val="22"/>
                    </w:rPr>
                    <w:t>网</w:t>
                  </w:r>
                </w:p>
              </w:tc>
              <w:tc>
                <w:tcPr>
                  <w:tcW w:type="dxa" w:w="4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m²</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504</w:t>
                  </w:r>
                </w:p>
              </w:tc>
              <w:tc>
                <w:tcPr>
                  <w:tcW w:type="dxa" w:w="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2"/>
                    </w:rPr>
                    <w:t>28×18</w:t>
                  </w:r>
                </w:p>
              </w:tc>
            </w:tr>
            <w:tr>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rFonts w:ascii="仿宋_GB2312" w:hAnsi="仿宋_GB2312" w:cs="仿宋_GB2312" w:eastAsia="仿宋_GB2312"/>
                      <w:sz w:val="22"/>
                    </w:rPr>
                    <w:t>太阳能灯光</w:t>
                  </w:r>
                </w:p>
              </w:tc>
              <w:tc>
                <w:tcPr>
                  <w:tcW w:type="dxa" w:w="4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2"/>
                    </w:rPr>
                    <w:t>组</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2"/>
                    </w:rPr>
                    <w:t>6</w:t>
                  </w:r>
                </w:p>
              </w:tc>
              <w:tc>
                <w:tcPr>
                  <w:tcW w:type="dxa" w:w="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7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球门</w:t>
                  </w:r>
                  <w:r>
                    <w:rPr>
                      <w:rFonts w:ascii="仿宋_GB2312" w:hAnsi="仿宋_GB2312" w:cs="仿宋_GB2312" w:eastAsia="仿宋_GB2312"/>
                      <w:sz w:val="22"/>
                    </w:rPr>
                    <w:t>(含球网)</w:t>
                  </w:r>
                </w:p>
              </w:tc>
              <w:tc>
                <w:tcPr>
                  <w:tcW w:type="dxa" w:w="4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2"/>
                    </w:rPr>
                    <w:t>个</w:t>
                  </w:r>
                </w:p>
              </w:tc>
              <w:tc>
                <w:tcPr>
                  <w:tcW w:type="dxa" w:w="58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2"/>
                    </w:rPr>
                    <w:t>2</w:t>
                  </w:r>
                </w:p>
              </w:tc>
              <w:tc>
                <w:tcPr>
                  <w:tcW w:type="dxa" w:w="8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both"/>
            </w:pPr>
            <w:r>
              <w:rPr>
                <w:rFonts w:ascii="仿宋_GB2312" w:hAnsi="仿宋_GB2312" w:cs="仿宋_GB2312" w:eastAsia="仿宋_GB2312"/>
                <w:sz w:val="22"/>
                <w:b/>
              </w:rPr>
              <w:t>3.要</w:t>
            </w:r>
            <w:r>
              <w:rPr>
                <w:rFonts w:ascii="仿宋_GB2312" w:hAnsi="仿宋_GB2312" w:cs="仿宋_GB2312" w:eastAsia="仿宋_GB2312"/>
                <w:sz w:val="21"/>
              </w:rPr>
              <w:t xml:space="preserve"> </w:t>
            </w:r>
            <w:r>
              <w:rPr>
                <w:rFonts w:ascii="仿宋_GB2312" w:hAnsi="仿宋_GB2312" w:cs="仿宋_GB2312" w:eastAsia="仿宋_GB2312"/>
                <w:sz w:val="22"/>
                <w:b/>
              </w:rPr>
              <w:t>求</w:t>
            </w:r>
            <w:r>
              <w:rPr>
                <w:rFonts w:ascii="仿宋_GB2312" w:hAnsi="仿宋_GB2312" w:cs="仿宋_GB2312" w:eastAsia="仿宋_GB2312"/>
                <w:sz w:val="21"/>
              </w:rPr>
              <w:t xml:space="preserve"> </w:t>
            </w:r>
            <w:r>
              <w:rPr>
                <w:rFonts w:ascii="仿宋_GB2312" w:hAnsi="仿宋_GB2312" w:cs="仿宋_GB2312" w:eastAsia="仿宋_GB2312"/>
                <w:sz w:val="22"/>
                <w:b/>
              </w:rPr>
              <w:t>。</w:t>
            </w:r>
          </w:p>
          <w:p>
            <w:pPr>
              <w:pStyle w:val="null3"/>
              <w:jc w:val="both"/>
            </w:pPr>
            <w:r>
              <w:rPr>
                <w:rFonts w:ascii="仿宋_GB2312" w:hAnsi="仿宋_GB2312" w:cs="仿宋_GB2312" w:eastAsia="仿宋_GB2312"/>
                <w:sz w:val="22"/>
                <w:color w:val="000000"/>
              </w:rPr>
              <w:t>器材设施符合笼式场地</w:t>
            </w:r>
            <w:r>
              <w:rPr>
                <w:rFonts w:ascii="仿宋_GB2312" w:hAnsi="仿宋_GB2312" w:cs="仿宋_GB2312" w:eastAsia="仿宋_GB2312"/>
                <w:sz w:val="22"/>
                <w:color w:val="000000"/>
              </w:rPr>
              <w:t>NSCC认证。质保期不少于8年。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自合同签订之日起25日历天内安装调试完成。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合同签定后，所有设备运到现场，安装调试完成，系统运行正常，经验收合格后，由甲方向财政部门申请专项资金，办理完相关财政支付手续后 </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（1）验收标准：按照标准和招标要求进行验收。（2）验收方法：供应商完成所有设备安装调试后由采购人组织相关人员对项目进行整体验收（即终验收）。（3）验收内容 ①准备验收工具（测量用卷尺、电子秤等、检测设备压力表、硬度计等）以及安全防护用品等。 ②首先检查包装是否破损、无污染，防潮/防震措施是否到位，运输中是否有损坏或损伤。 ③检查标识与标签，确认产品铭牌（生产厂家、生产日期、合格证、安全警示标志等）是否齐全、规范、详细、清晰，是否符合执行标准和招标要求。 ④验收人员对照合同确认器材的品牌、型号、规格、数量、材质、配件等是否一致。 ⑤核查技术文件：检查图纸、合格证、技术说明书、保修卡等是否齐全等。 ⑥对表面质量进行验收，检查表面是否有划痕、裂缝、锈蚀、变形、涂层脱落等缺陷。 ⑦金属部件所有棱角需倒圆处理，无尖锐边缘、无毛刺，焊接处光滑牢固。 ⑧检查金属部件是否采用防锈材料（如不锈钢、镀锌钢）；橡胶/塑料部件需无刺鼻异味，避免劣质材料。⑨对器材关键部位尺寸进行测量验证，确定是否符合GB19272-2011《室外健身器材的安全通用要求》。 ⑩检查器材在使用过程中是否稳定，受外力撞击时不易倒塌、松动等。稳定性测试:器材安装后是否平稳，有无晃动。安全性测试:必要时对承重类器材(如双杠、篮球架)进行72小时负载测试，检查是否变形或开裂。使用功能测试:测试可动部件是否灵活无卡顿;电子设备(如心率监测、计时器)功能是否正常。(4)验收记录与问题处理 ①填写验收单。②记录验收结果，双方签字确认。发现问题需拍照留存，并注明拒收或返工条款。③轻微瑕疵:要求供应商免费更换或维修。④重大缺陷(如材质、结构、尺寸等安全隐患):整批退货，费用由供应商承担并追究违约责任。(5)其他问题双方在合同中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1.质保期：自项目终验收合格之日起8年。 2.保修范围： ①材料质量问题：如断裂、变形、腐蚀等（如钢材开裂、塑料件老化等）。 ②制造工艺/生产环节：如焊接缺陷、螺丝松动、涂层脱落等原因导致的故障。 ③结构损坏：非人为因素导致的器材主体结构损坏（如支架断裂、轴承失效等）。 ④安装不当：未按说明书安装或由非专业人员安装导致的故障。 ⑤维护维修不当：非专业维修维护不当造成的损坏或故障。 ⑥劣质配件：使用非合格配件造成的损坏等。 ⑦其他因器材本身质量造成的损坏等。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服务不符合招标文件、投标文件或本合同规定，或乙方怠于履行合同，经催告后，仍未严格按照合同履行相关服务内容，甲方有权解除合同，已支付的服务费乙方应如数退回，未支付的服务费不再支付，并且乙方须向甲方支付本合同总价10%的违约金。 2、乙方提交的书面报告等编制成果不符合合同约定标准，导致甲方遭受的一切损失，均由乙方承担，乙方应退回服务费。 3、乙方未能按本合同规定的服务时间提供服务，从逾期之日起每日按本合同总价0.3%的数额向甲方支付违约金；逾期半个月以上的，甲方有权解除合同，已支付的服务费乙方应如数退回，未支付的服务费不再支付，由此造成的甲方经济损失由乙方承担。 4、乙方工作人员在履行合同过程中发生的人身伤亡等，与甲方无关，由乙方自行承担。 5、乙方在履行合同过程中产生的民事、行政及刑事责任，与甲方无关，由乙方自行承担。 6、其它违约责任按《中华人民共和国民法典》处理。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（一）供货要求 1.供应商应具有完善供货计划，质量控制措施，安全防范措施等。 2.供应商能按采购方要求的时间和数量及时供货。 （二）产品要求 1.所供产品要有合法来源渠道，提供的货物必须是全新的、证件齐全的正品货物，并保证使用方在资源使用期间不受第三方提出侵犯其专利权、商标权和设计权等类似的起诉。 2.所提供的体育器材需符合国家标准和行业规范。室外健身器材需符合GB19272-2011《室外健身器材的安全通用要求》及相关现行标准、规范，须提供国家认可的机构出具的相关佐证。 3.产品设计应符合人体运动学规律，具有安全性、可操作性、舒适性、适应性和耐用性。满足器材安全使用寿命不少于8年。 4.产品应具备良好的质量和性能，材料、生产工艺等需符合要求，拒绝劣质和不符合要求的材质，禁止以次充好。使用的材料应防腐、防燃；表面无有害物质；不应有潜在危险；各部件应防松、防锈、防盗。 5.产品标志：应含生产厂家型号或标记（LOGO）、安装日期、安全使用寿命、生产日期、合格证、安全警示标志、使用二维码，大管家二维码、告示牌有西安体育彩票捐赠标识、联系电话等。 6.应明确器材安装的固定方式，严禁用膨胀螺栓地面固定，埋入地下深度满足相应器材要求。 7.对投标产品进行投保，交货时应提供投保证明（产品质量险或公共责任险或第三者责任险等）。 （三）安装调试 1. 安装团队由专业小组组成，具备3年以上相关工作经验。安装人员需持证上岗。 2.制定科学合理的安装方案，勘察安装场地，确定安装位置。 3. 安装前对场地进行平整和基础处理，清除杂物，准备施工材料。 4. 器材组装由专业人员完成，确保器材的安全性。 5. 使用专业工具调整器材，确保稳固性和功能性。 6. 安装结束后，清理施工现场，恢复场地。 7. 清除器材表面水泥、污物，保持器材清洁无污物。 8. 做好对使用人员的培训和教育工作。 9. 提供器材 施工图纸、安装说明和使用手册。 （四）售后服务要求 1.供应商应具备完善的售后服务体系，能提供及时的安装、调试服务，能提供售后服务机构证明或本地化服务承诺，提供技术服务支持。 2.在质保期内免费定期（日、月、年）对设备进行维护，检 查、巡查、清洁维护等。对易损件的老化、断裂、磨损、损坏、疲劳、涂层脱落、松动、弯曲等问题进行常态化巡查并做好风险判定,若产品在保质期内出现质量问题，供应商应免费更换或退货，严重者承担一切后果。 3.有快速及时的响应机制，接到故 障反馈后，能在2小时内维护维修响应，4小时内到达现场并解决问题等。 4.做好问题反馈记录，做好维护台账管理，并跟踪处理进度。 5.履约期间留存影像资料，以供后期骏工验收使用。 6.建立专业售后团队、完善信息反馈机制，提升客户满意度。 7. 定期回访客户，收集意见反馈，优化产品。 8.交货后发现质量问题时退换货的承诺及流程。 （五）其他说明 1.评标小组：（1）依法从省财政厅专家库中随机抽取相关专业的专家4名，与1名采购人代表组成5人评标小组。 （2）评标小组推荐一名专 家担任组长，负责项目评审工作。 2.本项目所属行业：工业。 2.划型标准：①从业人员≥1000人，营业收入≥40000万元，为大型企业；②300人≤从业人员＜1000人，且2000万元≤营业收入＜40000万元，为中型企业；③20人≤从业人员＜300人， 且300万元≤营业收入＜2000万元，为小型企业；④从业人员＜20人，或营业收入＜300万元，为微型企业。 3.线上文件编制：供应商以中文编制文件（附有外文资料的，应提供对应的中文翻译附在外文资料后面，否则视为无效资料。中外文出现差 异和矛盾时，以中文为准）。编制投标文件时应首先按招标文件给定的目录、顺序、内容及格式等进行编制，其次供应商可根据其投标实际情况，在招标文件给定的目录下增设多级子目录或其他新目录，内容对应准确，页码清晰，否则自行承担由此带 来的不利后果。 4.线下纸质文件备案：评标结束后3个工作日内，中标供应商应提供纸质投标文件（资质、商务、技术编制胶装成一册）三本，送至代理机构存档备案。线下纸质版文件应与线上电子文件内容及格式保持一致。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法人、其他组织或自然人；（企业法人应提供统一社会信用代码的营业执照；事业单位法人应提供统一社会信用代码的事业单位法人证；其他组织提供合法证明文件；自然人提供身份证明文件。） （2）财务状况报告：提供具有财务审计资质单位出具的上一年度财务报告（成立时间至磋商截止时间不足一年的可提供成立后任意时段的资产负债表）或磋商截止时间前六个月内其基本账户银行出具的资信证明或政府采购信用担保机构出具的磋商担保函； （3）税收缴纳证明：提供递交响应文件截止之日前一年内任意一个月的依法缴纳税收的相关凭据（时间以税款所属日期为准、税种须同时包含增值税和企业所得税），凭据应有税务机关或代收机关的公章或业务专用章。依法免税或无须缴纳税收的供应商，应提供相应证明文件； （4）社会保障资金缴纳证明：提供递交响应文件截止之日前一年内任意一个月的社会保障资金缴存单据或社保机构开具的社会保险参保缴费情况证明。依法不需要缴纳社会保障资金的供应商应提供相关证明文件；（5）提供具有履行本合同所必需的设备和专业技术能力的说明及承诺；（6）参加本次政府采购活动前三年内在经营活动中没有重大违纪，以及未被列入失信被执行人、重大税收违法失信主体、政府采购严重违法失信行为记录名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投标文件格式9.4.pdf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上一年度财务报告（成立时间至磋商截止时间不足一年的可提供成立后任意时段的资产负债表）或磋商截止时间前六个月内其基本账户银行出具的资信证明或政府采购信用担保机构出具的磋商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投标文件格式9.4.pdf</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法定代表人（主要负责人）委托授权书/法定代表人（主要负责人）身份证明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信用记录截图</w:t>
            </w:r>
          </w:p>
        </w:tc>
        <w:tc>
          <w:tcPr>
            <w:tcW w:type="dxa" w:w="3322"/>
          </w:tcPr>
          <w:p>
            <w:pPr>
              <w:pStyle w:val="null3"/>
            </w:pPr>
            <w:r>
              <w:rPr>
                <w:rFonts w:ascii="仿宋_GB2312" w:hAnsi="仿宋_GB2312" w:cs="仿宋_GB2312" w:eastAsia="仿宋_GB2312"/>
              </w:rPr>
              <w:t>供应商不得为“信用中国”网站（www.creditchina.gov.cn）中列入“失信被执行人（中国执行 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为本项目提供过整体设计、规范编制或者项目管理等服务的供应商，不得再参加本项目采购活动。</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本项目不接受联合体投标，不允许分包。</w:t>
            </w:r>
          </w:p>
        </w:tc>
        <w:tc>
          <w:tcPr>
            <w:tcW w:type="dxa" w:w="1661"/>
          </w:tcPr>
          <w:p>
            <w:pPr>
              <w:pStyle w:val="null3"/>
            </w:pPr>
            <w:r>
              <w:rPr>
                <w:rFonts w:ascii="仿宋_GB2312" w:hAnsi="仿宋_GB2312" w:cs="仿宋_GB2312" w:eastAsia="仿宋_GB2312"/>
              </w:rPr>
              <w:t>投标文件格式9.4.pdf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投标文件格式9.4.pdf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投标文件格式9.4.pdf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投标总报价唯一且未超过预算。</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自合同签订之日起25日历天内安装调试完成。</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自项目终验收合格之日起8年。</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投标截止之日起90日历日。</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响应合同条款要求。</w:t>
            </w:r>
          </w:p>
        </w:tc>
        <w:tc>
          <w:tcPr>
            <w:tcW w:type="dxa" w:w="1661"/>
          </w:tcPr>
          <w:p>
            <w:pPr>
              <w:pStyle w:val="null3"/>
            </w:pPr>
            <w:r>
              <w:rPr>
                <w:rFonts w:ascii="仿宋_GB2312" w:hAnsi="仿宋_GB2312" w:cs="仿宋_GB2312" w:eastAsia="仿宋_GB2312"/>
              </w:rPr>
              <w:t>投标文件格式9.4.pdf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1、体育器材（共9种）9分： 所有器材符合GB19272-2011《室外健身器材的安全通用要求》并持有国家认证认可监督管理委员会批准具备体育用品认证资格的第三方认证机构依据GB19272-2011标准出具的认证证书；按产品种类（共9种）计算，提供1份有效证书得1分，未提供不得分。 2、笼式足球场6分： 依据技术规格响应表，人造草坪、围网、顶网、球门、灯光、场地划线6种产品全部响应得6分，每种产品有一项负偏离扣1分，6分扣完为止。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品牌一致性</w:t>
            </w:r>
          </w:p>
        </w:tc>
        <w:tc>
          <w:tcPr>
            <w:tcW w:type="dxa" w:w="2492"/>
          </w:tcPr>
          <w:p>
            <w:pPr>
              <w:pStyle w:val="null3"/>
            </w:pPr>
            <w:r>
              <w:rPr>
                <w:rFonts w:ascii="仿宋_GB2312" w:hAnsi="仿宋_GB2312" w:cs="仿宋_GB2312" w:eastAsia="仿宋_GB2312"/>
              </w:rPr>
              <w:t>A类、B类健身器材均为同一品牌得2分，否则得0分。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产品制造商质量管理体系认证证书，齐全得1分，未提供或不全得0分。（齐全指：包含了所有投标产品制造商）。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包括但不限于①供货/配货计划（2分）②质量控制与检测流程（2分）③物流配送能力（2分）④进度保障（2分）⑤技术服务方案（2分）⑥成本分析及控制（2分）等。根据方案的针对性、专业性、合理性、可操作性分别对①—⑥赋【0，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团队</w:t>
            </w:r>
          </w:p>
        </w:tc>
        <w:tc>
          <w:tcPr>
            <w:tcW w:type="dxa" w:w="2492"/>
          </w:tcPr>
          <w:p>
            <w:pPr>
              <w:pStyle w:val="null3"/>
            </w:pPr>
            <w:r>
              <w:rPr>
                <w:rFonts w:ascii="仿宋_GB2312" w:hAnsi="仿宋_GB2312" w:cs="仿宋_GB2312" w:eastAsia="仿宋_GB2312"/>
              </w:rPr>
              <w:t>提供团队主要人员（含项目负责人、安装人员、售后维护等）明细表，明细表列明：姓名、性别、年龄、学历、岗位、相关专业工作年限等。 列表内容完整，证件符合要求，每岗位提供1人得0.5分，共计3分。（提供人员身份证；安装人员须提供专业技术资格证书或其他相关证书。岗位不全该项不得分）。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含①器材安装场地勘察、位置确定方案（2分）②安装工具配备及器材组装、安装重点分析（2分）③安装质量及现场管理措施（2分）④场地、器材清理标准（2分）。各分项根据方案的针对性、专业性、合理性、可操作性分别对①—④赋【0，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安全风险防控</w:t>
            </w:r>
          </w:p>
        </w:tc>
        <w:tc>
          <w:tcPr>
            <w:tcW w:type="dxa" w:w="2492"/>
          </w:tcPr>
          <w:p>
            <w:pPr>
              <w:pStyle w:val="null3"/>
            </w:pPr>
            <w:r>
              <w:rPr>
                <w:rFonts w:ascii="仿宋_GB2312" w:hAnsi="仿宋_GB2312" w:cs="仿宋_GB2312" w:eastAsia="仿宋_GB2312"/>
              </w:rPr>
              <w:t>包括但不限于①器材使用安全教育、宣传计划（2分）②器材安全防护设计分析（2分）③安全事故防范措施（2分）④突发应急事件响应及处置措施（2分）等。各分项根据方案的针对性、专业性、合理性、可操作性分别对①—④赋【0，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包括但不仅限于于①维护维修计划（日/月/年定期检查、巡查、清洁、维护计划）（1.5分）②售后服务机构设置（1.5分）③售后培训、响应（1.5分）④维护记录台账建立与管理（1.5分）⑤事故后回访及跟踪计划（1.5分）⑥售后服务信息反馈机制（1.5分）等。各分项根据方案的针对性、专业性、可操作性分别对①—⑥赋【0，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投标文件格式9.4.pdf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至今供应商同类业绩1份得3分，最高12分，未提供或不符合要求得0分。时间以合同签订时间为准。要求：至少包含合同主页（能证明合同供货内容），双方签字盖章页等，并在合同每页加盖供应商公章。若无法辨别，则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投标文件格式9.4.pdf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1、评标基准价：即最低投标报价＝评标基准价；低价优先法。 2、投标报价得分=评标基准价/投标报价×30。投标报价=评标基准价，其价格得分为30分； 3、四舍五入，取小数点后两位，不计负分。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投标文件格式9.4.pdf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详见附件：投标文件格式9.4.pdf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详见附件：2025年全民健身基础设施器材配置项目合同.docx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