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AEBA5">
      <w:pPr>
        <w:jc w:val="center"/>
        <w:rPr>
          <w:rFonts w:hint="eastAsia" w:ascii="仿宋" w:hAnsi="仿宋" w:eastAsia="仿宋" w:cs="仿宋"/>
          <w:b/>
          <w:bCs/>
          <w:sz w:val="44"/>
          <w:szCs w:val="44"/>
          <w:highlight w:val="none"/>
          <w:lang w:eastAsia="zh-CN"/>
        </w:rPr>
      </w:pPr>
    </w:p>
    <w:p w14:paraId="20C0C810">
      <w:pPr>
        <w:jc w:val="center"/>
        <w:rPr>
          <w:rFonts w:hint="eastAsia" w:ascii="仿宋" w:hAnsi="仿宋" w:eastAsia="仿宋" w:cs="仿宋"/>
          <w:b/>
          <w:bCs/>
          <w:sz w:val="44"/>
          <w:szCs w:val="44"/>
          <w:highlight w:val="none"/>
          <w:lang w:eastAsia="zh-CN"/>
        </w:rPr>
      </w:pPr>
    </w:p>
    <w:p w14:paraId="3832DA30">
      <w:pPr>
        <w:jc w:val="center"/>
        <w:rPr>
          <w:rFonts w:hint="eastAsia" w:ascii="仿宋" w:hAnsi="仿宋" w:eastAsia="仿宋" w:cs="仿宋"/>
          <w:b/>
          <w:bCs/>
          <w:sz w:val="44"/>
          <w:szCs w:val="44"/>
          <w:highlight w:val="none"/>
          <w:lang w:eastAsia="zh-CN"/>
        </w:rPr>
      </w:pPr>
    </w:p>
    <w:p w14:paraId="62ADC42F">
      <w:pPr>
        <w:jc w:val="center"/>
        <w:rPr>
          <w:rFonts w:hint="eastAsia" w:ascii="仿宋" w:hAnsi="仿宋" w:eastAsia="仿宋" w:cs="仿宋"/>
          <w:b/>
          <w:bCs/>
          <w:sz w:val="44"/>
          <w:szCs w:val="44"/>
          <w:highlight w:val="none"/>
          <w:lang w:eastAsia="zh-CN"/>
        </w:rPr>
      </w:pPr>
    </w:p>
    <w:p w14:paraId="303F8118">
      <w:pPr>
        <w:jc w:val="center"/>
        <w:rPr>
          <w:rFonts w:hint="eastAsia" w:ascii="仿宋" w:hAnsi="仿宋" w:eastAsia="仿宋" w:cs="仿宋"/>
          <w:b/>
          <w:bCs/>
          <w:sz w:val="44"/>
          <w:szCs w:val="44"/>
          <w:highlight w:val="none"/>
          <w:lang w:eastAsia="zh-CN"/>
        </w:rPr>
      </w:pPr>
    </w:p>
    <w:p w14:paraId="6CBE2325">
      <w:pPr>
        <w:jc w:val="center"/>
        <w:rPr>
          <w:rFonts w:hint="eastAsia" w:ascii="仿宋" w:hAnsi="仿宋" w:eastAsia="仿宋" w:cs="仿宋"/>
          <w:b/>
          <w:bCs/>
          <w:sz w:val="44"/>
          <w:szCs w:val="44"/>
          <w:highlight w:val="none"/>
        </w:rPr>
      </w:pPr>
      <w:r>
        <w:rPr>
          <w:rFonts w:hint="eastAsia" w:ascii="仿宋" w:hAnsi="仿宋" w:eastAsia="仿宋" w:cs="仿宋"/>
          <w:b/>
          <w:bCs/>
          <w:sz w:val="44"/>
          <w:szCs w:val="44"/>
          <w:highlight w:val="none"/>
        </w:rPr>
        <w:t>2025年全民健身基础设施器材配置项目合同</w:t>
      </w:r>
    </w:p>
    <w:p w14:paraId="087A8164">
      <w:pPr>
        <w:pStyle w:val="4"/>
        <w:rPr>
          <w:rFonts w:hint="eastAsia" w:ascii="仿宋" w:hAnsi="仿宋" w:eastAsia="仿宋" w:cs="仿宋"/>
          <w:highlight w:val="none"/>
        </w:rPr>
      </w:pPr>
    </w:p>
    <w:p w14:paraId="305C0C8A">
      <w:pPr>
        <w:rPr>
          <w:rFonts w:hint="eastAsia" w:ascii="仿宋" w:hAnsi="仿宋" w:eastAsia="仿宋" w:cs="仿宋"/>
          <w:highlight w:val="none"/>
        </w:rPr>
      </w:pPr>
    </w:p>
    <w:p w14:paraId="4FFE14ED">
      <w:pPr>
        <w:rPr>
          <w:rFonts w:hint="eastAsia" w:ascii="仿宋" w:hAnsi="仿宋" w:eastAsia="仿宋" w:cs="仿宋"/>
          <w:highlight w:val="none"/>
        </w:rPr>
      </w:pPr>
    </w:p>
    <w:p w14:paraId="14631485">
      <w:pPr>
        <w:pStyle w:val="6"/>
        <w:ind w:firstLine="210"/>
        <w:rPr>
          <w:rFonts w:hint="eastAsia" w:ascii="仿宋" w:hAnsi="仿宋" w:eastAsia="仿宋" w:cs="仿宋"/>
          <w:highlight w:val="none"/>
        </w:rPr>
      </w:pPr>
    </w:p>
    <w:p w14:paraId="507D539E">
      <w:pPr>
        <w:pStyle w:val="6"/>
        <w:ind w:firstLine="210"/>
        <w:rPr>
          <w:rFonts w:hint="eastAsia" w:ascii="仿宋" w:hAnsi="仿宋" w:eastAsia="仿宋" w:cs="仿宋"/>
          <w:highlight w:val="none"/>
        </w:rPr>
      </w:pPr>
    </w:p>
    <w:p w14:paraId="20FA48F6">
      <w:pPr>
        <w:rPr>
          <w:rFonts w:hint="eastAsia" w:ascii="仿宋" w:hAnsi="仿宋" w:eastAsia="仿宋" w:cs="仿宋"/>
          <w:highlight w:val="none"/>
        </w:rPr>
      </w:pPr>
    </w:p>
    <w:p w14:paraId="6FF37245">
      <w:pPr>
        <w:pStyle w:val="9"/>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14:paraId="3E223FCD">
      <w:pPr>
        <w:rPr>
          <w:rFonts w:hint="eastAsia" w:ascii="仿宋" w:hAnsi="仿宋" w:eastAsia="仿宋" w:cs="仿宋"/>
          <w:b/>
          <w:sz w:val="36"/>
          <w:szCs w:val="36"/>
          <w:highlight w:val="none"/>
        </w:rPr>
      </w:pPr>
      <w:r>
        <w:rPr>
          <w:rFonts w:hint="eastAsia" w:ascii="仿宋" w:hAnsi="仿宋" w:eastAsia="仿宋" w:cs="仿宋"/>
          <w:b/>
          <w:sz w:val="36"/>
          <w:szCs w:val="36"/>
          <w:highlight w:val="none"/>
        </w:rPr>
        <w:br w:type="page"/>
      </w:r>
    </w:p>
    <w:p w14:paraId="4D21DB51">
      <w:pPr>
        <w:adjustRightInd w:val="0"/>
        <w:snapToGrid w:val="0"/>
        <w:spacing w:line="360" w:lineRule="auto"/>
        <w:ind w:firstLine="422" w:firstLineChars="200"/>
        <w:rPr>
          <w:rFonts w:hint="eastAsia" w:ascii="仿宋" w:hAnsi="仿宋" w:eastAsia="仿宋" w:cs="仿宋"/>
          <w:b/>
          <w:highlight w:val="none"/>
        </w:rPr>
      </w:pPr>
    </w:p>
    <w:p w14:paraId="6863BFE6">
      <w:pPr>
        <w:adjustRightInd w:val="0"/>
        <w:snapToGrid w:val="0"/>
        <w:spacing w:line="360" w:lineRule="auto"/>
        <w:ind w:firstLine="422" w:firstLineChars="200"/>
        <w:rPr>
          <w:rFonts w:hint="eastAsia" w:ascii="仿宋" w:hAnsi="仿宋" w:eastAsia="仿宋" w:cs="仿宋"/>
          <w:b/>
          <w:highlight w:val="none"/>
          <w:lang w:val="en-US" w:eastAsia="zh-CN"/>
        </w:rPr>
      </w:pPr>
      <w:r>
        <w:rPr>
          <w:rFonts w:hint="eastAsia" w:ascii="仿宋" w:hAnsi="仿宋" w:eastAsia="仿宋" w:cs="仿宋"/>
          <w:b/>
          <w:highlight w:val="none"/>
        </w:rPr>
        <w:t>采购人（全称）：</w:t>
      </w:r>
      <w:r>
        <w:rPr>
          <w:rFonts w:hint="eastAsia" w:ascii="仿宋" w:hAnsi="仿宋" w:eastAsia="仿宋" w:cs="仿宋"/>
          <w:b/>
          <w:highlight w:val="none"/>
          <w:u w:val="single"/>
        </w:rPr>
        <w:t xml:space="preserve">                                      </w:t>
      </w:r>
    </w:p>
    <w:p w14:paraId="61D4981E">
      <w:pPr>
        <w:adjustRightInd w:val="0"/>
        <w:snapToGrid w:val="0"/>
        <w:spacing w:line="360" w:lineRule="auto"/>
        <w:ind w:firstLine="422" w:firstLineChars="200"/>
        <w:rPr>
          <w:rFonts w:hint="eastAsia" w:ascii="仿宋" w:hAnsi="仿宋" w:eastAsia="仿宋" w:cs="仿宋"/>
          <w:highlight w:val="none"/>
        </w:rPr>
      </w:pPr>
      <w:r>
        <w:rPr>
          <w:rFonts w:hint="eastAsia" w:ascii="仿宋" w:hAnsi="仿宋" w:eastAsia="仿宋" w:cs="仿宋"/>
          <w:b/>
          <w:highlight w:val="none"/>
        </w:rPr>
        <w:t>供应商（全称）：</w:t>
      </w:r>
      <w:r>
        <w:rPr>
          <w:rFonts w:hint="eastAsia" w:ascii="仿宋" w:hAnsi="仿宋" w:eastAsia="仿宋" w:cs="仿宋"/>
          <w:b/>
          <w:highlight w:val="none"/>
          <w:u w:val="single"/>
        </w:rPr>
        <w:t xml:space="preserve">                                   </w:t>
      </w:r>
      <w:r>
        <w:rPr>
          <w:rFonts w:hint="eastAsia" w:ascii="仿宋" w:hAnsi="仿宋" w:eastAsia="仿宋" w:cs="仿宋"/>
          <w:highlight w:val="none"/>
          <w:u w:val="single"/>
        </w:rPr>
        <w:t xml:space="preserve">   </w:t>
      </w:r>
    </w:p>
    <w:p w14:paraId="23B73251">
      <w:pPr>
        <w:adjustRightInd w:val="0"/>
        <w:snapToGrid w:val="0"/>
        <w:spacing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根据《中华人民共和国民法典》及其他有关法律、法规，遵循平等、自愿、公平和诚信的原则，双方就下述项目范围与相关服务事项协商一致，订立本合同。</w:t>
      </w:r>
    </w:p>
    <w:p w14:paraId="7367A071">
      <w:pPr>
        <w:spacing w:line="360" w:lineRule="auto"/>
        <w:rPr>
          <w:rFonts w:hint="eastAsia" w:ascii="仿宋" w:hAnsi="仿宋" w:eastAsia="仿宋" w:cs="仿宋"/>
          <w:b/>
          <w:highlight w:val="none"/>
        </w:rPr>
      </w:pPr>
      <w:r>
        <w:rPr>
          <w:rFonts w:hint="eastAsia" w:ascii="仿宋" w:hAnsi="仿宋" w:eastAsia="仿宋" w:cs="仿宋"/>
          <w:b/>
          <w:highlight w:val="none"/>
        </w:rPr>
        <w:t>一、项目概况</w:t>
      </w:r>
    </w:p>
    <w:p w14:paraId="7F34072E">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1.项目名称：</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6E5CE64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2.项目地点：</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63B1C935">
      <w:pPr>
        <w:spacing w:line="360" w:lineRule="auto"/>
        <w:rPr>
          <w:rFonts w:hint="eastAsia" w:ascii="仿宋" w:hAnsi="仿宋" w:eastAsia="仿宋" w:cs="仿宋"/>
          <w:b/>
          <w:highlight w:val="none"/>
        </w:rPr>
      </w:pPr>
      <w:r>
        <w:rPr>
          <w:rFonts w:hint="eastAsia" w:ascii="仿宋" w:hAnsi="仿宋" w:eastAsia="仿宋" w:cs="仿宋"/>
          <w:b/>
          <w:highlight w:val="none"/>
        </w:rPr>
        <w:t>二、组成本合同的文件</w:t>
      </w:r>
    </w:p>
    <w:p w14:paraId="7677CF73">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1.协议书；</w:t>
      </w:r>
    </w:p>
    <w:p w14:paraId="51C370F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w:t>
      </w:r>
      <w:r>
        <w:rPr>
          <w:rFonts w:hint="eastAsia" w:ascii="仿宋" w:hAnsi="仿宋" w:eastAsia="仿宋" w:cs="仿宋"/>
          <w:highlight w:val="none"/>
          <w:lang w:eastAsia="zh-CN"/>
        </w:rPr>
        <w:t>中标</w:t>
      </w:r>
      <w:r>
        <w:rPr>
          <w:rFonts w:hint="eastAsia" w:ascii="仿宋" w:hAnsi="仿宋" w:eastAsia="仿宋" w:cs="仿宋"/>
          <w:highlight w:val="none"/>
        </w:rPr>
        <w:t>通知书、</w:t>
      </w:r>
      <w:r>
        <w:rPr>
          <w:rFonts w:hint="eastAsia" w:ascii="仿宋" w:hAnsi="仿宋" w:eastAsia="仿宋" w:cs="仿宋"/>
          <w:highlight w:val="none"/>
          <w:lang w:eastAsia="zh-CN"/>
        </w:rPr>
        <w:t>投标</w:t>
      </w:r>
      <w:r>
        <w:rPr>
          <w:rFonts w:hint="eastAsia" w:ascii="仿宋" w:hAnsi="仿宋" w:eastAsia="仿宋" w:cs="仿宋"/>
          <w:highlight w:val="none"/>
        </w:rPr>
        <w:t>文件、</w:t>
      </w:r>
      <w:r>
        <w:rPr>
          <w:rFonts w:hint="eastAsia" w:ascii="仿宋" w:hAnsi="仿宋" w:eastAsia="仿宋" w:cs="仿宋"/>
          <w:highlight w:val="none"/>
          <w:lang w:eastAsia="zh-CN"/>
        </w:rPr>
        <w:t>招标</w:t>
      </w:r>
      <w:r>
        <w:rPr>
          <w:rFonts w:hint="eastAsia" w:ascii="仿宋" w:hAnsi="仿宋" w:eastAsia="仿宋" w:cs="仿宋"/>
          <w:highlight w:val="none"/>
        </w:rPr>
        <w:t>文件、澄清、采购补充文件；</w:t>
      </w:r>
    </w:p>
    <w:p w14:paraId="0562428F">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3.相关服务建议书；</w:t>
      </w:r>
    </w:p>
    <w:p w14:paraId="461C48D9">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4.附录，即：附表内相关服务的范围和内容；</w:t>
      </w:r>
    </w:p>
    <w:p w14:paraId="5E53FBD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本合同签订后，双方依法签订的补充协议也是本合同文件的组成部分。</w:t>
      </w:r>
    </w:p>
    <w:p w14:paraId="70F0F9A4">
      <w:pPr>
        <w:spacing w:line="360" w:lineRule="auto"/>
        <w:rPr>
          <w:rFonts w:hint="eastAsia" w:ascii="仿宋" w:hAnsi="仿宋" w:eastAsia="仿宋" w:cs="仿宋"/>
          <w:b/>
          <w:highlight w:val="none"/>
        </w:rPr>
      </w:pPr>
      <w:r>
        <w:rPr>
          <w:rFonts w:hint="eastAsia" w:ascii="仿宋" w:hAnsi="仿宋" w:eastAsia="仿宋" w:cs="仿宋"/>
          <w:b/>
          <w:highlight w:val="none"/>
        </w:rPr>
        <w:t>三、合同金额</w:t>
      </w:r>
    </w:p>
    <w:p w14:paraId="5EADC8D1">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1.本合同为</w:t>
      </w:r>
      <w:r>
        <w:rPr>
          <w:rFonts w:hint="eastAsia" w:ascii="仿宋" w:hAnsi="仿宋" w:eastAsia="仿宋" w:cs="仿宋"/>
          <w:highlight w:val="none"/>
          <w:lang w:val="en-US" w:eastAsia="zh-CN"/>
        </w:rPr>
        <w:t>总</w:t>
      </w:r>
      <w:r>
        <w:rPr>
          <w:rFonts w:hint="eastAsia" w:ascii="仿宋" w:hAnsi="仿宋" w:eastAsia="仿宋" w:cs="仿宋"/>
          <w:highlight w:val="none"/>
        </w:rPr>
        <w:t>价合同。</w:t>
      </w:r>
    </w:p>
    <w:p w14:paraId="607530B3">
      <w:pPr>
        <w:adjustRightInd w:val="0"/>
        <w:snapToGrid w:val="0"/>
        <w:spacing w:line="360" w:lineRule="auto"/>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合同总价（大写）：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01D3DED9">
      <w:pPr>
        <w:adjustRightInd w:val="0"/>
        <w:snapToGrid w:val="0"/>
        <w:spacing w:line="360" w:lineRule="auto"/>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合同总价即成交价，合同总价包干，不受市场价变化或实际工作量变化的影响，合同价格为含税价，供应商（成交人）提供产品所发生的一切税（包括增值税）费等都已包含于合同价款中。</w:t>
      </w:r>
    </w:p>
    <w:p w14:paraId="193045BF">
      <w:pPr>
        <w:pStyle w:val="4"/>
        <w:spacing w:after="0"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2.合同单价详见附件清单。</w:t>
      </w:r>
    </w:p>
    <w:p w14:paraId="7F595C3D">
      <w:pPr>
        <w:adjustRightInd w:val="0"/>
        <w:snapToGrid w:val="0"/>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四、结算方式</w:t>
      </w:r>
    </w:p>
    <w:p w14:paraId="23C15365">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rPr>
        <w:t>1.结算单位：银行转账，由采购人负责结算。在付款前，供应商必须开具与合同金额相应的发票给</w:t>
      </w:r>
      <w:r>
        <w:rPr>
          <w:rFonts w:hint="eastAsia" w:ascii="仿宋" w:hAnsi="仿宋" w:eastAsia="仿宋" w:cs="仿宋"/>
          <w:szCs w:val="24"/>
          <w:highlight w:val="none"/>
          <w:lang w:val="en-US" w:eastAsia="zh-CN"/>
        </w:rPr>
        <w:t>使用单位</w:t>
      </w:r>
      <w:r>
        <w:rPr>
          <w:rFonts w:hint="eastAsia" w:ascii="仿宋" w:hAnsi="仿宋" w:eastAsia="仿宋" w:cs="仿宋"/>
          <w:szCs w:val="24"/>
          <w:highlight w:val="none"/>
        </w:rPr>
        <w:t>，附详细清单。</w:t>
      </w:r>
    </w:p>
    <w:p w14:paraId="49C2FAB3">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仿宋" w:hAnsi="仿宋" w:eastAsia="仿宋" w:cs="仿宋"/>
          <w:szCs w:val="24"/>
          <w:highlight w:val="none"/>
          <w:u w:val="none"/>
        </w:rPr>
      </w:pPr>
      <w:r>
        <w:rPr>
          <w:rFonts w:hint="eastAsia" w:ascii="仿宋" w:hAnsi="仿宋" w:eastAsia="仿宋" w:cs="仿宋"/>
          <w:szCs w:val="24"/>
          <w:highlight w:val="none"/>
        </w:rPr>
        <w:t>2.付款方式：</w:t>
      </w:r>
      <w:r>
        <w:rPr>
          <w:rFonts w:hint="eastAsia" w:ascii="仿宋" w:hAnsi="仿宋" w:eastAsia="仿宋" w:cs="仿宋"/>
          <w:szCs w:val="24"/>
          <w:highlight w:val="none"/>
          <w:u w:val="none"/>
        </w:rPr>
        <w:t>合同签定后，所有设备运到现场，安装调试完成，系统运行正常，经验收合格后，由甲方向财政部门申请专项资金，办理完相关财政支付手续后，达到付款条件起90日内，支付合同总金额的100.00%。</w:t>
      </w:r>
    </w:p>
    <w:p w14:paraId="501F5556">
      <w:pPr>
        <w:tabs>
          <w:tab w:val="left" w:pos="840"/>
        </w:tabs>
        <w:spacing w:line="360" w:lineRule="auto"/>
        <w:rPr>
          <w:rFonts w:hint="eastAsia" w:ascii="仿宋" w:hAnsi="仿宋" w:eastAsia="仿宋" w:cs="仿宋"/>
          <w:b/>
          <w:szCs w:val="24"/>
          <w:highlight w:val="none"/>
          <w:lang w:eastAsia="zh-CN"/>
        </w:rPr>
      </w:pPr>
      <w:r>
        <w:rPr>
          <w:rFonts w:hint="eastAsia" w:ascii="仿宋" w:hAnsi="仿宋" w:eastAsia="仿宋" w:cs="仿宋"/>
          <w:b/>
          <w:szCs w:val="24"/>
          <w:highlight w:val="none"/>
        </w:rPr>
        <w:t>五、</w:t>
      </w:r>
      <w:r>
        <w:rPr>
          <w:rFonts w:hint="eastAsia" w:ascii="仿宋" w:hAnsi="仿宋" w:eastAsia="仿宋" w:cs="仿宋"/>
          <w:b/>
          <w:szCs w:val="24"/>
          <w:highlight w:val="none"/>
          <w:lang w:eastAsia="zh-CN"/>
        </w:rPr>
        <w:t>合同履行期限</w:t>
      </w:r>
      <w:r>
        <w:rPr>
          <w:rFonts w:hint="eastAsia" w:ascii="仿宋" w:hAnsi="仿宋" w:eastAsia="仿宋" w:cs="仿宋"/>
          <w:b/>
          <w:szCs w:val="24"/>
          <w:highlight w:val="none"/>
        </w:rPr>
        <w:t>：</w:t>
      </w:r>
      <w:r>
        <w:rPr>
          <w:rFonts w:hint="eastAsia" w:ascii="仿宋" w:hAnsi="仿宋" w:eastAsia="仿宋" w:cs="仿宋"/>
          <w:b w:val="0"/>
          <w:bCs/>
          <w:szCs w:val="24"/>
          <w:highlight w:val="none"/>
        </w:rPr>
        <w:t>自合同签订之日起</w:t>
      </w:r>
      <w:r>
        <w:rPr>
          <w:rFonts w:hint="eastAsia" w:ascii="仿宋" w:hAnsi="仿宋" w:eastAsia="仿宋" w:cs="仿宋"/>
          <w:b w:val="0"/>
          <w:bCs/>
          <w:szCs w:val="24"/>
          <w:highlight w:val="none"/>
          <w:lang w:val="en-US" w:eastAsia="zh-CN"/>
        </w:rPr>
        <w:t>25</w:t>
      </w:r>
      <w:r>
        <w:rPr>
          <w:rFonts w:hint="eastAsia" w:ascii="仿宋" w:hAnsi="仿宋" w:eastAsia="仿宋" w:cs="仿宋"/>
          <w:b w:val="0"/>
          <w:bCs/>
          <w:szCs w:val="24"/>
          <w:highlight w:val="none"/>
        </w:rPr>
        <w:t>日历天内安装调试完成</w:t>
      </w:r>
      <w:r>
        <w:rPr>
          <w:rFonts w:hint="eastAsia" w:ascii="仿宋" w:hAnsi="仿宋" w:eastAsia="仿宋" w:cs="仿宋"/>
          <w:b w:val="0"/>
          <w:bCs/>
          <w:szCs w:val="24"/>
          <w:highlight w:val="none"/>
          <w:lang w:eastAsia="zh-CN"/>
        </w:rPr>
        <w:t>。</w:t>
      </w:r>
    </w:p>
    <w:p w14:paraId="51876A78">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六、质保期：</w:t>
      </w:r>
      <w:r>
        <w:rPr>
          <w:rFonts w:hint="eastAsia" w:ascii="仿宋" w:hAnsi="仿宋" w:eastAsia="仿宋" w:cs="仿宋"/>
          <w:b w:val="0"/>
          <w:bCs/>
          <w:szCs w:val="24"/>
          <w:highlight w:val="none"/>
        </w:rPr>
        <w:t>自项目终验收合格之日起8年。</w:t>
      </w:r>
    </w:p>
    <w:p w14:paraId="6A0920B1">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14:paraId="552E526C">
      <w:pPr>
        <w:tabs>
          <w:tab w:val="left" w:pos="84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w:t>
      </w:r>
      <w:r>
        <w:rPr>
          <w:rFonts w:hint="eastAsia" w:ascii="仿宋" w:hAnsi="仿宋" w:eastAsia="仿宋" w:cs="仿宋"/>
          <w:szCs w:val="24"/>
          <w:highlight w:val="none"/>
          <w:lang w:eastAsia="zh-CN"/>
        </w:rPr>
        <w:t>投标</w:t>
      </w:r>
      <w:r>
        <w:rPr>
          <w:rFonts w:hint="eastAsia" w:ascii="仿宋" w:hAnsi="仿宋" w:eastAsia="仿宋" w:cs="仿宋"/>
          <w:szCs w:val="24"/>
          <w:highlight w:val="none"/>
        </w:rPr>
        <w:t>文件、</w:t>
      </w:r>
      <w:r>
        <w:rPr>
          <w:rFonts w:hint="eastAsia" w:ascii="仿宋" w:hAnsi="仿宋" w:eastAsia="仿宋" w:cs="仿宋"/>
          <w:szCs w:val="24"/>
          <w:highlight w:val="none"/>
          <w:lang w:eastAsia="zh-CN"/>
        </w:rPr>
        <w:t>招标</w:t>
      </w:r>
      <w:r>
        <w:rPr>
          <w:rFonts w:hint="eastAsia" w:ascii="仿宋" w:hAnsi="仿宋" w:eastAsia="仿宋" w:cs="仿宋"/>
          <w:szCs w:val="24"/>
          <w:highlight w:val="none"/>
        </w:rPr>
        <w:t>文件等所指明的，或者与本合同所指明的产品、服务内容相一致。（附清单）</w:t>
      </w:r>
    </w:p>
    <w:p w14:paraId="00F0E8C0">
      <w:pPr>
        <w:spacing w:after="120"/>
        <w:jc w:val="center"/>
        <w:rPr>
          <w:rFonts w:hint="eastAsia" w:ascii="仿宋" w:hAnsi="仿宋" w:eastAsia="仿宋" w:cs="仿宋"/>
          <w:b/>
          <w:szCs w:val="24"/>
          <w:highlight w:val="none"/>
        </w:rPr>
      </w:pPr>
      <w:bookmarkStart w:id="0" w:name="_Toc6161"/>
      <w:bookmarkStart w:id="1" w:name="_Toc13024"/>
      <w:bookmarkStart w:id="2" w:name="_Toc18856"/>
    </w:p>
    <w:p w14:paraId="427A08BB">
      <w:pPr>
        <w:spacing w:after="120"/>
        <w:jc w:val="center"/>
        <w:rPr>
          <w:rFonts w:hint="eastAsia" w:ascii="仿宋" w:hAnsi="仿宋" w:eastAsia="仿宋" w:cs="仿宋"/>
          <w:b/>
          <w:szCs w:val="24"/>
          <w:highlight w:val="none"/>
        </w:rPr>
      </w:pPr>
      <w:r>
        <w:rPr>
          <w:rFonts w:hint="eastAsia" w:ascii="仿宋" w:hAnsi="仿宋" w:eastAsia="仿宋" w:cs="仿宋"/>
          <w:b/>
          <w:szCs w:val="24"/>
          <w:highlight w:val="none"/>
        </w:rPr>
        <w:t>供货内容一览表</w:t>
      </w:r>
      <w:bookmarkEnd w:id="0"/>
      <w:bookmarkEnd w:id="1"/>
      <w:bookmarkEnd w:id="2"/>
    </w:p>
    <w:tbl>
      <w:tblPr>
        <w:tblStyle w:val="7"/>
        <w:tblW w:w="449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6"/>
        <w:gridCol w:w="2316"/>
        <w:gridCol w:w="1581"/>
        <w:gridCol w:w="2166"/>
        <w:gridCol w:w="4"/>
        <w:gridCol w:w="1897"/>
      </w:tblGrid>
      <w:tr w14:paraId="5822D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5000" w:type="pct"/>
            <w:gridSpan w:val="6"/>
            <w:tcBorders>
              <w:top w:val="nil"/>
              <w:left w:val="nil"/>
              <w:bottom w:val="nil"/>
              <w:right w:val="nil"/>
            </w:tcBorders>
            <w:shd w:val="clear" w:color="auto" w:fill="auto"/>
            <w:noWrap/>
            <w:vAlign w:val="center"/>
          </w:tcPr>
          <w:p w14:paraId="71AAAB3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一、A类</w:t>
            </w:r>
          </w:p>
        </w:tc>
      </w:tr>
      <w:tr w14:paraId="13DD5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5"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F6E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序号</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6F5A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器材名称</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7891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数量（副/件）</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4AE31">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技术参数</w:t>
            </w: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DBF18">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bookmarkStart w:id="3" w:name="_Toc30417"/>
            <w:bookmarkStart w:id="4" w:name="_Toc27392"/>
            <w:bookmarkStart w:id="5" w:name="_Toc21512"/>
            <w:bookmarkStart w:id="6" w:name="_Toc16506"/>
            <w:r>
              <w:rPr>
                <w:rFonts w:hint="eastAsia" w:ascii="仿宋" w:hAnsi="仿宋" w:eastAsia="仿宋" w:cs="仿宋"/>
                <w:i w:val="0"/>
                <w:iCs w:val="0"/>
                <w:color w:val="000000"/>
                <w:kern w:val="0"/>
                <w:sz w:val="21"/>
                <w:szCs w:val="21"/>
                <w:u w:val="none"/>
                <w:lang w:val="en-US" w:eastAsia="zh-CN" w:bidi="ar"/>
              </w:rPr>
              <w:t>品牌、规格及型号</w:t>
            </w:r>
            <w:bookmarkEnd w:id="3"/>
            <w:bookmarkEnd w:id="4"/>
            <w:bookmarkEnd w:id="5"/>
            <w:bookmarkEnd w:id="6"/>
          </w:p>
        </w:tc>
      </w:tr>
      <w:tr w14:paraId="6D4EA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483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3248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地埋式篮球架(含划线)</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A02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97299">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2E1FC">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34793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E3D0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7BF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室外乒乓球台</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EB1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D1449">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2469E">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27F81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1946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FFA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告示牌</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37B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105FF">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58D5F">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220F7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28F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A5E1D">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椭圆机</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490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F19BC">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D6AC9">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3ADB7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63F4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6C006">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腰背按摩器</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B51C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E7FBA">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17C11">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6140B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609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D3163">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双杠(含悬浮地板)</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9E2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1306C">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DD261">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3CCC4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A3D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7E134">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划船器</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7F9F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CBB4B">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4E308">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32ACF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9B27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3C18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腿部按摩器</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5D86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87841">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8D063">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401A5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B1B0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8F507">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健身车</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423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AA873">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EF215">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60E4E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B8ADC66">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备注:所有器材符合GB19272-2011《室外健身器材的安全通用要求》并持有国家认证认可监督管理委员会批准具备体育用品认证资格的第三方认证机构依据GB19272-2011标准出具的认证证书;质保期8年。</w:t>
            </w:r>
          </w:p>
        </w:tc>
      </w:tr>
      <w:tr w14:paraId="16B3D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5000" w:type="pct"/>
            <w:gridSpan w:val="6"/>
            <w:tcBorders>
              <w:top w:val="nil"/>
              <w:left w:val="nil"/>
              <w:bottom w:val="nil"/>
              <w:right w:val="nil"/>
            </w:tcBorders>
            <w:shd w:val="clear" w:color="auto" w:fill="auto"/>
            <w:noWrap/>
            <w:vAlign w:val="center"/>
          </w:tcPr>
          <w:p w14:paraId="6EAD187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二、B类</w:t>
            </w:r>
          </w:p>
        </w:tc>
      </w:tr>
      <w:tr w14:paraId="35616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9185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序号</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780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器材名称</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F77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数量（副/件）</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97FB3">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技术参数</w:t>
            </w: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53DD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品牌、规格及型号</w:t>
            </w:r>
          </w:p>
        </w:tc>
      </w:tr>
      <w:tr w14:paraId="5603C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ED3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118F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室外乒乓球台</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0C90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BF1BD">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BF831">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74154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219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EE59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告示牌</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BD3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B6B46">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0CB0F">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49DF0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09D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DDC1B">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椭圆机</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81B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5E721">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454E6">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3EA8D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9E6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D8A96">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腰背按摩器</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41A4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FF902">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C0102">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33FF6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EB2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A3F08">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双杠(含悬浮地板)</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866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1504B">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B4B28">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2B2DA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C5EF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1AB64">
            <w:pPr>
              <w:keepNext w:val="0"/>
              <w:keepLines w:val="0"/>
              <w:widowControl/>
              <w:suppressLineNumbers w:val="0"/>
              <w:jc w:val="center"/>
              <w:textAlignment w:val="center"/>
              <w:rPr>
                <w:rFonts w:hint="eastAsia" w:ascii="仿宋" w:hAnsi="仿宋" w:eastAsia="仿宋" w:cs="仿宋"/>
                <w:i w:val="0"/>
                <w:iCs w:val="0"/>
                <w:color w:val="000000"/>
                <w:sz w:val="21"/>
                <w:szCs w:val="21"/>
                <w:highlight w:val="none"/>
                <w:u w:val="none"/>
              </w:rPr>
            </w:pPr>
            <w:r>
              <w:rPr>
                <w:rFonts w:hint="eastAsia" w:ascii="仿宋" w:hAnsi="仿宋" w:eastAsia="仿宋" w:cs="仿宋"/>
                <w:i w:val="0"/>
                <w:iCs w:val="0"/>
                <w:color w:val="000000"/>
                <w:kern w:val="0"/>
                <w:sz w:val="21"/>
                <w:szCs w:val="21"/>
                <w:highlight w:val="none"/>
                <w:u w:val="none"/>
                <w:lang w:val="en-US" w:eastAsia="zh-CN" w:bidi="ar"/>
              </w:rPr>
              <w:t>健身车</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929D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57016">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5BC37">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539E3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349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1FDC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腿部按摩器</w:t>
            </w:r>
          </w:p>
        </w:tc>
        <w:tc>
          <w:tcPr>
            <w:tcW w:w="90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F02A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1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824F3">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c>
          <w:tcPr>
            <w:tcW w:w="108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3F2C8">
            <w:pPr>
              <w:keepNext w:val="0"/>
              <w:keepLines w:val="0"/>
              <w:widowControl/>
              <w:suppressLineNumbers w:val="0"/>
              <w:jc w:val="both"/>
              <w:textAlignment w:val="center"/>
              <w:rPr>
                <w:rFonts w:hint="eastAsia" w:ascii="仿宋" w:hAnsi="仿宋" w:eastAsia="仿宋" w:cs="仿宋"/>
                <w:i w:val="0"/>
                <w:iCs w:val="0"/>
                <w:color w:val="000000"/>
                <w:kern w:val="0"/>
                <w:sz w:val="21"/>
                <w:szCs w:val="21"/>
                <w:u w:val="none"/>
                <w:lang w:val="en-US" w:eastAsia="zh-CN" w:bidi="ar"/>
              </w:rPr>
            </w:pPr>
          </w:p>
        </w:tc>
      </w:tr>
      <w:tr w14:paraId="62578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E523555">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备注:所有器材符合GB19272-2011《室外健身器材的安全通用要求》并持有国家认证认可监督管理委员会批准具备体育用品认证资格的第三方认证机构依据GB19272-2011标准出具的认证证书;质保期8年。</w:t>
            </w:r>
          </w:p>
        </w:tc>
      </w:tr>
      <w:tr w14:paraId="7711F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5000" w:type="pct"/>
            <w:gridSpan w:val="6"/>
            <w:tcBorders>
              <w:top w:val="nil"/>
              <w:left w:val="nil"/>
              <w:bottom w:val="nil"/>
              <w:right w:val="nil"/>
            </w:tcBorders>
            <w:shd w:val="clear" w:color="auto" w:fill="auto"/>
            <w:noWrap/>
            <w:vAlign w:val="center"/>
          </w:tcPr>
          <w:p w14:paraId="621DDDE5">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p w14:paraId="49516A87">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p w14:paraId="2BAFF39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三、多功能运动场</w:t>
            </w:r>
          </w:p>
        </w:tc>
      </w:tr>
      <w:tr w14:paraId="7F14CC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142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序号</w:t>
            </w:r>
          </w:p>
        </w:tc>
        <w:tc>
          <w:tcPr>
            <w:tcW w:w="222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7D41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名称</w:t>
            </w:r>
          </w:p>
        </w:tc>
        <w:tc>
          <w:tcPr>
            <w:tcW w:w="132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7E51">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数量（个）</w:t>
            </w:r>
          </w:p>
        </w:tc>
        <w:tc>
          <w:tcPr>
            <w:tcW w:w="1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97E32">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品牌、规格及型号</w:t>
            </w:r>
          </w:p>
        </w:tc>
      </w:tr>
      <w:tr w14:paraId="5ADA1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3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D768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22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3EDE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笼式足球场</w:t>
            </w:r>
          </w:p>
        </w:tc>
        <w:tc>
          <w:tcPr>
            <w:tcW w:w="132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C9D0B">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2</w:t>
            </w:r>
          </w:p>
        </w:tc>
        <w:tc>
          <w:tcPr>
            <w:tcW w:w="10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852D0">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p>
        </w:tc>
      </w:tr>
    </w:tbl>
    <w:p w14:paraId="164DCD05">
      <w:pPr>
        <w:spacing w:before="100" w:line="218" w:lineRule="auto"/>
        <w:jc w:val="center"/>
        <w:outlineLvl w:val="2"/>
        <w:rPr>
          <w:rFonts w:hint="eastAsia" w:ascii="仿宋" w:hAnsi="仿宋" w:eastAsia="仿宋" w:cs="仿宋"/>
          <w:b w:val="0"/>
          <w:bCs w:val="0"/>
          <w:sz w:val="21"/>
          <w:szCs w:val="21"/>
        </w:rPr>
      </w:pPr>
      <w:r>
        <w:rPr>
          <w:rFonts w:hint="eastAsia" w:ascii="仿宋" w:hAnsi="仿宋" w:eastAsia="仿宋" w:cs="仿宋"/>
          <w:i w:val="0"/>
          <w:iCs w:val="0"/>
          <w:color w:val="000000"/>
          <w:kern w:val="0"/>
          <w:sz w:val="21"/>
          <w:szCs w:val="21"/>
          <w:u w:val="none"/>
          <w:lang w:val="en-US" w:eastAsia="zh-CN" w:bidi="ar"/>
        </w:rPr>
        <w:t>笼式足球场</w:t>
      </w:r>
      <w:r>
        <w:rPr>
          <w:rFonts w:hint="eastAsia" w:ascii="仿宋" w:hAnsi="仿宋" w:eastAsia="仿宋" w:cs="仿宋"/>
          <w:b w:val="0"/>
          <w:bCs w:val="0"/>
          <w:spacing w:val="-5"/>
          <w:sz w:val="21"/>
          <w:szCs w:val="21"/>
        </w:rPr>
        <w:t>各组成部分</w:t>
      </w:r>
    </w:p>
    <w:p w14:paraId="35D68331">
      <w:pPr>
        <w:spacing w:line="33" w:lineRule="exact"/>
        <w:rPr>
          <w:rFonts w:hint="eastAsia" w:ascii="仿宋" w:hAnsi="仿宋" w:eastAsia="仿宋" w:cs="仿宋"/>
          <w:sz w:val="21"/>
          <w:szCs w:val="21"/>
        </w:rPr>
      </w:pPr>
    </w:p>
    <w:tbl>
      <w:tblPr>
        <w:tblStyle w:val="11"/>
        <w:tblW w:w="463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465"/>
        <w:gridCol w:w="1459"/>
        <w:gridCol w:w="1995"/>
        <w:gridCol w:w="2765"/>
      </w:tblGrid>
      <w:tr w14:paraId="5F12F3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jc w:val="center"/>
        </w:trPr>
        <w:tc>
          <w:tcPr>
            <w:tcW w:w="1419" w:type="pct"/>
            <w:vAlign w:val="center"/>
          </w:tcPr>
          <w:p w14:paraId="1F40E32F">
            <w:pPr>
              <w:pStyle w:val="10"/>
              <w:spacing w:before="282" w:line="220" w:lineRule="auto"/>
              <w:jc w:val="center"/>
              <w:rPr>
                <w:rFonts w:hint="eastAsia" w:ascii="仿宋" w:hAnsi="仿宋" w:eastAsia="仿宋" w:cs="仿宋"/>
                <w:b w:val="0"/>
                <w:bCs w:val="0"/>
                <w:sz w:val="21"/>
                <w:szCs w:val="21"/>
              </w:rPr>
            </w:pPr>
            <w:r>
              <w:rPr>
                <w:rFonts w:hint="eastAsia" w:ascii="仿宋" w:hAnsi="仿宋" w:eastAsia="仿宋" w:cs="仿宋"/>
                <w:b w:val="0"/>
                <w:bCs w:val="0"/>
                <w:spacing w:val="-10"/>
                <w:sz w:val="21"/>
                <w:szCs w:val="21"/>
              </w:rPr>
              <w:t>项目</w:t>
            </w:r>
          </w:p>
        </w:tc>
        <w:tc>
          <w:tcPr>
            <w:tcW w:w="840" w:type="pct"/>
            <w:vAlign w:val="center"/>
          </w:tcPr>
          <w:p w14:paraId="1A351A6A">
            <w:pPr>
              <w:pStyle w:val="10"/>
              <w:spacing w:before="301" w:line="219" w:lineRule="auto"/>
              <w:jc w:val="center"/>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单位</w:t>
            </w:r>
          </w:p>
        </w:tc>
        <w:tc>
          <w:tcPr>
            <w:tcW w:w="1148" w:type="pct"/>
            <w:vAlign w:val="center"/>
          </w:tcPr>
          <w:p w14:paraId="1264D650">
            <w:pPr>
              <w:pStyle w:val="10"/>
              <w:spacing w:before="301" w:line="219" w:lineRule="auto"/>
              <w:jc w:val="center"/>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数量</w:t>
            </w:r>
          </w:p>
        </w:tc>
        <w:tc>
          <w:tcPr>
            <w:tcW w:w="1591" w:type="pct"/>
            <w:vAlign w:val="center"/>
          </w:tcPr>
          <w:p w14:paraId="12C50766">
            <w:pPr>
              <w:pStyle w:val="10"/>
              <w:spacing w:before="302" w:line="221" w:lineRule="auto"/>
              <w:jc w:val="center"/>
              <w:rPr>
                <w:rFonts w:hint="eastAsia" w:ascii="仿宋" w:hAnsi="仿宋" w:eastAsia="仿宋" w:cs="仿宋"/>
                <w:b w:val="0"/>
                <w:bCs w:val="0"/>
                <w:sz w:val="21"/>
                <w:szCs w:val="21"/>
              </w:rPr>
            </w:pPr>
            <w:r>
              <w:rPr>
                <w:rFonts w:hint="eastAsia" w:ascii="仿宋" w:hAnsi="仿宋" w:eastAsia="仿宋" w:cs="仿宋"/>
                <w:b w:val="0"/>
                <w:bCs w:val="0"/>
                <w:spacing w:val="-6"/>
                <w:sz w:val="21"/>
                <w:szCs w:val="21"/>
              </w:rPr>
              <w:t>备注</w:t>
            </w:r>
          </w:p>
        </w:tc>
      </w:tr>
      <w:tr w14:paraId="62C80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jc w:val="center"/>
        </w:trPr>
        <w:tc>
          <w:tcPr>
            <w:tcW w:w="1419" w:type="pct"/>
            <w:vAlign w:val="center"/>
          </w:tcPr>
          <w:p w14:paraId="0D4FF1D5">
            <w:pPr>
              <w:pStyle w:val="10"/>
              <w:spacing w:before="102" w:line="220" w:lineRule="auto"/>
              <w:jc w:val="center"/>
              <w:rPr>
                <w:rFonts w:hint="eastAsia" w:ascii="仿宋" w:hAnsi="仿宋" w:eastAsia="仿宋" w:cs="仿宋"/>
                <w:spacing w:val="6"/>
                <w:sz w:val="21"/>
                <w:szCs w:val="21"/>
              </w:rPr>
            </w:pPr>
            <w:r>
              <w:rPr>
                <w:rFonts w:hint="eastAsia" w:ascii="仿宋" w:hAnsi="仿宋" w:eastAsia="仿宋" w:cs="仿宋"/>
                <w:spacing w:val="-16"/>
                <w:sz w:val="21"/>
                <w:szCs w:val="21"/>
              </w:rPr>
              <w:t>围网</w:t>
            </w:r>
          </w:p>
        </w:tc>
        <w:tc>
          <w:tcPr>
            <w:tcW w:w="840" w:type="pct"/>
            <w:vAlign w:val="center"/>
          </w:tcPr>
          <w:p w14:paraId="720C5258">
            <w:pPr>
              <w:pStyle w:val="10"/>
              <w:spacing w:before="126" w:line="225" w:lineRule="auto"/>
              <w:jc w:val="center"/>
              <w:rPr>
                <w:rFonts w:hint="eastAsia" w:ascii="仿宋" w:hAnsi="仿宋" w:eastAsia="仿宋" w:cs="仿宋"/>
                <w:spacing w:val="-1"/>
                <w:sz w:val="21"/>
                <w:szCs w:val="21"/>
              </w:rPr>
            </w:pPr>
            <w:r>
              <w:rPr>
                <w:rFonts w:hint="eastAsia" w:ascii="仿宋" w:hAnsi="仿宋" w:eastAsia="仿宋" w:cs="仿宋"/>
                <w:spacing w:val="-1"/>
                <w:sz w:val="21"/>
                <w:szCs w:val="21"/>
              </w:rPr>
              <w:t>m²</w:t>
            </w:r>
          </w:p>
        </w:tc>
        <w:tc>
          <w:tcPr>
            <w:tcW w:w="1148" w:type="pct"/>
            <w:vAlign w:val="center"/>
          </w:tcPr>
          <w:p w14:paraId="360EC5E1">
            <w:pPr>
              <w:pStyle w:val="10"/>
              <w:spacing w:before="126" w:line="225" w:lineRule="auto"/>
              <w:jc w:val="center"/>
              <w:rPr>
                <w:rFonts w:hint="eastAsia" w:ascii="仿宋" w:hAnsi="仿宋" w:eastAsia="仿宋" w:cs="仿宋"/>
                <w:spacing w:val="-4"/>
                <w:sz w:val="21"/>
                <w:szCs w:val="21"/>
              </w:rPr>
            </w:pPr>
            <w:r>
              <w:rPr>
                <w:rFonts w:hint="eastAsia" w:ascii="仿宋" w:hAnsi="仿宋" w:eastAsia="仿宋" w:cs="仿宋"/>
                <w:spacing w:val="-2"/>
                <w:sz w:val="21"/>
                <w:szCs w:val="21"/>
              </w:rPr>
              <w:t>414</w:t>
            </w:r>
          </w:p>
        </w:tc>
        <w:tc>
          <w:tcPr>
            <w:tcW w:w="1591" w:type="pct"/>
            <w:vAlign w:val="center"/>
          </w:tcPr>
          <w:p w14:paraId="72A28E68">
            <w:pPr>
              <w:pStyle w:val="10"/>
              <w:spacing w:before="105" w:line="222" w:lineRule="auto"/>
              <w:jc w:val="center"/>
              <w:rPr>
                <w:rFonts w:hint="eastAsia" w:ascii="仿宋" w:hAnsi="仿宋" w:eastAsia="仿宋" w:cs="仿宋"/>
                <w:spacing w:val="-3"/>
                <w:sz w:val="21"/>
                <w:szCs w:val="21"/>
              </w:rPr>
            </w:pPr>
            <w:r>
              <w:rPr>
                <w:rFonts w:hint="eastAsia" w:ascii="仿宋" w:hAnsi="仿宋" w:eastAsia="仿宋" w:cs="仿宋"/>
                <w:spacing w:val="-4"/>
                <w:sz w:val="21"/>
                <w:szCs w:val="21"/>
              </w:rPr>
              <w:t>(28+18)×2×4.5</w:t>
            </w:r>
          </w:p>
        </w:tc>
      </w:tr>
      <w:tr w14:paraId="2FE918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jc w:val="center"/>
        </w:trPr>
        <w:tc>
          <w:tcPr>
            <w:tcW w:w="1419" w:type="pct"/>
            <w:vAlign w:val="center"/>
          </w:tcPr>
          <w:p w14:paraId="496FC8BB">
            <w:pPr>
              <w:pStyle w:val="10"/>
              <w:spacing w:before="92" w:line="219" w:lineRule="auto"/>
              <w:jc w:val="center"/>
              <w:rPr>
                <w:rFonts w:hint="eastAsia" w:ascii="仿宋" w:hAnsi="仿宋" w:eastAsia="仿宋" w:cs="仿宋"/>
                <w:spacing w:val="-16"/>
                <w:sz w:val="21"/>
                <w:szCs w:val="21"/>
              </w:rPr>
            </w:pPr>
            <w:r>
              <w:rPr>
                <w:rFonts w:hint="eastAsia" w:ascii="仿宋" w:hAnsi="仿宋" w:eastAsia="仿宋" w:cs="仿宋"/>
                <w:spacing w:val="6"/>
                <w:sz w:val="21"/>
                <w:szCs w:val="21"/>
              </w:rPr>
              <w:t>人造草(含划线)</w:t>
            </w:r>
          </w:p>
        </w:tc>
        <w:tc>
          <w:tcPr>
            <w:tcW w:w="840" w:type="pct"/>
            <w:vAlign w:val="center"/>
          </w:tcPr>
          <w:p w14:paraId="6F007331">
            <w:pPr>
              <w:pStyle w:val="10"/>
              <w:spacing w:before="116" w:line="225" w:lineRule="auto"/>
              <w:jc w:val="center"/>
              <w:rPr>
                <w:rFonts w:hint="eastAsia" w:ascii="仿宋" w:hAnsi="仿宋" w:eastAsia="仿宋" w:cs="仿宋"/>
                <w:spacing w:val="-1"/>
                <w:sz w:val="21"/>
                <w:szCs w:val="21"/>
              </w:rPr>
            </w:pPr>
            <w:r>
              <w:rPr>
                <w:rFonts w:hint="eastAsia" w:ascii="仿宋" w:hAnsi="仿宋" w:eastAsia="仿宋" w:cs="仿宋"/>
                <w:spacing w:val="-1"/>
                <w:sz w:val="21"/>
                <w:szCs w:val="21"/>
              </w:rPr>
              <w:t>m²</w:t>
            </w:r>
          </w:p>
        </w:tc>
        <w:tc>
          <w:tcPr>
            <w:tcW w:w="1148" w:type="pct"/>
            <w:vAlign w:val="center"/>
          </w:tcPr>
          <w:p w14:paraId="5AFF2D28">
            <w:pPr>
              <w:pStyle w:val="10"/>
              <w:spacing w:before="116" w:line="225" w:lineRule="auto"/>
              <w:jc w:val="center"/>
              <w:rPr>
                <w:rFonts w:hint="eastAsia" w:ascii="仿宋" w:hAnsi="仿宋" w:eastAsia="仿宋" w:cs="仿宋"/>
                <w:spacing w:val="-2"/>
                <w:sz w:val="21"/>
                <w:szCs w:val="21"/>
              </w:rPr>
            </w:pPr>
            <w:r>
              <w:rPr>
                <w:rFonts w:hint="eastAsia" w:ascii="仿宋" w:hAnsi="仿宋" w:eastAsia="仿宋" w:cs="仿宋"/>
                <w:spacing w:val="-4"/>
                <w:sz w:val="21"/>
                <w:szCs w:val="21"/>
              </w:rPr>
              <w:t>504</w:t>
            </w:r>
          </w:p>
        </w:tc>
        <w:tc>
          <w:tcPr>
            <w:tcW w:w="1591" w:type="pct"/>
            <w:vAlign w:val="center"/>
          </w:tcPr>
          <w:p w14:paraId="2C18B60F">
            <w:pPr>
              <w:pStyle w:val="10"/>
              <w:spacing w:before="116" w:line="225" w:lineRule="auto"/>
              <w:jc w:val="center"/>
              <w:rPr>
                <w:rFonts w:hint="eastAsia" w:ascii="仿宋" w:hAnsi="仿宋" w:eastAsia="仿宋" w:cs="仿宋"/>
                <w:spacing w:val="-4"/>
                <w:sz w:val="21"/>
                <w:szCs w:val="21"/>
              </w:rPr>
            </w:pPr>
            <w:r>
              <w:rPr>
                <w:rFonts w:hint="eastAsia" w:ascii="仿宋" w:hAnsi="仿宋" w:eastAsia="仿宋" w:cs="仿宋"/>
                <w:spacing w:val="-3"/>
                <w:sz w:val="21"/>
                <w:szCs w:val="21"/>
              </w:rPr>
              <w:t>28×18</w:t>
            </w:r>
          </w:p>
        </w:tc>
      </w:tr>
      <w:tr w14:paraId="0DCE1E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3" w:hRule="atLeast"/>
          <w:jc w:val="center"/>
        </w:trPr>
        <w:tc>
          <w:tcPr>
            <w:tcW w:w="1419" w:type="pct"/>
            <w:vAlign w:val="center"/>
          </w:tcPr>
          <w:p w14:paraId="2536AE11">
            <w:pPr>
              <w:pStyle w:val="10"/>
              <w:spacing w:before="94" w:line="220" w:lineRule="auto"/>
              <w:jc w:val="center"/>
              <w:rPr>
                <w:rFonts w:hint="eastAsia" w:ascii="仿宋" w:hAnsi="仿宋" w:eastAsia="仿宋" w:cs="仿宋"/>
                <w:sz w:val="21"/>
                <w:szCs w:val="21"/>
              </w:rPr>
            </w:pPr>
            <w:r>
              <w:rPr>
                <w:rFonts w:hint="eastAsia" w:ascii="仿宋" w:hAnsi="仿宋" w:eastAsia="仿宋" w:cs="仿宋"/>
                <w:spacing w:val="-8"/>
                <w:sz w:val="21"/>
                <w:szCs w:val="21"/>
              </w:rPr>
              <w:t>天网</w:t>
            </w:r>
          </w:p>
        </w:tc>
        <w:tc>
          <w:tcPr>
            <w:tcW w:w="840" w:type="pct"/>
            <w:vAlign w:val="center"/>
          </w:tcPr>
          <w:p w14:paraId="09BB73D7">
            <w:pPr>
              <w:pStyle w:val="10"/>
              <w:spacing w:before="117" w:line="224" w:lineRule="auto"/>
              <w:jc w:val="center"/>
              <w:rPr>
                <w:rFonts w:hint="eastAsia" w:ascii="仿宋" w:hAnsi="仿宋" w:eastAsia="仿宋" w:cs="仿宋"/>
                <w:sz w:val="21"/>
                <w:szCs w:val="21"/>
              </w:rPr>
            </w:pPr>
            <w:r>
              <w:rPr>
                <w:rFonts w:hint="eastAsia" w:ascii="仿宋" w:hAnsi="仿宋" w:eastAsia="仿宋" w:cs="仿宋"/>
                <w:spacing w:val="-1"/>
                <w:sz w:val="21"/>
                <w:szCs w:val="21"/>
              </w:rPr>
              <w:t>m²</w:t>
            </w:r>
          </w:p>
        </w:tc>
        <w:tc>
          <w:tcPr>
            <w:tcW w:w="1148" w:type="pct"/>
            <w:vAlign w:val="center"/>
          </w:tcPr>
          <w:p w14:paraId="293687BE">
            <w:pPr>
              <w:pStyle w:val="10"/>
              <w:spacing w:before="117" w:line="224" w:lineRule="auto"/>
              <w:jc w:val="center"/>
              <w:rPr>
                <w:rFonts w:hint="eastAsia" w:ascii="仿宋" w:hAnsi="仿宋" w:eastAsia="仿宋" w:cs="仿宋"/>
                <w:sz w:val="21"/>
                <w:szCs w:val="21"/>
              </w:rPr>
            </w:pPr>
            <w:r>
              <w:rPr>
                <w:rFonts w:hint="eastAsia" w:ascii="仿宋" w:hAnsi="仿宋" w:eastAsia="仿宋" w:cs="仿宋"/>
                <w:spacing w:val="-4"/>
                <w:sz w:val="21"/>
                <w:szCs w:val="21"/>
              </w:rPr>
              <w:t>504</w:t>
            </w:r>
          </w:p>
        </w:tc>
        <w:tc>
          <w:tcPr>
            <w:tcW w:w="1591" w:type="pct"/>
            <w:vAlign w:val="center"/>
          </w:tcPr>
          <w:p w14:paraId="7C4E20DC">
            <w:pPr>
              <w:pStyle w:val="10"/>
              <w:spacing w:before="117" w:line="224" w:lineRule="auto"/>
              <w:jc w:val="center"/>
              <w:rPr>
                <w:rFonts w:hint="eastAsia" w:ascii="仿宋" w:hAnsi="仿宋" w:eastAsia="仿宋" w:cs="仿宋"/>
                <w:sz w:val="21"/>
                <w:szCs w:val="21"/>
              </w:rPr>
            </w:pPr>
            <w:r>
              <w:rPr>
                <w:rFonts w:hint="eastAsia" w:ascii="仿宋" w:hAnsi="仿宋" w:eastAsia="仿宋" w:cs="仿宋"/>
                <w:spacing w:val="-3"/>
                <w:sz w:val="21"/>
                <w:szCs w:val="21"/>
              </w:rPr>
              <w:t>28×18</w:t>
            </w:r>
          </w:p>
        </w:tc>
      </w:tr>
      <w:tr w14:paraId="1D9FC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jc w:val="center"/>
        </w:trPr>
        <w:tc>
          <w:tcPr>
            <w:tcW w:w="1419" w:type="pct"/>
            <w:vAlign w:val="center"/>
          </w:tcPr>
          <w:p w14:paraId="289D317D">
            <w:pPr>
              <w:pStyle w:val="10"/>
              <w:spacing w:before="104" w:line="219" w:lineRule="auto"/>
              <w:jc w:val="center"/>
              <w:rPr>
                <w:rFonts w:hint="eastAsia" w:ascii="仿宋" w:hAnsi="仿宋" w:eastAsia="仿宋" w:cs="仿宋"/>
                <w:sz w:val="21"/>
                <w:szCs w:val="21"/>
              </w:rPr>
            </w:pPr>
            <w:bookmarkStart w:id="7" w:name="_GoBack"/>
            <w:bookmarkEnd w:id="7"/>
            <w:r>
              <w:rPr>
                <w:rFonts w:hint="eastAsia" w:ascii="仿宋" w:hAnsi="仿宋" w:eastAsia="仿宋" w:cs="仿宋"/>
                <w:spacing w:val="2"/>
                <w:sz w:val="21"/>
                <w:szCs w:val="21"/>
              </w:rPr>
              <w:t>太阳能灯光</w:t>
            </w:r>
          </w:p>
        </w:tc>
        <w:tc>
          <w:tcPr>
            <w:tcW w:w="840" w:type="pct"/>
            <w:vAlign w:val="center"/>
          </w:tcPr>
          <w:p w14:paraId="104B9BD4">
            <w:pPr>
              <w:pStyle w:val="10"/>
              <w:spacing w:before="129" w:line="223" w:lineRule="auto"/>
              <w:jc w:val="center"/>
              <w:rPr>
                <w:rFonts w:hint="eastAsia" w:ascii="仿宋" w:hAnsi="仿宋" w:eastAsia="仿宋" w:cs="仿宋"/>
                <w:sz w:val="21"/>
                <w:szCs w:val="21"/>
              </w:rPr>
            </w:pPr>
            <w:r>
              <w:rPr>
                <w:rFonts w:hint="eastAsia" w:ascii="仿宋" w:hAnsi="仿宋" w:eastAsia="仿宋" w:cs="仿宋"/>
                <w:sz w:val="21"/>
                <w:szCs w:val="21"/>
              </w:rPr>
              <w:t>组</w:t>
            </w:r>
          </w:p>
        </w:tc>
        <w:tc>
          <w:tcPr>
            <w:tcW w:w="1148" w:type="pct"/>
            <w:vAlign w:val="center"/>
          </w:tcPr>
          <w:p w14:paraId="616903A7">
            <w:pPr>
              <w:pStyle w:val="10"/>
              <w:spacing w:before="129" w:line="223" w:lineRule="auto"/>
              <w:jc w:val="center"/>
              <w:rPr>
                <w:rFonts w:hint="eastAsia" w:ascii="仿宋" w:hAnsi="仿宋" w:eastAsia="仿宋" w:cs="仿宋"/>
                <w:sz w:val="21"/>
                <w:szCs w:val="21"/>
              </w:rPr>
            </w:pPr>
            <w:r>
              <w:rPr>
                <w:rFonts w:hint="eastAsia" w:ascii="仿宋" w:hAnsi="仿宋" w:eastAsia="仿宋" w:cs="仿宋"/>
                <w:sz w:val="21"/>
                <w:szCs w:val="21"/>
              </w:rPr>
              <w:t>6</w:t>
            </w:r>
          </w:p>
        </w:tc>
        <w:tc>
          <w:tcPr>
            <w:tcW w:w="1591" w:type="pct"/>
            <w:vAlign w:val="center"/>
          </w:tcPr>
          <w:p w14:paraId="3D2ACD2E">
            <w:pPr>
              <w:jc w:val="center"/>
              <w:rPr>
                <w:rFonts w:hint="eastAsia" w:ascii="仿宋" w:hAnsi="仿宋" w:eastAsia="仿宋" w:cs="仿宋"/>
                <w:sz w:val="21"/>
                <w:szCs w:val="21"/>
              </w:rPr>
            </w:pPr>
          </w:p>
        </w:tc>
      </w:tr>
      <w:tr w14:paraId="7C19E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jc w:val="center"/>
        </w:trPr>
        <w:tc>
          <w:tcPr>
            <w:tcW w:w="1419" w:type="pct"/>
            <w:vAlign w:val="center"/>
          </w:tcPr>
          <w:p w14:paraId="6E40A5B7">
            <w:pPr>
              <w:pStyle w:val="10"/>
              <w:spacing w:before="105" w:line="219" w:lineRule="auto"/>
              <w:jc w:val="center"/>
              <w:rPr>
                <w:rFonts w:hint="eastAsia" w:ascii="仿宋" w:hAnsi="仿宋" w:eastAsia="仿宋" w:cs="仿宋"/>
                <w:sz w:val="21"/>
                <w:szCs w:val="21"/>
                <w:lang w:val="en-US" w:eastAsia="zh-CN"/>
              </w:rPr>
            </w:pPr>
            <w:r>
              <w:rPr>
                <w:rFonts w:hint="eastAsia" w:ascii="仿宋" w:hAnsi="仿宋" w:eastAsia="仿宋" w:cs="仿宋"/>
                <w:spacing w:val="7"/>
                <w:sz w:val="21"/>
                <w:szCs w:val="21"/>
              </w:rPr>
              <w:t>球门(含球网)</w:t>
            </w:r>
          </w:p>
        </w:tc>
        <w:tc>
          <w:tcPr>
            <w:tcW w:w="840" w:type="pct"/>
            <w:vAlign w:val="center"/>
          </w:tcPr>
          <w:p w14:paraId="1D9F5E0C">
            <w:pPr>
              <w:pStyle w:val="10"/>
              <w:spacing w:before="130" w:line="222" w:lineRule="auto"/>
              <w:jc w:val="center"/>
              <w:rPr>
                <w:rFonts w:hint="eastAsia" w:ascii="仿宋" w:hAnsi="仿宋" w:eastAsia="仿宋" w:cs="仿宋"/>
                <w:sz w:val="21"/>
                <w:szCs w:val="21"/>
                <w:lang w:val="en-US" w:eastAsia="zh-CN"/>
              </w:rPr>
            </w:pPr>
            <w:r>
              <w:rPr>
                <w:rFonts w:hint="eastAsia" w:ascii="仿宋" w:hAnsi="仿宋" w:eastAsia="仿宋" w:cs="仿宋"/>
                <w:sz w:val="21"/>
                <w:szCs w:val="21"/>
              </w:rPr>
              <w:t>个</w:t>
            </w:r>
          </w:p>
        </w:tc>
        <w:tc>
          <w:tcPr>
            <w:tcW w:w="1148" w:type="pct"/>
            <w:vAlign w:val="center"/>
          </w:tcPr>
          <w:p w14:paraId="7C011501">
            <w:pPr>
              <w:pStyle w:val="10"/>
              <w:spacing w:before="130" w:line="222" w:lineRule="auto"/>
              <w:jc w:val="center"/>
              <w:rPr>
                <w:rFonts w:hint="eastAsia" w:ascii="仿宋" w:hAnsi="仿宋" w:eastAsia="仿宋" w:cs="仿宋"/>
                <w:sz w:val="21"/>
                <w:szCs w:val="21"/>
              </w:rPr>
            </w:pPr>
            <w:r>
              <w:rPr>
                <w:rFonts w:hint="eastAsia" w:ascii="仿宋" w:hAnsi="仿宋" w:eastAsia="仿宋" w:cs="仿宋"/>
                <w:sz w:val="21"/>
                <w:szCs w:val="21"/>
              </w:rPr>
              <w:t>2</w:t>
            </w:r>
          </w:p>
        </w:tc>
        <w:tc>
          <w:tcPr>
            <w:tcW w:w="1591" w:type="pct"/>
            <w:vAlign w:val="center"/>
          </w:tcPr>
          <w:p w14:paraId="7CF223EA">
            <w:pPr>
              <w:jc w:val="center"/>
              <w:rPr>
                <w:rFonts w:hint="eastAsia" w:ascii="仿宋" w:hAnsi="仿宋" w:eastAsia="仿宋" w:cs="仿宋"/>
                <w:sz w:val="21"/>
                <w:szCs w:val="21"/>
              </w:rPr>
            </w:pPr>
          </w:p>
        </w:tc>
      </w:tr>
    </w:tbl>
    <w:p w14:paraId="7E9E4C4E">
      <w:pPr>
        <w:spacing w:line="360" w:lineRule="auto"/>
        <w:rPr>
          <w:rFonts w:hint="eastAsia" w:ascii="仿宋" w:hAnsi="仿宋" w:eastAsia="仿宋" w:cs="仿宋"/>
          <w:highlight w:val="none"/>
        </w:rPr>
      </w:pPr>
      <w:r>
        <w:rPr>
          <w:rFonts w:hint="eastAsia" w:ascii="仿宋" w:hAnsi="仿宋" w:eastAsia="仿宋" w:cs="仿宋"/>
          <w:b/>
          <w:szCs w:val="24"/>
          <w:highlight w:val="none"/>
        </w:rPr>
        <w:t xml:space="preserve">八、运输、安装、调试要求 </w:t>
      </w:r>
    </w:p>
    <w:p w14:paraId="7F274DA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w:t>
      </w:r>
    </w:p>
    <w:p w14:paraId="2CB111C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2.由供应商安装、调试及试运行的进度计划表。</w:t>
      </w:r>
    </w:p>
    <w:p w14:paraId="1981680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091B1E27">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14:paraId="167095EA">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14:paraId="59AA2D35">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九、技术支持</w:t>
      </w:r>
    </w:p>
    <w:p w14:paraId="4820615F">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79471C27">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2.供应商在项目实施过程中，质量保障人员、资源不足或者执行不力，给项目质量带来的风险超出采购人认定的允许范围时，采购人可终止本项目的合作并进行索赔。</w:t>
      </w:r>
    </w:p>
    <w:p w14:paraId="5B728FDE">
      <w:pPr>
        <w:spacing w:line="360" w:lineRule="auto"/>
        <w:rPr>
          <w:rFonts w:hint="eastAsia" w:ascii="仿宋" w:hAnsi="仿宋" w:eastAsia="仿宋" w:cs="仿宋"/>
          <w:b/>
          <w:bCs/>
          <w:szCs w:val="24"/>
          <w:highlight w:val="none"/>
        </w:rPr>
      </w:pPr>
      <w:r>
        <w:rPr>
          <w:rFonts w:hint="eastAsia" w:ascii="仿宋" w:hAnsi="仿宋" w:eastAsia="仿宋" w:cs="仿宋"/>
          <w:b/>
          <w:bCs/>
          <w:highlight w:val="none"/>
        </w:rPr>
        <w:t>十、</w:t>
      </w:r>
      <w:r>
        <w:rPr>
          <w:rFonts w:hint="eastAsia" w:ascii="仿宋" w:hAnsi="仿宋" w:eastAsia="仿宋" w:cs="仿宋"/>
          <w:b/>
          <w:bCs/>
          <w:szCs w:val="24"/>
          <w:highlight w:val="none"/>
        </w:rPr>
        <w:t>技术培训</w:t>
      </w:r>
    </w:p>
    <w:p w14:paraId="12B8A7D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应包括产品使用操作、保养、维修等培训内容。供应商需</w:t>
      </w:r>
      <w:r>
        <w:rPr>
          <w:rFonts w:hint="eastAsia" w:ascii="仿宋" w:hAnsi="仿宋" w:eastAsia="仿宋" w:cs="仿宋"/>
          <w:highlight w:val="none"/>
        </w:rPr>
        <w:t>按采购人要求的时间为</w:t>
      </w:r>
      <w:r>
        <w:rPr>
          <w:rFonts w:hint="eastAsia" w:ascii="仿宋" w:hAnsi="仿宋" w:eastAsia="仿宋" w:cs="仿宋"/>
          <w:szCs w:val="24"/>
          <w:highlight w:val="none"/>
        </w:rPr>
        <w:t>采购人免费培训技术人员若干名，培训服务以受培训人员熟练掌握相应技能为原则。在产品投入使用初期进行必要的跟踪指导，保障产品的稳定运行。产品需在培训基地培训的，供应商应按要求履行，培训产生的交通费、食宿费、培训费等均由供应商承担。</w:t>
      </w:r>
    </w:p>
    <w:p w14:paraId="27EC6F80">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十一、技术资料要求</w:t>
      </w:r>
    </w:p>
    <w:p w14:paraId="697574CB">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供应商应向采购人提供全套中文技术资料一套，其费用包括在</w:t>
      </w:r>
      <w:r>
        <w:rPr>
          <w:rFonts w:hint="eastAsia" w:ascii="仿宋" w:hAnsi="仿宋" w:eastAsia="仿宋" w:cs="仿宋"/>
          <w:szCs w:val="24"/>
          <w:highlight w:val="none"/>
          <w:lang w:eastAsia="zh-CN"/>
        </w:rPr>
        <w:t>投标报价</w:t>
      </w:r>
      <w:r>
        <w:rPr>
          <w:rFonts w:hint="eastAsia" w:ascii="仿宋" w:hAnsi="仿宋" w:eastAsia="仿宋" w:cs="仿宋"/>
          <w:szCs w:val="22"/>
          <w:highlight w:val="none"/>
        </w:rPr>
        <w:t>中：</w:t>
      </w:r>
    </w:p>
    <w:p w14:paraId="6C46465C">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1.完整的产品操作使用手册、说明书和维护、修理技术文件，图纸（线路图、原理图等）、保修卡等；</w:t>
      </w:r>
    </w:p>
    <w:p w14:paraId="4C9FD8EB">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2.制造厂的检验、测试报告、产品检验合格证书，质量保证书等文件验收时须一并提供；</w:t>
      </w:r>
    </w:p>
    <w:p w14:paraId="7C0E2635">
      <w:pPr>
        <w:spacing w:line="360" w:lineRule="auto"/>
        <w:ind w:firstLine="420" w:firstLineChars="200"/>
        <w:jc w:val="left"/>
        <w:rPr>
          <w:rFonts w:hint="eastAsia" w:ascii="仿宋" w:hAnsi="仿宋" w:eastAsia="仿宋" w:cs="仿宋"/>
          <w:szCs w:val="22"/>
          <w:highlight w:val="none"/>
        </w:rPr>
      </w:pPr>
      <w:r>
        <w:rPr>
          <w:rFonts w:hint="eastAsia" w:ascii="仿宋" w:hAnsi="仿宋" w:eastAsia="仿宋" w:cs="仿宋"/>
          <w:szCs w:val="22"/>
          <w:highlight w:val="none"/>
        </w:rPr>
        <w:t>3.产品验收标准；</w:t>
      </w:r>
    </w:p>
    <w:p w14:paraId="1AE82F05">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4.技术说明书及必需的其它技术资料；</w:t>
      </w:r>
    </w:p>
    <w:p w14:paraId="5EE0E05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5.产品安装，调试、维修线路图及原理图；</w:t>
      </w:r>
    </w:p>
    <w:p w14:paraId="0BF219F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6.零部件目录；</w:t>
      </w:r>
    </w:p>
    <w:p w14:paraId="4418C1A5">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7.备品备件、易损件清单；</w:t>
      </w:r>
    </w:p>
    <w:p w14:paraId="0D39264E">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8.整体验收后提供验收报告；</w:t>
      </w:r>
    </w:p>
    <w:p w14:paraId="3E8D6A5C">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9.合同中要求的其他文件资料；</w:t>
      </w:r>
    </w:p>
    <w:p w14:paraId="32356AA6">
      <w:pPr>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10.检定/校准报告。</w:t>
      </w:r>
    </w:p>
    <w:p w14:paraId="2C0FD319">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十二、质量保证</w:t>
      </w:r>
    </w:p>
    <w:p w14:paraId="0E27FD1D">
      <w:pPr>
        <w:spacing w:line="360" w:lineRule="auto"/>
        <w:ind w:firstLine="420" w:firstLineChars="200"/>
        <w:rPr>
          <w:rFonts w:hint="eastAsia" w:ascii="仿宋" w:hAnsi="仿宋" w:eastAsia="仿宋" w:cs="仿宋"/>
          <w:highlight w:val="none"/>
        </w:rPr>
      </w:pPr>
      <w:r>
        <w:rPr>
          <w:rFonts w:hint="eastAsia" w:ascii="仿宋" w:hAnsi="仿宋" w:eastAsia="仿宋" w:cs="仿宋"/>
          <w:szCs w:val="24"/>
          <w:highlight w:val="none"/>
        </w:rPr>
        <w:t>1.供应商</w:t>
      </w:r>
      <w:r>
        <w:rPr>
          <w:rFonts w:hint="eastAsia" w:ascii="仿宋" w:hAnsi="仿宋" w:eastAsia="仿宋" w:cs="仿宋"/>
          <w:highlight w:val="none"/>
        </w:rPr>
        <w:t>提供的</w:t>
      </w:r>
      <w:r>
        <w:rPr>
          <w:rFonts w:hint="eastAsia" w:ascii="仿宋" w:hAnsi="仿宋" w:eastAsia="仿宋" w:cs="仿宋"/>
          <w:szCs w:val="24"/>
          <w:highlight w:val="none"/>
        </w:rPr>
        <w:t>产品</w:t>
      </w:r>
      <w:r>
        <w:rPr>
          <w:rFonts w:hint="eastAsia" w:ascii="仿宋" w:hAnsi="仿宋" w:eastAsia="仿宋" w:cs="仿宋"/>
          <w:highlight w:val="none"/>
        </w:rPr>
        <w:t>及材料必须保证质量可靠，为市场最新或主流</w:t>
      </w:r>
      <w:r>
        <w:rPr>
          <w:rFonts w:hint="eastAsia" w:ascii="仿宋" w:hAnsi="仿宋" w:eastAsia="仿宋" w:cs="仿宋"/>
          <w:szCs w:val="24"/>
          <w:highlight w:val="none"/>
        </w:rPr>
        <w:t>产品</w:t>
      </w:r>
      <w:r>
        <w:rPr>
          <w:rFonts w:hint="eastAsia" w:ascii="仿宋" w:hAnsi="仿宋" w:eastAsia="仿宋" w:cs="仿宋"/>
          <w:highlight w:val="none"/>
        </w:rPr>
        <w:t>，进货渠道正常，配置合理齐全，应全面满足</w:t>
      </w:r>
      <w:r>
        <w:rPr>
          <w:rFonts w:hint="eastAsia" w:ascii="仿宋" w:hAnsi="仿宋" w:eastAsia="仿宋" w:cs="仿宋"/>
          <w:highlight w:val="none"/>
          <w:lang w:eastAsia="zh-CN"/>
        </w:rPr>
        <w:t>招标</w:t>
      </w:r>
      <w:r>
        <w:rPr>
          <w:rFonts w:hint="eastAsia" w:ascii="仿宋" w:hAnsi="仿宋" w:eastAsia="仿宋" w:cs="仿宋"/>
          <w:highlight w:val="none"/>
        </w:rPr>
        <w:t>文件的要求，</w:t>
      </w:r>
      <w:r>
        <w:rPr>
          <w:rFonts w:hint="eastAsia" w:ascii="仿宋" w:hAnsi="仿宋" w:eastAsia="仿宋" w:cs="仿宋"/>
          <w:highlight w:val="none"/>
          <w:lang w:eastAsia="zh-CN"/>
        </w:rPr>
        <w:t>招标</w:t>
      </w:r>
      <w:r>
        <w:rPr>
          <w:rFonts w:hint="eastAsia" w:ascii="仿宋" w:hAnsi="仿宋" w:eastAsia="仿宋" w:cs="仿宋"/>
          <w:highlight w:val="none"/>
        </w:rPr>
        <w:t>文件未明确要求的内容，供应商须按采购</w:t>
      </w:r>
      <w:r>
        <w:rPr>
          <w:rFonts w:hint="eastAsia" w:ascii="仿宋" w:hAnsi="仿宋" w:eastAsia="仿宋" w:cs="仿宋"/>
          <w:szCs w:val="24"/>
          <w:highlight w:val="none"/>
        </w:rPr>
        <w:t>产品</w:t>
      </w:r>
      <w:r>
        <w:rPr>
          <w:rFonts w:hint="eastAsia" w:ascii="仿宋" w:hAnsi="仿宋" w:eastAsia="仿宋" w:cs="仿宋"/>
          <w:highlight w:val="none"/>
        </w:rPr>
        <w:t>主流标准配置或以采购人的补充要求为准。所供产品工艺质量应严格按国家最新发布的规范标准执行，如发生质量问题由供应商承担全部责任。</w:t>
      </w:r>
    </w:p>
    <w:p w14:paraId="0304E6F7">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2.供应商应保证所有产品的完好无损包括配套包装，如有缺漏、损坏，由供应商负责调换、补齐或赔偿。</w:t>
      </w:r>
    </w:p>
    <w:p w14:paraId="0412B0F2">
      <w:pPr>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3.采购人使用产品过程中因产品质量、产品缺陷及安装质量等造成人身伤亡、财产损失的，由供应商负责解决并承担全部责任。</w:t>
      </w:r>
    </w:p>
    <w:p w14:paraId="47885246">
      <w:pPr>
        <w:tabs>
          <w:tab w:val="left" w:pos="108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4.供应商应提供可承担维修职能的公司、全资分公司或办事处，并驻守多名维护技术人员，并提供地点、联系人（常驻工程师）及联系电话（服务热线），随时解答各种疑问（需提供相关证明材料）</w:t>
      </w:r>
      <w:r>
        <w:rPr>
          <w:rFonts w:hint="eastAsia" w:ascii="仿宋" w:hAnsi="仿宋" w:eastAsia="仿宋" w:cs="仿宋"/>
          <w:szCs w:val="21"/>
          <w:highlight w:val="none"/>
        </w:rPr>
        <w:t>。</w:t>
      </w:r>
    </w:p>
    <w:p w14:paraId="071E2A42">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服务方式：现场服务，质保期内维修费用含在合同总价中（成交价格），提供终身维修（护）。在质量保证期内发生重大故障，维修工程师抵达现场时间≤48小时。产品实行“三包”，并承担由此产生的包装、运输等的一切费用。</w:t>
      </w:r>
    </w:p>
    <w:p w14:paraId="113DB1DA">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6.质保期内每月至少一次免费上门维护，回访。</w:t>
      </w:r>
    </w:p>
    <w:p w14:paraId="6B53F473">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7.对于存在质量问题或者短少的产品，供应商应在接到采购人的通知2个日历日内负责修复，调换、重新制作或补齐。</w:t>
      </w:r>
    </w:p>
    <w:p w14:paraId="78C214A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8.在最终验收后的质量保证期内，供应商应对设计、工艺或材料等的缺陷而产生的故障负责（负责解决并承担全部费用）。质保期满后如出现此类问题亦应负责。</w:t>
      </w:r>
    </w:p>
    <w:p w14:paraId="7F3A7A3C">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w:t>
      </w:r>
      <w:r>
        <w:rPr>
          <w:rFonts w:hint="eastAsia" w:ascii="仿宋" w:hAnsi="仿宋" w:eastAsia="仿宋" w:cs="仿宋"/>
          <w:szCs w:val="24"/>
          <w:highlight w:val="none"/>
          <w:lang w:eastAsia="zh-CN"/>
        </w:rPr>
        <w:t>招标</w:t>
      </w:r>
      <w:r>
        <w:rPr>
          <w:rFonts w:hint="eastAsia" w:ascii="仿宋" w:hAnsi="仿宋" w:eastAsia="仿宋" w:cs="仿宋"/>
          <w:szCs w:val="24"/>
          <w:highlight w:val="none"/>
        </w:rPr>
        <w:t>文件要求对待。</w:t>
      </w:r>
    </w:p>
    <w:p w14:paraId="16321946">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rPr>
        <w:t>10.</w:t>
      </w:r>
      <w:r>
        <w:rPr>
          <w:rFonts w:hint="eastAsia" w:ascii="仿宋" w:hAnsi="仿宋" w:eastAsia="仿宋" w:cs="仿宋"/>
          <w:highlight w:val="none"/>
        </w:rPr>
        <w:t>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55B6458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11.供应商提供的产品及材料必须保证质量可靠，为市场最新或主流产品，进货渠道正常，配置合理齐全，应全面满足</w:t>
      </w:r>
      <w:r>
        <w:rPr>
          <w:rFonts w:hint="eastAsia" w:ascii="仿宋" w:hAnsi="仿宋" w:eastAsia="仿宋" w:cs="仿宋"/>
          <w:szCs w:val="24"/>
          <w:highlight w:val="none"/>
          <w:lang w:eastAsia="zh-CN"/>
        </w:rPr>
        <w:t>招标</w:t>
      </w:r>
      <w:r>
        <w:rPr>
          <w:rFonts w:hint="eastAsia" w:ascii="仿宋" w:hAnsi="仿宋" w:eastAsia="仿宋" w:cs="仿宋"/>
          <w:szCs w:val="24"/>
          <w:highlight w:val="none"/>
        </w:rPr>
        <w:t>文件的要求，</w:t>
      </w:r>
      <w:r>
        <w:rPr>
          <w:rFonts w:hint="eastAsia" w:ascii="仿宋" w:hAnsi="仿宋" w:eastAsia="仿宋" w:cs="仿宋"/>
          <w:szCs w:val="24"/>
          <w:highlight w:val="none"/>
          <w:lang w:eastAsia="zh-CN"/>
        </w:rPr>
        <w:t>招标</w:t>
      </w:r>
      <w:r>
        <w:rPr>
          <w:rFonts w:hint="eastAsia" w:ascii="仿宋" w:hAnsi="仿宋" w:eastAsia="仿宋" w:cs="仿宋"/>
          <w:szCs w:val="24"/>
          <w:highlight w:val="none"/>
        </w:rPr>
        <w:t>文件未明确要求的内容，供应商须按采购产品主流标准配置或以采购人的补充要求为准。所供产品工艺质量应严格按国家最新发布的规范标准执行，如发生质量问题由供应商承担全部责任。</w:t>
      </w:r>
    </w:p>
    <w:p w14:paraId="46E92CC9">
      <w:pPr>
        <w:spacing w:line="360" w:lineRule="auto"/>
        <w:rPr>
          <w:rFonts w:hint="eastAsia" w:ascii="仿宋" w:hAnsi="仿宋" w:eastAsia="仿宋" w:cs="仿宋"/>
          <w:b/>
          <w:bCs/>
          <w:szCs w:val="24"/>
          <w:highlight w:val="none"/>
        </w:rPr>
      </w:pPr>
      <w:r>
        <w:rPr>
          <w:rFonts w:hint="eastAsia" w:ascii="仿宋" w:hAnsi="仿宋" w:eastAsia="仿宋" w:cs="仿宋"/>
          <w:b/>
          <w:bCs/>
          <w:highlight w:val="none"/>
        </w:rPr>
        <w:t>十三、</w:t>
      </w:r>
      <w:r>
        <w:rPr>
          <w:rFonts w:hint="eastAsia" w:ascii="仿宋" w:hAnsi="仿宋" w:eastAsia="仿宋" w:cs="仿宋"/>
          <w:b/>
          <w:bCs/>
          <w:szCs w:val="24"/>
          <w:highlight w:val="none"/>
        </w:rPr>
        <w:t>验收</w:t>
      </w:r>
    </w:p>
    <w:p w14:paraId="01B340A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1.初验：货物到达交货地点后，由使用单位根据合同对货物（设备）的名称、品牌、规格、型号、产地、数量进行检查。初验合格填写项目移交单，双方签字盖章。</w:t>
      </w:r>
    </w:p>
    <w:p w14:paraId="39EE654E">
      <w:pPr>
        <w:spacing w:line="360" w:lineRule="auto"/>
        <w:ind w:firstLine="420" w:firstLineChars="200"/>
        <w:rPr>
          <w:rFonts w:hint="eastAsia" w:ascii="仿宋" w:hAnsi="仿宋" w:eastAsia="仿宋" w:cs="仿宋"/>
          <w:b/>
          <w:szCs w:val="24"/>
          <w:highlight w:val="none"/>
        </w:rPr>
      </w:pPr>
      <w:r>
        <w:rPr>
          <w:rFonts w:hint="eastAsia" w:ascii="仿宋" w:hAnsi="仿宋" w:eastAsia="仿宋" w:cs="仿宋"/>
          <w:szCs w:val="24"/>
          <w:highlight w:val="none"/>
        </w:rPr>
        <w:t>2.终验：所有货物(设备)安装、调试完毕，正常使用</w:t>
      </w:r>
      <w:r>
        <w:rPr>
          <w:rFonts w:hint="eastAsia" w:ascii="仿宋" w:hAnsi="仿宋" w:eastAsia="仿宋" w:cs="仿宋"/>
          <w:szCs w:val="24"/>
          <w:highlight w:val="none"/>
          <w:lang w:val="en-US" w:eastAsia="zh-CN"/>
        </w:rPr>
        <w:t>7</w:t>
      </w:r>
      <w:r>
        <w:rPr>
          <w:rFonts w:hint="eastAsia" w:ascii="仿宋" w:hAnsi="仿宋" w:eastAsia="仿宋" w:cs="仿宋"/>
          <w:szCs w:val="24"/>
          <w:highlight w:val="none"/>
        </w:rPr>
        <w:t>个日</w:t>
      </w:r>
      <w:r>
        <w:rPr>
          <w:rFonts w:hint="eastAsia" w:ascii="仿宋" w:hAnsi="仿宋" w:eastAsia="仿宋" w:cs="仿宋"/>
          <w:szCs w:val="24"/>
          <w:highlight w:val="none"/>
          <w:lang w:eastAsia="zh-CN"/>
        </w:rPr>
        <w:t>内</w:t>
      </w:r>
      <w:r>
        <w:rPr>
          <w:rFonts w:hint="eastAsia" w:ascii="仿宋" w:hAnsi="仿宋" w:eastAsia="仿宋" w:cs="仿宋"/>
          <w:szCs w:val="24"/>
          <w:highlight w:val="none"/>
        </w:rPr>
        <w:t>，由成交供应商向采购人提出终验书面申请，采购人确认后，组织成交供应商、有关专家及相关部门进行系统验收，并出具终验报告，验收及专家费用由成交供应商承担。验收合格后填写《政府采购项目验收单》。</w:t>
      </w:r>
    </w:p>
    <w:p w14:paraId="4F2A0544">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十四、保密</w:t>
      </w:r>
    </w:p>
    <w:p w14:paraId="15B91960">
      <w:pPr>
        <w:tabs>
          <w:tab w:val="left" w:pos="108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对工作中了解到的采购人的技术、机密等进行严格保密，不得向他人泄漏。本合同的解除或终止不免除供应商应承担的保密义务。</w:t>
      </w:r>
    </w:p>
    <w:p w14:paraId="2BC71A95">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十五、知识产权</w:t>
      </w:r>
    </w:p>
    <w:p w14:paraId="6439C969">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供应商应保证所供产品及服务不会出现因第三方提出侵犯其专利权、商标权或其他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656108E">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十六、合同争议的解决</w:t>
      </w:r>
    </w:p>
    <w:p w14:paraId="28D501D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合同执行中发生争议的，当事人双方应协商解决。协商达不成一致时，向西安仲裁委员会申请仲裁。</w:t>
      </w:r>
    </w:p>
    <w:p w14:paraId="01C9E5C7">
      <w:pPr>
        <w:spacing w:line="360" w:lineRule="auto"/>
        <w:jc w:val="left"/>
        <w:rPr>
          <w:rFonts w:hint="eastAsia" w:ascii="仿宋" w:hAnsi="仿宋" w:eastAsia="仿宋" w:cs="仿宋"/>
          <w:b/>
          <w:bCs/>
          <w:szCs w:val="24"/>
          <w:highlight w:val="none"/>
        </w:rPr>
      </w:pPr>
      <w:r>
        <w:rPr>
          <w:rFonts w:hint="eastAsia" w:ascii="仿宋" w:hAnsi="仿宋" w:eastAsia="仿宋" w:cs="仿宋"/>
          <w:b/>
          <w:bCs/>
          <w:szCs w:val="24"/>
          <w:highlight w:val="none"/>
        </w:rPr>
        <w:t>十七、不可抗力情况下的免责约定</w:t>
      </w:r>
    </w:p>
    <w:p w14:paraId="22B2783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双方约定不可抗力情况指：双方不可预见、不可避免、不可克服的客观情况，但不包括双方的违约或疏忽。这些事件包括但不限于：战争、严重火灾、洪水、台风、地震、疫情等。</w:t>
      </w:r>
    </w:p>
    <w:p w14:paraId="016EEDF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十八、违约责任</w:t>
      </w:r>
    </w:p>
    <w:p w14:paraId="07FF647E">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依据《中华人民共和国民法典》、《中华人民共和国政府采购法》、《中华人民共和国政府采购法实施条例》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w:t>
      </w:r>
    </w:p>
    <w:p w14:paraId="7CDB0096">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十九、其他（</w:t>
      </w:r>
      <w:r>
        <w:rPr>
          <w:rFonts w:hint="eastAsia" w:ascii="仿宋" w:hAnsi="仿宋" w:eastAsia="仿宋" w:cs="仿宋"/>
          <w:szCs w:val="24"/>
          <w:highlight w:val="none"/>
        </w:rPr>
        <w:t>在合同中具体明确）</w:t>
      </w:r>
    </w:p>
    <w:p w14:paraId="5A3F96C9">
      <w:pPr>
        <w:spacing w:line="360" w:lineRule="auto"/>
        <w:rPr>
          <w:rFonts w:hint="eastAsia" w:ascii="仿宋" w:hAnsi="仿宋" w:eastAsia="仿宋" w:cs="仿宋"/>
          <w:b/>
          <w:highlight w:val="none"/>
        </w:rPr>
      </w:pPr>
      <w:r>
        <w:rPr>
          <w:rFonts w:hint="eastAsia" w:ascii="仿宋" w:hAnsi="仿宋" w:eastAsia="仿宋" w:cs="仿宋"/>
          <w:b/>
          <w:highlight w:val="none"/>
        </w:rPr>
        <w:t>二十、监督和管理</w:t>
      </w:r>
    </w:p>
    <w:p w14:paraId="73ABB96A">
      <w:pPr>
        <w:spacing w:line="360" w:lineRule="auto"/>
        <w:ind w:firstLine="420" w:firstLineChars="200"/>
        <w:rPr>
          <w:rFonts w:hint="eastAsia" w:ascii="仿宋" w:hAnsi="仿宋" w:eastAsia="仿宋" w:cs="仿宋"/>
          <w:bCs/>
          <w:highlight w:val="none"/>
        </w:rPr>
      </w:pPr>
      <w:r>
        <w:rPr>
          <w:rFonts w:hint="eastAsia" w:ascii="仿宋" w:hAnsi="仿宋" w:eastAsia="仿宋" w:cs="仿宋"/>
          <w:bCs/>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FFB6CB6">
      <w:pPr>
        <w:spacing w:line="360" w:lineRule="auto"/>
        <w:ind w:firstLine="420" w:firstLineChars="200"/>
        <w:rPr>
          <w:rFonts w:hint="eastAsia" w:ascii="仿宋" w:hAnsi="仿宋" w:eastAsia="仿宋" w:cs="仿宋"/>
          <w:bCs/>
          <w:highlight w:val="none"/>
        </w:rPr>
      </w:pPr>
      <w:r>
        <w:rPr>
          <w:rFonts w:hint="eastAsia" w:ascii="仿宋" w:hAnsi="仿宋" w:eastAsia="仿宋" w:cs="仿宋"/>
          <w:bCs/>
          <w:highlight w:val="none"/>
        </w:rPr>
        <w:t>2、</w:t>
      </w:r>
      <w:r>
        <w:rPr>
          <w:rFonts w:hint="eastAsia" w:ascii="仿宋" w:hAnsi="仿宋" w:eastAsia="仿宋" w:cs="仿宋"/>
          <w:highlight w:val="none"/>
        </w:rPr>
        <w:t>采购人供应商</w:t>
      </w:r>
      <w:r>
        <w:rPr>
          <w:rFonts w:hint="eastAsia" w:ascii="仿宋" w:hAnsi="仿宋" w:eastAsia="仿宋" w:cs="仿宋"/>
          <w:bCs/>
          <w:highlight w:val="none"/>
        </w:rPr>
        <w:t>双方均应自觉配合有关监督管理部门对合同履行情况的监督检查，如实反映情况，提供有关资料：否则，将对有关单位、当事人按照有关规定予以处罚。</w:t>
      </w:r>
    </w:p>
    <w:p w14:paraId="676AE347">
      <w:pPr>
        <w:spacing w:line="360" w:lineRule="auto"/>
        <w:rPr>
          <w:rFonts w:hint="eastAsia" w:ascii="仿宋" w:hAnsi="仿宋" w:eastAsia="仿宋" w:cs="仿宋"/>
          <w:b/>
          <w:highlight w:val="none"/>
        </w:rPr>
      </w:pPr>
      <w:r>
        <w:rPr>
          <w:rFonts w:hint="eastAsia" w:ascii="仿宋" w:hAnsi="仿宋" w:eastAsia="仿宋" w:cs="仿宋"/>
          <w:b/>
          <w:highlight w:val="none"/>
        </w:rPr>
        <w:t>二十一、合同订立</w:t>
      </w:r>
    </w:p>
    <w:p w14:paraId="3D914D2F">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1.订立时间：</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14326F1C">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2.订立地点：</w:t>
      </w:r>
      <w:r>
        <w:rPr>
          <w:rFonts w:hint="eastAsia" w:ascii="仿宋" w:hAnsi="仿宋" w:eastAsia="仿宋" w:cs="仿宋"/>
          <w:highlight w:val="none"/>
          <w:u w:val="single"/>
        </w:rPr>
        <w:t xml:space="preserve">                             </w:t>
      </w:r>
      <w:r>
        <w:rPr>
          <w:rFonts w:hint="eastAsia" w:ascii="仿宋" w:hAnsi="仿宋" w:eastAsia="仿宋" w:cs="仿宋"/>
          <w:highlight w:val="none"/>
        </w:rPr>
        <w:t>。</w:t>
      </w:r>
    </w:p>
    <w:p w14:paraId="7D42141D">
      <w:pPr>
        <w:tabs>
          <w:tab w:val="left" w:pos="980"/>
        </w:tabs>
        <w:kinsoku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3.本合同一式</w:t>
      </w:r>
      <w:r>
        <w:rPr>
          <w:rFonts w:hint="eastAsia" w:ascii="仿宋" w:hAnsi="仿宋" w:eastAsia="仿宋" w:cs="仿宋"/>
          <w:highlight w:val="none"/>
          <w:u w:val="single"/>
        </w:rPr>
        <w:t xml:space="preserve">    </w:t>
      </w:r>
      <w:r>
        <w:rPr>
          <w:rFonts w:hint="eastAsia" w:ascii="仿宋" w:hAnsi="仿宋" w:eastAsia="仿宋" w:cs="仿宋"/>
          <w:highlight w:val="none"/>
        </w:rPr>
        <w:t>份，具有同等法律效力，双方各执</w:t>
      </w:r>
      <w:r>
        <w:rPr>
          <w:rFonts w:hint="eastAsia" w:ascii="仿宋" w:hAnsi="仿宋" w:eastAsia="仿宋" w:cs="仿宋"/>
          <w:highlight w:val="none"/>
          <w:u w:val="single"/>
        </w:rPr>
        <w:t>贰</w:t>
      </w:r>
      <w:r>
        <w:rPr>
          <w:rFonts w:hint="eastAsia" w:ascii="仿宋" w:hAnsi="仿宋" w:eastAsia="仿宋" w:cs="仿宋"/>
          <w:highlight w:val="none"/>
        </w:rPr>
        <w:t xml:space="preserve">份采购代理机构存档 </w:t>
      </w:r>
      <w:r>
        <w:rPr>
          <w:rFonts w:hint="eastAsia" w:ascii="仿宋" w:hAnsi="仿宋" w:eastAsia="仿宋" w:cs="仿宋"/>
          <w:highlight w:val="none"/>
          <w:u w:val="single"/>
        </w:rPr>
        <w:t xml:space="preserve">壹 </w:t>
      </w:r>
      <w:r>
        <w:rPr>
          <w:rFonts w:hint="eastAsia" w:ascii="仿宋" w:hAnsi="仿宋" w:eastAsia="仿宋" w:cs="仿宋"/>
          <w:highlight w:val="none"/>
        </w:rPr>
        <w:t>份。各方签字盖章后生效，合同执行完毕自动失效。（合同的服务承诺则长期有效）。</w:t>
      </w:r>
    </w:p>
    <w:p w14:paraId="69D09A4F">
      <w:pPr>
        <w:adjustRightInd w:val="0"/>
        <w:snapToGrid w:val="0"/>
        <w:spacing w:line="360" w:lineRule="auto"/>
        <w:rPr>
          <w:rFonts w:hint="eastAsia" w:ascii="仿宋" w:hAnsi="仿宋" w:eastAsia="仿宋" w:cs="仿宋"/>
          <w:highlight w:val="none"/>
        </w:rPr>
        <w:sectPr>
          <w:headerReference r:id="rId3" w:type="default"/>
          <w:footerReference r:id="rId4" w:type="default"/>
          <w:pgSz w:w="11906" w:h="16838"/>
          <w:pgMar w:top="1418" w:right="1134" w:bottom="1418" w:left="1418" w:header="1134" w:footer="992" w:gutter="0"/>
          <w:cols w:space="720" w:num="1"/>
          <w:docGrid w:type="lines" w:linePitch="312" w:charSpace="0"/>
        </w:sectPr>
      </w:pPr>
    </w:p>
    <w:p w14:paraId="68CF7EEB">
      <w:pPr>
        <w:pStyle w:val="4"/>
        <w:rPr>
          <w:rFonts w:hint="eastAsia" w:ascii="仿宋" w:hAnsi="仿宋" w:eastAsia="仿宋" w:cs="仿宋"/>
          <w:highlight w:val="none"/>
        </w:rPr>
      </w:pPr>
    </w:p>
    <w:p w14:paraId="0701D9C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采购人：</w:t>
      </w:r>
      <w:r>
        <w:rPr>
          <w:rFonts w:hint="eastAsia" w:ascii="仿宋" w:hAnsi="仿宋" w:eastAsia="仿宋" w:cs="仿宋"/>
          <w:highlight w:val="none"/>
          <w:u w:val="single"/>
        </w:rPr>
        <w:t xml:space="preserve">   （盖章）      </w:t>
      </w:r>
      <w:r>
        <w:rPr>
          <w:rFonts w:hint="eastAsia" w:ascii="仿宋" w:hAnsi="仿宋" w:eastAsia="仿宋" w:cs="仿宋"/>
          <w:highlight w:val="none"/>
        </w:rPr>
        <w:t xml:space="preserve">            </w:t>
      </w:r>
      <w:r>
        <w:rPr>
          <w:rFonts w:hint="eastAsia" w:ascii="仿宋" w:hAnsi="仿宋" w:eastAsia="仿宋" w:cs="仿宋"/>
          <w:highlight w:val="none"/>
          <w:lang w:val="en-US" w:eastAsia="zh-CN"/>
        </w:rPr>
        <w:t>供应商</w:t>
      </w:r>
      <w:r>
        <w:rPr>
          <w:rFonts w:hint="eastAsia" w:ascii="仿宋" w:hAnsi="仿宋" w:eastAsia="仿宋" w:cs="仿宋"/>
          <w:highlight w:val="none"/>
        </w:rPr>
        <w:t>：</w:t>
      </w:r>
      <w:r>
        <w:rPr>
          <w:rFonts w:hint="eastAsia" w:ascii="仿宋" w:hAnsi="仿宋" w:eastAsia="仿宋" w:cs="仿宋"/>
          <w:highlight w:val="none"/>
          <w:u w:val="single"/>
        </w:rPr>
        <w:t xml:space="preserve">   （盖章）         </w:t>
      </w:r>
    </w:p>
    <w:p w14:paraId="66F4A965">
      <w:pPr>
        <w:adjustRightInd w:val="0"/>
        <w:snapToGrid w:val="0"/>
        <w:spacing w:line="360" w:lineRule="auto"/>
        <w:ind w:firstLine="415" w:firstLineChars="198"/>
        <w:rPr>
          <w:rFonts w:hint="eastAsia" w:ascii="仿宋" w:hAnsi="仿宋" w:eastAsia="仿宋" w:cs="仿宋"/>
          <w:highlight w:val="none"/>
          <w:u w:val="single"/>
        </w:rPr>
      </w:pPr>
      <w:r>
        <w:rPr>
          <w:rFonts w:hint="eastAsia" w:ascii="仿宋" w:hAnsi="仿宋" w:eastAsia="仿宋" w:cs="仿宋"/>
          <w:highlight w:val="none"/>
        </w:rPr>
        <w:t xml:space="preserve">地 址： </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地  址：</w:t>
      </w:r>
      <w:r>
        <w:rPr>
          <w:rFonts w:hint="eastAsia" w:ascii="仿宋" w:hAnsi="仿宋" w:eastAsia="仿宋" w:cs="仿宋"/>
          <w:highlight w:val="none"/>
          <w:u w:val="single"/>
        </w:rPr>
        <w:t xml:space="preserve">                    </w:t>
      </w:r>
    </w:p>
    <w:p w14:paraId="65DEA8F4">
      <w:pPr>
        <w:adjustRightInd w:val="0"/>
        <w:snapToGrid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邮政编码：</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邮政编码：</w:t>
      </w:r>
      <w:r>
        <w:rPr>
          <w:rFonts w:hint="eastAsia" w:ascii="仿宋" w:hAnsi="仿宋" w:eastAsia="仿宋" w:cs="仿宋"/>
          <w:highlight w:val="none"/>
          <w:u w:val="single"/>
        </w:rPr>
        <w:t xml:space="preserve">                   </w:t>
      </w:r>
    </w:p>
    <w:p w14:paraId="6D940B2A">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 xml:space="preserve">法定代表人或其授权                   法定代表人或其授权 </w:t>
      </w:r>
    </w:p>
    <w:p w14:paraId="2DF95FD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的代理人：</w:t>
      </w:r>
      <w:r>
        <w:rPr>
          <w:rFonts w:hint="eastAsia" w:ascii="仿宋" w:hAnsi="仿宋" w:eastAsia="仿宋" w:cs="仿宋"/>
          <w:highlight w:val="none"/>
          <w:u w:val="single"/>
        </w:rPr>
        <w:t xml:space="preserve">（签字）      </w:t>
      </w:r>
      <w:r>
        <w:rPr>
          <w:rFonts w:hint="eastAsia" w:ascii="仿宋" w:hAnsi="仿宋" w:eastAsia="仿宋" w:cs="仿宋"/>
          <w:highlight w:val="none"/>
        </w:rPr>
        <w:t xml:space="preserve">             的代理人：</w:t>
      </w:r>
      <w:r>
        <w:rPr>
          <w:rFonts w:hint="eastAsia" w:ascii="仿宋" w:hAnsi="仿宋" w:eastAsia="仿宋" w:cs="仿宋"/>
          <w:highlight w:val="none"/>
          <w:u w:val="single"/>
        </w:rPr>
        <w:t xml:space="preserve">（签字）           </w:t>
      </w:r>
    </w:p>
    <w:p w14:paraId="2E93B483">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开户银行：</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开户银行：</w:t>
      </w:r>
      <w:r>
        <w:rPr>
          <w:rFonts w:hint="eastAsia" w:ascii="仿宋" w:hAnsi="仿宋" w:eastAsia="仿宋" w:cs="仿宋"/>
          <w:highlight w:val="none"/>
          <w:u w:val="single"/>
        </w:rPr>
        <w:t xml:space="preserve">                   </w:t>
      </w:r>
    </w:p>
    <w:p w14:paraId="66B2FC9F">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账号：</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账号：</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2214E8A4">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电话：</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电话：</w:t>
      </w:r>
      <w:r>
        <w:rPr>
          <w:rFonts w:hint="eastAsia" w:ascii="仿宋" w:hAnsi="仿宋" w:eastAsia="仿宋" w:cs="仿宋"/>
          <w:highlight w:val="none"/>
          <w:u w:val="single"/>
        </w:rPr>
        <w:t xml:space="preserve">                       </w:t>
      </w:r>
    </w:p>
    <w:p w14:paraId="7635827E">
      <w:pPr>
        <w:adjustRightInd w:val="0"/>
        <w:snapToGrid w:val="0"/>
        <w:spacing w:line="360" w:lineRule="auto"/>
        <w:ind w:firstLine="415" w:firstLineChars="198"/>
        <w:rPr>
          <w:rFonts w:hint="eastAsia" w:ascii="仿宋" w:hAnsi="仿宋" w:eastAsia="仿宋" w:cs="仿宋"/>
          <w:highlight w:val="none"/>
        </w:rPr>
      </w:pPr>
      <w:r>
        <w:rPr>
          <w:rFonts w:hint="eastAsia" w:ascii="仿宋" w:hAnsi="仿宋" w:eastAsia="仿宋" w:cs="仿宋"/>
          <w:highlight w:val="none"/>
        </w:rPr>
        <w:t>传真：</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传真：</w:t>
      </w:r>
      <w:r>
        <w:rPr>
          <w:rFonts w:hint="eastAsia" w:ascii="仿宋" w:hAnsi="仿宋" w:eastAsia="仿宋" w:cs="仿宋"/>
          <w:highlight w:val="none"/>
          <w:u w:val="single"/>
        </w:rPr>
        <w:t xml:space="preserve">                       </w:t>
      </w:r>
    </w:p>
    <w:p w14:paraId="14AA7D38">
      <w:pPr>
        <w:ind w:firstLine="420" w:firstLineChars="200"/>
      </w:pPr>
      <w:r>
        <w:rPr>
          <w:rFonts w:hint="eastAsia" w:ascii="仿宋" w:hAnsi="仿宋" w:eastAsia="仿宋" w:cs="仿宋"/>
          <w:highlight w:val="none"/>
        </w:rPr>
        <w:t>电子邮箱：</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电子邮箱：</w:t>
      </w:r>
      <w:r>
        <w:rPr>
          <w:rFonts w:hint="eastAsia" w:ascii="仿宋" w:hAnsi="仿宋" w:eastAsia="仿宋" w:cs="仿宋"/>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61E1D">
    <w:pPr>
      <w:tabs>
        <w:tab w:val="left" w:pos="5646"/>
      </w:tabs>
      <w:rPr>
        <w:rFonts w:ascii="楷体" w:hAnsi="楷体" w:eastAsia="楷体" w:cs="楷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840115">
                          <w:pPr>
                            <w:pStyle w:val="5"/>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37840115">
                    <w:pPr>
                      <w:pStyle w:val="5"/>
                      <w:rPr>
                        <w:rFonts w:asciiTheme="minorEastAsia" w:hAnsiTheme="minorEastAsia" w:eastAsiaTheme="minorEastAsia"/>
                      </w:rP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rPr>
                      <w:t>81</w:t>
                    </w:r>
                    <w:r>
                      <w:rPr>
                        <w:rFonts w:asciiTheme="minorEastAsia" w:hAnsiTheme="minorEastAsia" w:eastAsiaTheme="minor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0D707">
    <w:pPr>
      <w:jc w:val="left"/>
      <w:rPr>
        <w:rFonts w:ascii="楷体" w:hAnsi="楷体" w:eastAsia="楷体" w:cs="楷体"/>
        <w:kern w:val="2"/>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E20C1"/>
    <w:rsid w:val="1F1B5120"/>
    <w:rsid w:val="3FCE20C1"/>
    <w:rsid w:val="687E6A7F"/>
    <w:rsid w:val="7041132E"/>
    <w:rsid w:val="745B3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qFormat/>
    <w:uiPriority w:val="0"/>
    <w:pPr>
      <w:ind w:firstLine="652" w:firstLineChars="233"/>
    </w:pPr>
    <w:rPr>
      <w:rFonts w:ascii="Times New Roman"/>
      <w:sz w:val="28"/>
    </w:rPr>
  </w:style>
  <w:style w:type="paragraph" w:styleId="4">
    <w:name w:val="Body Text"/>
    <w:basedOn w:val="1"/>
    <w:next w:val="1"/>
    <w:qFormat/>
    <w:uiPriority w:val="0"/>
    <w:pPr>
      <w:spacing w:after="120"/>
    </w:pPr>
    <w:rPr>
      <w:rFonts w:ascii="Times New Roman"/>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Body Text First Indent"/>
    <w:basedOn w:val="4"/>
    <w:next w:val="2"/>
    <w:unhideWhenUsed/>
    <w:qFormat/>
    <w:uiPriority w:val="99"/>
    <w:pPr>
      <w:ind w:firstLine="420" w:firstLineChars="100"/>
    </w:p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Table Text"/>
    <w:basedOn w:val="1"/>
    <w:semiHidden/>
    <w:qFormat/>
    <w:uiPriority w:val="0"/>
    <w:rPr>
      <w:rFonts w:ascii="宋体" w:hAnsi="宋体" w:eastAsia="宋体" w:cs="宋体"/>
      <w:sz w:val="26"/>
      <w:szCs w:val="26"/>
      <w:lang w:val="en-US" w:eastAsia="en-US"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1019</Words>
  <Characters>1105</Characters>
  <Lines>0</Lines>
  <Paragraphs>0</Paragraphs>
  <TotalTime>1</TotalTime>
  <ScaleCrop>false</ScaleCrop>
  <LinksUpToDate>false</LinksUpToDate>
  <CharactersWithSpaces>1297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2025-07-31T03:40:00Z</dcterms:created>
  <dc:creator>苍白假面</dc:creator>
  <cp:lastModifiedBy>快乐生活</cp:lastModifiedBy>
  <dcterms:modified xsi:type="dcterms:W3CDTF">2025-09-04T10:47:45Z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A68694320178415EA12DC99F2DD1DEC5_11</vt:lpwstr>
  </property>
  <property fmtid="{D5CDD505-2E9C-101B-9397-08002B2CF9AE}" pid="4" name="KSOTemplateDocerSaveRecord">
    <vt:lpwstr>eyJoZGlkIjoiMzM1OTFjOTdlYjRkMzgwY2VkNzU5NWZiMGEzZTg4NTUiLCJ1c2VySWQiOiI0MTA4NDM2MDEifQ==</vt:lpwstr>
  </property>
</Properties>
</file>