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版本号：YCZB-2025803C20250805001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西安市高陵区通远中学教学楼和部室楼改造项目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YCZB-2025803C</w:t>
      </w:r>
      <w:r>
        <w:br/>
      </w:r>
      <w:r>
        <w:br/>
      </w:r>
      <w:r>
        <w:br/>
      </w:r>
    </w:p>
    <w:p>
      <w:pPr>
        <w:pStyle w:val="null3"/>
        <w:jc w:val="center"/>
        <w:outlineLvl w:val="2"/>
      </w:pPr>
      <w:r>
        <w:rPr>
          <w:rFonts w:ascii="仿宋_GB2312" w:hAnsi="仿宋_GB2312" w:cs="仿宋_GB2312" w:eastAsia="仿宋_GB2312"/>
          <w:sz w:val="28"/>
          <w:b/>
        </w:rPr>
        <w:t>西安市高陵区教育局</w:t>
      </w:r>
    </w:p>
    <w:p>
      <w:pPr>
        <w:pStyle w:val="null3"/>
        <w:jc w:val="center"/>
        <w:outlineLvl w:val="2"/>
      </w:pPr>
      <w:r>
        <w:rPr>
          <w:rFonts w:ascii="仿宋_GB2312" w:hAnsi="仿宋_GB2312" w:cs="仿宋_GB2312" w:eastAsia="仿宋_GB2312"/>
          <w:sz w:val="28"/>
          <w:b/>
        </w:rPr>
        <w:t>远创项目管理有限公司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远创项目管理有限公司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西安市高陵区教育局</w:t>
      </w:r>
      <w:r>
        <w:rPr>
          <w:rFonts w:ascii="仿宋_GB2312" w:hAnsi="仿宋_GB2312" w:cs="仿宋_GB2312" w:eastAsia="仿宋_GB2312"/>
        </w:rPr>
        <w:t>委托，拟对</w:t>
      </w:r>
      <w:r>
        <w:rPr>
          <w:rFonts w:ascii="仿宋_GB2312" w:hAnsi="仿宋_GB2312" w:cs="仿宋_GB2312" w:eastAsia="仿宋_GB2312"/>
        </w:rPr>
        <w:t>西安市高陵区通远中学教学楼和部室楼改造项目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YCZB-2025803C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西安市高陵区通远中学教学楼和部室楼改造项目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西安市高陵区通远中学教学楼和部室楼改造项目，主要内容教学楼、公共卫生间、宿舍、水房等装饰装修及水电改造等。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采购包1（西安市高陵区通远中学教学楼和部室楼改造项目）：属于专门面向中小企业采购。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身份授权：：供应商应授权合法的人员参加磋商全过程，其中法定代表人直接参加磋商的，须出具法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3、企业资质：：供应商须具备建设部门颁发的建筑装修装饰工程专业承包二级及以上，具有有效的安全生产许可证；</w:t>
      </w:r>
    </w:p>
    <w:p>
      <w:pPr>
        <w:pStyle w:val="null3"/>
      </w:pPr>
      <w:r>
        <w:rPr>
          <w:rFonts w:ascii="仿宋_GB2312" w:hAnsi="仿宋_GB2312" w:cs="仿宋_GB2312" w:eastAsia="仿宋_GB2312"/>
        </w:rPr>
        <w:t>4、项目经理资质：：拟委派项目负责人须具有建筑工程专业二级及以上注册建造师资格并具有安全生产考核合格证，在本单位注册且无在建项目；</w:t>
      </w:r>
    </w:p>
    <w:p>
      <w:pPr>
        <w:pStyle w:val="null3"/>
      </w:pPr>
      <w:r>
        <w:rPr>
          <w:rFonts w:ascii="仿宋_GB2312" w:hAnsi="仿宋_GB2312" w:cs="仿宋_GB2312" w:eastAsia="仿宋_GB2312"/>
        </w:rPr>
        <w:t>5、财务状况报告：：提供2024年度财务审计报告或投标前三个月内公司存款账户开户银行出具的资信证明（以上两种形式的资料提供任何一种即可）；</w:t>
      </w:r>
    </w:p>
    <w:p>
      <w:pPr>
        <w:pStyle w:val="null3"/>
      </w:pPr>
      <w:r>
        <w:rPr>
          <w:rFonts w:ascii="仿宋_GB2312" w:hAnsi="仿宋_GB2312" w:cs="仿宋_GB2312" w:eastAsia="仿宋_GB2312"/>
        </w:rPr>
        <w:t>6、税收缴纳证明：：提供2025年01月至今已缴纳的至少一个月的纳税证明或完税证明（任意税种），依法免税的单位应提供相关证明材料；</w:t>
      </w:r>
    </w:p>
    <w:p>
      <w:pPr>
        <w:pStyle w:val="null3"/>
      </w:pPr>
      <w:r>
        <w:rPr>
          <w:rFonts w:ascii="仿宋_GB2312" w:hAnsi="仿宋_GB2312" w:cs="仿宋_GB2312" w:eastAsia="仿宋_GB2312"/>
        </w:rPr>
        <w:t>7、社会保障资金缴纳证明：：提供2025年01月至今已缴存的至少一个月的社会保障资金缴存单据或社保机构开具的社会保险参保缴费情况证明，依法不需要缴纳社会保障资金的单位应提供相关证明材料；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8、企业信誉：：参加本次政府采购活动前3年内在经营活动中没有重大违纪，以及未被列入失信被执行人、重大税收违法案件当事人名单、政府采购严重违法失信行为记录名单的书面声明；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9、履约能力：：提供具有履行本合同所必需的设备和专业技术能力的声明；</w:t>
      </w:r>
    </w:p>
    <w:p>
      <w:pPr>
        <w:pStyle w:val="null3"/>
      </w:pPr>
      <w:r>
        <w:rPr>
          <w:rFonts w:ascii="仿宋_GB2312" w:hAnsi="仿宋_GB2312" w:cs="仿宋_GB2312" w:eastAsia="仿宋_GB2312"/>
        </w:rPr>
        <w:t>10、关联关系：：供应商单位负责人不得为同一人或者存在控股、管理关系；</w:t>
      </w:r>
    </w:p>
    <w:p>
      <w:pPr>
        <w:pStyle w:val="null3"/>
      </w:pPr>
      <w:r>
        <w:rPr>
          <w:rFonts w:ascii="仿宋_GB2312" w:hAnsi="仿宋_GB2312" w:cs="仿宋_GB2312" w:eastAsia="仿宋_GB2312"/>
        </w:rPr>
        <w:t>11、中小企业声明函：：本项目为专门面向中小企业项目，供应商须为中型企业或者小型、微型企业或监狱企业或残疾人福利性单位。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高陵区文卫路892号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029-86921342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远创项目管理有限公司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陕西省西安市雁塔区雁翔路111号赛格中京坊公寓A座2单元3401户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19191808021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采购包1：1,614,000.00元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工程造价咨询服务费依据陕价行发[2014]88号。按相关标准计算后，招标代理服务费及工程造价咨询服务费由成交单位在领取成交通知书前一次性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西安市高陵区教育局</w:t>
      </w:r>
      <w:r>
        <w:rPr>
          <w:rFonts w:ascii="仿宋_GB2312" w:hAnsi="仿宋_GB2312" w:cs="仿宋_GB2312" w:eastAsia="仿宋_GB2312"/>
        </w:rPr>
        <w:t>和</w:t>
      </w:r>
      <w:r>
        <w:rPr>
          <w:rFonts w:ascii="仿宋_GB2312" w:hAnsi="仿宋_GB2312" w:cs="仿宋_GB2312" w:eastAsia="仿宋_GB2312"/>
        </w:rPr>
        <w:t>远创项目管理有限公司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远创项目管理有限公司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联系人：张博</w:t>
      </w:r>
    </w:p>
    <w:p>
      <w:pPr>
        <w:pStyle w:val="null3"/>
      </w:pPr>
      <w:r>
        <w:rPr>
          <w:rFonts w:ascii="仿宋_GB2312" w:hAnsi="仿宋_GB2312" w:cs="仿宋_GB2312" w:eastAsia="仿宋_GB2312"/>
        </w:rPr>
        <w:t>联系电话：19191808021</w:t>
      </w:r>
    </w:p>
    <w:p>
      <w:pPr>
        <w:pStyle w:val="null3"/>
      </w:pPr>
      <w:r>
        <w:rPr>
          <w:rFonts w:ascii="仿宋_GB2312" w:hAnsi="仿宋_GB2312" w:cs="仿宋_GB2312" w:eastAsia="仿宋_GB2312"/>
        </w:rPr>
        <w:t>地址：陕西省西安市雁塔区雁翔路111号赛格中京坊公寓A座2单元3401户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1,614,000.00</w:t>
      </w:r>
    </w:p>
    <w:p>
      <w:pPr>
        <w:pStyle w:val="null3"/>
      </w:pPr>
      <w:r>
        <w:rPr>
          <w:rFonts w:ascii="仿宋_GB2312" w:hAnsi="仿宋_GB2312" w:cs="仿宋_GB2312" w:eastAsia="仿宋_GB2312"/>
        </w:rPr>
        <w:t>采购包最高限价（元）: 1,613,760.43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主要内容教学楼、公共卫生间、宿舍、看台、水房等装饰装修及水电改造等。</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1,614,000.00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标的名称：主要内容教学楼、公共卫生间、宿舍、看台、水房等装饰装修及水电改造等。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工程内容：</w:t>
            </w:r>
            <w:r>
              <w:rPr>
                <w:rFonts w:ascii="仿宋_GB2312" w:hAnsi="仿宋_GB2312" w:cs="仿宋_GB2312" w:eastAsia="仿宋_GB2312"/>
                <w:sz w:val="21"/>
              </w:rPr>
              <w:t>西安市高陵区通远中学教学楼和部室楼改造项目，主要内容教学楼、公共卫生间、宿舍、水房等装饰装修及水电改造等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工期：合同签订后</w:t>
            </w:r>
            <w:r>
              <w:rPr>
                <w:rFonts w:ascii="仿宋_GB2312" w:hAnsi="仿宋_GB2312" w:cs="仿宋_GB2312" w:eastAsia="仿宋_GB2312"/>
                <w:sz w:val="21"/>
              </w:rPr>
              <w:t>120</w:t>
            </w:r>
            <w:r>
              <w:rPr>
                <w:rFonts w:ascii="仿宋_GB2312" w:hAnsi="仿宋_GB2312" w:cs="仿宋_GB2312" w:eastAsia="仿宋_GB2312"/>
                <w:sz w:val="21"/>
              </w:rPr>
              <w:t>日历天</w:t>
            </w:r>
          </w:p>
          <w:p>
            <w:pPr>
              <w:pStyle w:val="null3"/>
            </w:pPr>
            <w:r>
              <w:rPr>
                <w:rFonts w:ascii="仿宋_GB2312" w:hAnsi="仿宋_GB2312" w:cs="仿宋_GB2312" w:eastAsia="仿宋_GB2312"/>
                <w:sz w:val="21"/>
              </w:rPr>
              <w:t>工程地点：</w:t>
            </w:r>
            <w:r>
              <w:rPr>
                <w:rFonts w:ascii="仿宋_GB2312" w:hAnsi="仿宋_GB2312" w:cs="仿宋_GB2312" w:eastAsia="仿宋_GB2312"/>
                <w:sz w:val="21"/>
              </w:rPr>
              <w:t>西安市高陵区通远中学</w:t>
            </w:r>
          </w:p>
          <w:p>
            <w:pPr>
              <w:pStyle w:val="null3"/>
            </w:pPr>
            <w:r>
              <w:rPr>
                <w:rFonts w:ascii="仿宋_GB2312" w:hAnsi="仿宋_GB2312" w:cs="仿宋_GB2312" w:eastAsia="仿宋_GB2312"/>
                <w:sz w:val="21"/>
              </w:rPr>
              <w:t>质量标准：达到国家现行施工验收规范</w:t>
            </w:r>
            <w:r>
              <w:rPr>
                <w:rFonts w:ascii="仿宋_GB2312" w:hAnsi="仿宋_GB2312" w:cs="仿宋_GB2312" w:eastAsia="仿宋_GB2312"/>
                <w:sz w:val="21"/>
              </w:rPr>
              <w:t>“合格”标准</w:t>
            </w:r>
          </w:p>
          <w:p>
            <w:pPr>
              <w:pStyle w:val="null3"/>
              <w:jc w:val="both"/>
            </w:pPr>
            <w:r>
              <w:rPr>
                <w:rFonts w:ascii="仿宋_GB2312" w:hAnsi="仿宋_GB2312" w:cs="仿宋_GB2312" w:eastAsia="仿宋_GB2312"/>
                <w:sz w:val="21"/>
              </w:rPr>
              <w:t>质量保修期：</w:t>
            </w:r>
            <w:r>
              <w:rPr>
                <w:rFonts w:ascii="仿宋_GB2312" w:hAnsi="仿宋_GB2312" w:cs="仿宋_GB2312" w:eastAsia="仿宋_GB2312"/>
                <w:sz w:val="21"/>
              </w:rPr>
              <w:t>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本项目采用电子化投标与纸质投标并行的方式，供应商需要于磋商响应文件递交截止时间前在线提交电子响应文件， 同时线下提交一正一副纸质版响应文件，纸质响应文件双面打印胶装，电子响应文件与纸质响应文件不一致的，以电子版响应文件为准。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关于财务会计制度的证明材料：提供2024年度财务审计报告或投标前三个月内公司存款账户开户银行出具的资信证明（以上两种形式的资料提供任何一种即可）；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身份授权：</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供应商须具备建设部门颁发的建筑装修装饰工程专业承包二级及以上，具有有效的安全生产许可证；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拟委派项目负责人须具有建筑工程专业二级及以上注册建造师资格并具有安全生产考核合格证，在本单位注册且无在建项目；</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提供2024年度财务审计报告或投标前三个月内公司存款账户开户银行出具的资信证明（以上两种形式的资料提供任何一种即可）；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供应商单位负责人不得为同一人或者存在控股、管理关系；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本项目为专门面向中小企业项目，供应商须为中型企业或者小型、微型企业或监狱企业或残疾人福利性单位。</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响应文件封面 供应商应提交的相关资格证明材料 附件3、陕西省政府采购供应商拒绝政府采购领域商业贿赂承诺书.docx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自磋商响应文件递交之日起不少于90个日历天</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未超过磋商最高限价</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针对本项目提供科学、可行、合理的总体施工组织布置及规划。总体施工组织布置及规划科学、合理、可行得10分；基本科学 、基本合理、可行得8分；较科学 、较合理、较可行得6分；科学性一般、合理性一般、可行性一般得4分；含糊不清、欠缺可行性得2分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针对本项目提供科学、可行、合理的施工方案、方法与技术措施。 施工方案、方法与技术措施科学、合理、可行得10分；基本科学 、基本合理、可行得8分；较科学 、较合理、较可行得6分；科学性一般、合理性一般、可行性一般得4分；含糊不清、欠缺可行性得2分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 质量保证体系及措施 科学、合理、可行得8分；基本科学 、基本合理、可行得6；较科学 、较合理、较可行得4分；科学性一般、合理性一般、可行性一般得2分；含糊不清、欠缺可行性得1分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针对本项目提供的项目安全保证措施科学、合理、可行。 安全保证措施科学、合理、可行得8分；基本科学 、基本合理、可行得6；较科学 、较合理、较可行得4分；科学性一般、合理性一般、可行性一般得2分；含糊不清、欠缺可行性得1分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项目进度计划和工期目标科学、合理、可行得5分；项目进度计划和工期目标科学、合理性一般、可行性一般得3分；项目进度计划和工期目标含糊不清、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项目风险预测与防范 ，事故应急预案</w:t>
            </w:r>
          </w:p>
        </w:tc>
        <w:tc>
          <w:tcPr>
            <w:tcW w:type="dxa" w:w="2492"/>
          </w:tcPr>
          <w:p>
            <w:pPr>
              <w:pStyle w:val="null3"/>
            </w:pPr>
            <w:r>
              <w:rPr>
                <w:rFonts w:ascii="仿宋_GB2312" w:hAnsi="仿宋_GB2312" w:cs="仿宋_GB2312" w:eastAsia="仿宋_GB2312"/>
              </w:rPr>
              <w:t>项目风险预测与防范，事故应急预案。 项目风险预测与防范，事故应急预案科学、合理、可行得5分；项目风险预测与防范，事故应急预案较科学、较合理、较可行得 3分；项目风险预测与防范，事故应急预案含糊不清、欠缺可行性得1分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拟投入本项目主要机具、设备和劳动力配置情况</w:t>
            </w:r>
          </w:p>
        </w:tc>
        <w:tc>
          <w:tcPr>
            <w:tcW w:type="dxa" w:w="2492"/>
          </w:tcPr>
          <w:p>
            <w:pPr>
              <w:pStyle w:val="null3"/>
            </w:pPr>
            <w:r>
              <w:rPr>
                <w:rFonts w:ascii="仿宋_GB2312" w:hAnsi="仿宋_GB2312" w:cs="仿宋_GB2312" w:eastAsia="仿宋_GB2312"/>
              </w:rPr>
              <w:t>拟投入本项目主要机具、设备和劳动力配置情况，磋商小组根据拟投入本项目设备情况综合评审自主打分。 拟投入的主要机具、设备和劳动力十分充足、充分满足项目需要得10分；拟投入的主要机具、设备和劳动力充足、能满足项目需要得8分；拟投入的主要机具、设备和劳动力较充足、基本满足项目需要得6分；拟投入的主要机具、设备和劳动力数量一般、勉强满足项目需要得4分；拟投入的主要机具、设备和劳动力数量较少、满足项目需要存在困难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质量保修承诺完整、科学、合理、可行得5分；质量保修承诺较完整、较科学、较合理、较可行得3分；质量保修承诺笼统、欠缺可行性得1分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后续服务措施承诺</w:t>
            </w:r>
          </w:p>
        </w:tc>
        <w:tc>
          <w:tcPr>
            <w:tcW w:type="dxa" w:w="2492"/>
          </w:tcPr>
          <w:p>
            <w:pPr>
              <w:pStyle w:val="null3"/>
            </w:pPr>
            <w:r>
              <w:rPr>
                <w:rFonts w:ascii="仿宋_GB2312" w:hAnsi="仿宋_GB2312" w:cs="仿宋_GB2312" w:eastAsia="仿宋_GB2312"/>
              </w:rPr>
              <w:t>后续服务措施承诺具体、详细、可行得5分；后续服务措施承诺较 具体、较详细、较可行得3分；后续服务措施承诺笼统、欠缺可行性得1分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2022年8月1日以来承接过类似项目的合同证明（以合同的签订日期为准）（每提供一个得2分，满分4分）（提供加盖公章的合同关键页复印件）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技术响应文件.docx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报价得分＝（基准价/投标报价）*30 评标基准价为满足采购文件要求且投标价格最低的投标报价 ①若供应商的报价明显低于成本价，或报价明显无法达到服务要求，磋商小组有权要求投标单位做出报价澄清并提供相关证明，若在限定时间内无法澄清或无法出具合理的证明，经磋商小组二分之一以上成员认定，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详见附件：附件3、陕西省政府采购供应商拒绝政府采购领域商业贿赂承诺书.docx</w:t>
      </w:r>
    </w:p>
    <w:p>
      <w:pPr>
        <w:pStyle w:val="null3"/>
        <w:ind w:firstLine="960"/>
      </w:pPr>
      <w:r>
        <w:rPr>
          <w:rFonts w:ascii="仿宋_GB2312" w:hAnsi="仿宋_GB2312" w:cs="仿宋_GB2312" w:eastAsia="仿宋_GB2312"/>
        </w:rPr>
        <w:t>详见附件：技术响应文件.docx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