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版本号：ZZNX-2025-090120250902001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西安市高陵区第一中学教学辅助用房提升改造项目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ZZNX-2025-0901</w:t>
      </w:r>
      <w:r>
        <w:br/>
      </w:r>
      <w:r>
        <w:br/>
      </w:r>
      <w:r>
        <w:br/>
      </w:r>
    </w:p>
    <w:p>
      <w:pPr>
        <w:pStyle w:val="null3"/>
        <w:jc w:val="center"/>
        <w:outlineLvl w:val="2"/>
      </w:pPr>
      <w:r>
        <w:rPr>
          <w:rFonts w:ascii="仿宋_GB2312" w:hAnsi="仿宋_GB2312" w:cs="仿宋_GB2312" w:eastAsia="仿宋_GB2312"/>
          <w:sz w:val="28"/>
          <w:b/>
        </w:rPr>
        <w:t>西安市高陵区教育局</w:t>
      </w:r>
    </w:p>
    <w:p>
      <w:pPr>
        <w:pStyle w:val="null3"/>
        <w:jc w:val="center"/>
        <w:outlineLvl w:val="2"/>
      </w:pPr>
      <w:r>
        <w:rPr>
          <w:rFonts w:ascii="仿宋_GB2312" w:hAnsi="仿宋_GB2312" w:cs="仿宋_GB2312" w:eastAsia="仿宋_GB2312"/>
          <w:sz w:val="28"/>
          <w:b/>
        </w:rPr>
        <w:t>陕西中正诺信工程造价咨询有限责任公司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2025年09月02日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陕西中正诺信工程造价咨询有限责任公司</w:t>
      </w:r>
      <w:r>
        <w:rPr>
          <w:rFonts w:ascii="仿宋_GB2312" w:hAnsi="仿宋_GB2312" w:cs="仿宋_GB2312" w:eastAsia="仿宋_GB2312"/>
        </w:rPr>
        <w:t>（以下简称“代理机构”）受</w:t>
      </w:r>
      <w:r>
        <w:rPr>
          <w:rFonts w:ascii="仿宋_GB2312" w:hAnsi="仿宋_GB2312" w:cs="仿宋_GB2312" w:eastAsia="仿宋_GB2312"/>
        </w:rPr>
        <w:t>西安市高陵区教育局</w:t>
      </w:r>
      <w:r>
        <w:rPr>
          <w:rFonts w:ascii="仿宋_GB2312" w:hAnsi="仿宋_GB2312" w:cs="仿宋_GB2312" w:eastAsia="仿宋_GB2312"/>
        </w:rPr>
        <w:t>委托，拟对</w:t>
      </w:r>
      <w:r>
        <w:rPr>
          <w:rFonts w:ascii="仿宋_GB2312" w:hAnsi="仿宋_GB2312" w:cs="仿宋_GB2312" w:eastAsia="仿宋_GB2312"/>
        </w:rPr>
        <w:t>西安市高陵区第一中学教学辅助用房提升改造项目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ZZNX-2025-0901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西安市高陵区第一中学教学辅助用房提升改造项目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西安市高陵区第一中学教学辅助用房提升改造项目，包括拆除工程、装饰工程、电气工程、给排水工程、采暖燃气工程等项目。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采购包1（西安市高陵区第一中学教学辅助用房提升改造项目）：属于专门面向中小企业采购。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1、营业执照：供应商为具有独立承担民事责任能力的法人或其他组织。企业法人应提供合法有效的标识有统一社会信用代码的营业执照；事业法人应提供事业单位法人证书；其他组织应提供合法登记证明文件；</w:t>
      </w:r>
    </w:p>
    <w:p>
      <w:pPr>
        <w:pStyle w:val="null3"/>
      </w:pPr>
      <w:r>
        <w:rPr>
          <w:rFonts w:ascii="仿宋_GB2312" w:hAnsi="仿宋_GB2312" w:cs="仿宋_GB2312" w:eastAsia="仿宋_GB2312"/>
        </w:rPr>
        <w:t>2、身份授权： 供应商应授权合法的人员参加磋商全过程，其中法定代表人直接参加磋商的，须出具法人身份证，并与营业执照上信息一致。法定代表人授权代表参加磋商的，须出具法定代表人授权书及授权代表身份证；</w:t>
      </w:r>
    </w:p>
    <w:p>
      <w:pPr>
        <w:pStyle w:val="null3"/>
      </w:pPr>
      <w:r>
        <w:rPr>
          <w:rFonts w:ascii="仿宋_GB2312" w:hAnsi="仿宋_GB2312" w:cs="仿宋_GB2312" w:eastAsia="仿宋_GB2312"/>
        </w:rPr>
        <w:t>3、企业资质：供应商须具备建设部门颁发的建筑装修装饰工程专业承包二级及以上，具有有效的安全生产许可证；</w:t>
      </w:r>
    </w:p>
    <w:p>
      <w:pPr>
        <w:pStyle w:val="null3"/>
      </w:pPr>
      <w:r>
        <w:rPr>
          <w:rFonts w:ascii="仿宋_GB2312" w:hAnsi="仿宋_GB2312" w:cs="仿宋_GB2312" w:eastAsia="仿宋_GB2312"/>
        </w:rPr>
        <w:t>4、项目经理资质：拟委派项目负责人须具有建筑工程专业二级及以上注册建造师资格并具有安全生产考核合格证，在本单位注册且无在建项目；</w:t>
      </w:r>
    </w:p>
    <w:p>
      <w:pPr>
        <w:pStyle w:val="null3"/>
      </w:pPr>
      <w:r>
        <w:rPr>
          <w:rFonts w:ascii="仿宋_GB2312" w:hAnsi="仿宋_GB2312" w:cs="仿宋_GB2312" w:eastAsia="仿宋_GB2312"/>
        </w:rPr>
        <w:t>5、财务状况报告：提供2024年度经审计的财务报告，或投标前三个月内公司存款账户开户银行出具的资信证明（以上两种形式的资料提供任何一种即可）；</w:t>
      </w:r>
    </w:p>
    <w:p>
      <w:pPr>
        <w:pStyle w:val="null3"/>
      </w:pPr>
      <w:r>
        <w:rPr>
          <w:rFonts w:ascii="仿宋_GB2312" w:hAnsi="仿宋_GB2312" w:cs="仿宋_GB2312" w:eastAsia="仿宋_GB2312"/>
        </w:rPr>
        <w:t>6、税收缴纳证明：提供2025年01月至今已缴纳的至少一个月的纳税证明或完税证明（任意税种），依法免税的单位应提供相关证明材料；</w:t>
      </w:r>
    </w:p>
    <w:p>
      <w:pPr>
        <w:pStyle w:val="null3"/>
      </w:pPr>
      <w:r>
        <w:rPr>
          <w:rFonts w:ascii="仿宋_GB2312" w:hAnsi="仿宋_GB2312" w:cs="仿宋_GB2312" w:eastAsia="仿宋_GB2312"/>
        </w:rPr>
        <w:t>7、社会保障资金缴纳证明：提供2025年01月至今已缴存的至少一个月的社会保障资金缴存单据或社保机构开具的社会保险参保缴费情况证明，依法不需要缴纳社会保障资金的单位应提供相关证明材料；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8、企业信誉：参加本次政府采购活动前3年内在经营活动中没有重大违纪，以及未被列入失信被执行人、重大税收违法案件当事人名单、政府采购严重违法失信行为记录名单的书面声明；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9、履约能力：提供具有履行本合同所必需的设备和专业技术能力的声明；</w:t>
      </w:r>
    </w:p>
    <w:p>
      <w:pPr>
        <w:pStyle w:val="null3"/>
      </w:pPr>
      <w:r>
        <w:rPr>
          <w:rFonts w:ascii="仿宋_GB2312" w:hAnsi="仿宋_GB2312" w:cs="仿宋_GB2312" w:eastAsia="仿宋_GB2312"/>
        </w:rPr>
        <w:t>10、关联关系：供应商单位负责人不得为同一人或者存在控股、管理关系；</w:t>
      </w:r>
    </w:p>
    <w:p>
      <w:pPr>
        <w:pStyle w:val="null3"/>
      </w:pPr>
      <w:r>
        <w:rPr>
          <w:rFonts w:ascii="仿宋_GB2312" w:hAnsi="仿宋_GB2312" w:cs="仿宋_GB2312" w:eastAsia="仿宋_GB2312"/>
        </w:rPr>
        <w:t>11、中小企业声明函：本项目为专门面向中小企业项目，供应商须为中型企业或者小型、微型企业或监狱企业或残疾人福利性单位。</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西安市高陵区教育局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高陵区文卫路892号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韩老师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029-86921342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陕西中正诺信工程造价咨询有限责任公司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陕西省西安市碑林区陕西省西安市碑林区雁塔路北段8号2幢1单元11310室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侯银博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17691171228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西安市高陵区采购管理科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药咪</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86919290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采购包1：3,804,000.00元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印发《招标代理服务收费管理暂行办法》的通知（计价格[2002]1980号）文件、发改价格[2011]534号文件及国家发改委印发的《关于进一步放开建设项目专业服务价格的通知》[2015]299号文件的收取标准计取；工程造价咨询服务费依据陕价行发[2014]88号。按相关标准计算后，招标代理服务费及工程造价咨询服务费由成交单位在领取成交通知书前一次性支付。</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西安市高陵区教育局</w:t>
      </w:r>
      <w:r>
        <w:rPr>
          <w:rFonts w:ascii="仿宋_GB2312" w:hAnsi="仿宋_GB2312" w:cs="仿宋_GB2312" w:eastAsia="仿宋_GB2312"/>
        </w:rPr>
        <w:t>和</w:t>
      </w:r>
      <w:r>
        <w:rPr>
          <w:rFonts w:ascii="仿宋_GB2312" w:hAnsi="仿宋_GB2312" w:cs="仿宋_GB2312" w:eastAsia="仿宋_GB2312"/>
        </w:rPr>
        <w:t>陕西中正诺信工程造价咨询有限责任公司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西安市高陵区教育局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陕西中正诺信工程造价咨询有限责任公司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西安市高陵区教育局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陕西中正诺信工程造价咨询有限责任公司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达到国家现行施工验收规范“合格”标准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陕西中正诺信工程造价咨询有限责任公司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陕西中正诺信工程造价咨询有限责任公司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陕西中正诺信工程造价咨询有限责任公司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联系人：候工</w:t>
      </w:r>
    </w:p>
    <w:p>
      <w:pPr>
        <w:pStyle w:val="null3"/>
      </w:pPr>
      <w:r>
        <w:rPr>
          <w:rFonts w:ascii="仿宋_GB2312" w:hAnsi="仿宋_GB2312" w:cs="仿宋_GB2312" w:eastAsia="仿宋_GB2312"/>
        </w:rPr>
        <w:t>联系电话：17691171228</w:t>
      </w:r>
    </w:p>
    <w:p>
      <w:pPr>
        <w:pStyle w:val="null3"/>
      </w:pPr>
      <w:r>
        <w:rPr>
          <w:rFonts w:ascii="仿宋_GB2312" w:hAnsi="仿宋_GB2312" w:cs="仿宋_GB2312" w:eastAsia="仿宋_GB2312"/>
        </w:rPr>
        <w:t>地址：陕西省西安市碑林区陕西省西安市碑林区雁塔路北段8号2幢1单元11310室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3,804,000.00</w:t>
      </w:r>
    </w:p>
    <w:p>
      <w:pPr>
        <w:pStyle w:val="null3"/>
      </w:pPr>
      <w:r>
        <w:rPr>
          <w:rFonts w:ascii="仿宋_GB2312" w:hAnsi="仿宋_GB2312" w:cs="仿宋_GB2312" w:eastAsia="仿宋_GB2312"/>
        </w:rPr>
        <w:t>采购包最高限价（元）: 3,803,051.92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包括拆除工程、装饰工程、电气工程、给排水工程、采暖燃气工程等项目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3,804,000.00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标的名称：包括拆除工程、装饰工程、电气工程、给排水工程、采暖燃气工程等项目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工程内容：</w:t>
            </w:r>
            <w:r>
              <w:rPr>
                <w:rFonts w:ascii="仿宋_GB2312" w:hAnsi="仿宋_GB2312" w:cs="仿宋_GB2312" w:eastAsia="仿宋_GB2312"/>
                <w:sz w:val="21"/>
              </w:rPr>
              <w:t>西安市高陵区第一中学教学辅助用房提升改造项目，包括拆除工程、装饰工程、电气工程、给排水工程、采暖燃气工程等项目</w:t>
            </w:r>
            <w:r>
              <w:rPr>
                <w:rFonts w:ascii="仿宋_GB2312" w:hAnsi="仿宋_GB2312" w:cs="仿宋_GB2312" w:eastAsia="仿宋_GB2312"/>
                <w:sz w:val="21"/>
              </w:rPr>
              <w:t>。</w:t>
            </w:r>
          </w:p>
          <w:p>
            <w:pPr>
              <w:pStyle w:val="null3"/>
            </w:pPr>
            <w:r>
              <w:rPr>
                <w:rFonts w:ascii="仿宋_GB2312" w:hAnsi="仿宋_GB2312" w:cs="仿宋_GB2312" w:eastAsia="仿宋_GB2312"/>
                <w:sz w:val="21"/>
              </w:rPr>
              <w:t>工期：合同签订后</w:t>
            </w:r>
            <w:r>
              <w:rPr>
                <w:rFonts w:ascii="仿宋_GB2312" w:hAnsi="仿宋_GB2312" w:cs="仿宋_GB2312" w:eastAsia="仿宋_GB2312"/>
                <w:sz w:val="21"/>
              </w:rPr>
              <w:t>90日历天</w:t>
            </w:r>
          </w:p>
          <w:p>
            <w:pPr>
              <w:pStyle w:val="null3"/>
            </w:pPr>
            <w:r>
              <w:rPr>
                <w:rFonts w:ascii="仿宋_GB2312" w:hAnsi="仿宋_GB2312" w:cs="仿宋_GB2312" w:eastAsia="仿宋_GB2312"/>
                <w:sz w:val="21"/>
              </w:rPr>
              <w:t>工程地点：</w:t>
            </w:r>
            <w:r>
              <w:rPr>
                <w:rFonts w:ascii="仿宋_GB2312" w:hAnsi="仿宋_GB2312" w:cs="仿宋_GB2312" w:eastAsia="仿宋_GB2312"/>
                <w:sz w:val="21"/>
              </w:rPr>
              <w:t>西安市高陵区第一中学</w:t>
            </w:r>
          </w:p>
          <w:p>
            <w:pPr>
              <w:pStyle w:val="null3"/>
            </w:pPr>
            <w:r>
              <w:rPr>
                <w:rFonts w:ascii="仿宋_GB2312" w:hAnsi="仿宋_GB2312" w:cs="仿宋_GB2312" w:eastAsia="仿宋_GB2312"/>
                <w:sz w:val="21"/>
              </w:rPr>
              <w:t>质量标准：达到国家现行施工验收规范</w:t>
            </w:r>
            <w:r>
              <w:rPr>
                <w:rFonts w:ascii="仿宋_GB2312" w:hAnsi="仿宋_GB2312" w:cs="仿宋_GB2312" w:eastAsia="仿宋_GB2312"/>
                <w:sz w:val="21"/>
              </w:rPr>
              <w:t>“合格”标准</w:t>
            </w:r>
          </w:p>
          <w:p>
            <w:pPr>
              <w:pStyle w:val="null3"/>
            </w:pPr>
            <w:r>
              <w:rPr>
                <w:rFonts w:ascii="仿宋_GB2312" w:hAnsi="仿宋_GB2312" w:cs="仿宋_GB2312" w:eastAsia="仿宋_GB2312"/>
                <w:sz w:val="21"/>
              </w:rPr>
              <w:t>质量保修期：</w:t>
            </w:r>
            <w:r>
              <w:rPr>
                <w:rFonts w:ascii="仿宋_GB2312" w:hAnsi="仿宋_GB2312" w:cs="仿宋_GB2312" w:eastAsia="仿宋_GB2312"/>
                <w:sz w:val="21"/>
              </w:rPr>
              <w:t>2年</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本项目采用电子化投标与纸质投标并行的方式，供应商需要于磋商响应文件递交截止时间前在线提交电子响应文件， 同时线下提交一正一副纸质版响应文件，双面打印胶装，电子响应文件与纸质响应文件不一致的，以电子版响应文件为准。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关于财务会计制度的证明材料｛可提供2024年度经审计的财务报告，或投标前三个月内公司存款账户开户银行出具的资信证明（以上两种形式的资料提供任何一种即可。｝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供应商为具有独立承担民事责任能力的法人或其他组织。企业法人应提供合法有效的标识有统一社会信用代码的营业执照；事业法人应提供事业单位法人证书；其他组织应提供合法登记证明文件；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身份授权</w:t>
            </w:r>
          </w:p>
        </w:tc>
        <w:tc>
          <w:tcPr>
            <w:tcW w:type="dxa" w:w="3322"/>
          </w:tcPr>
          <w:p>
            <w:pPr>
              <w:pStyle w:val="null3"/>
            </w:pPr>
            <w:r>
              <w:rPr>
                <w:rFonts w:ascii="仿宋_GB2312" w:hAnsi="仿宋_GB2312" w:cs="仿宋_GB2312" w:eastAsia="仿宋_GB2312"/>
              </w:rPr>
              <w:t xml:space="preserve"> 供应商应授权合法的人员参加磋商全过程，其中法定代表人直接参加磋商的，须出具法人身份证，并与营业执照上信息一致。法定代表人授权代表参加磋商的，须出具法定代表人授权书及授权代表身份证；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供应商须具备建设部门颁发的建筑装修装饰工程专业承包二级及以上，具有有效的安全生产许可证；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项目经理资质</w:t>
            </w:r>
          </w:p>
        </w:tc>
        <w:tc>
          <w:tcPr>
            <w:tcW w:type="dxa" w:w="3322"/>
          </w:tcPr>
          <w:p>
            <w:pPr>
              <w:pStyle w:val="null3"/>
            </w:pPr>
            <w:r>
              <w:rPr>
                <w:rFonts w:ascii="仿宋_GB2312" w:hAnsi="仿宋_GB2312" w:cs="仿宋_GB2312" w:eastAsia="仿宋_GB2312"/>
              </w:rPr>
              <w:t>拟委派项目负责人须具有建筑工程专业二级及以上注册建造师资格并具有安全生产考核合格证，在本单位注册且无在建项目；</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提供2024年度经审计的财务报告，或投标前三个月内公司存款账户开户银行出具的资信证明（以上两种形式的资料提供任何一种即可）；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提供2025年01月至今已缴纳的至少一个月的纳税证明或完税证明（任意税种），依法免税的单位应提供相关证明材料；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提供2025年01月至今已缴存的至少一个月的社会保障资金缴存单据或社保机构开具的社会保险参保缴费情况证明，依法不需要缴纳社会保障资金的单位应提供相关证明材料；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企业信誉</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供应商单位负责人不得为同一人或者存在控股、管理关系；</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本项目为专门面向中小企业项目，供应商须为中型企业或者小型、微型企业或监狱企业或残疾人福利性单位。</w:t>
            </w:r>
          </w:p>
        </w:tc>
        <w:tc>
          <w:tcPr>
            <w:tcW w:type="dxa" w:w="1661"/>
          </w:tcPr>
          <w:p>
            <w:pPr>
              <w:pStyle w:val="null3"/>
            </w:pPr>
            <w:r>
              <w:rPr>
                <w:rFonts w:ascii="仿宋_GB2312" w:hAnsi="仿宋_GB2312" w:cs="仿宋_GB2312" w:eastAsia="仿宋_GB2312"/>
              </w:rPr>
              <w:t>中小企业声明函 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在磋商响应文件中指定落款处，按文件要求盖章或签字</w:t>
            </w:r>
          </w:p>
        </w:tc>
        <w:tc>
          <w:tcPr>
            <w:tcW w:type="dxa" w:w="1661"/>
          </w:tcPr>
          <w:p>
            <w:pPr>
              <w:pStyle w:val="null3"/>
            </w:pPr>
            <w:r>
              <w:rPr>
                <w:rFonts w:ascii="仿宋_GB2312" w:hAnsi="仿宋_GB2312" w:cs="仿宋_GB2312" w:eastAsia="仿宋_GB2312"/>
              </w:rPr>
              <w:t>响应文件封面 已标价工程量清单 中小企业声明函 残疾人福利性单位声明函 报价函 技术服务合同条款及其他商务要求应答表 供应商应提交的相关资格证明材料 供应商类似项目业绩一览表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符合磋商文件的格式要求无重大偏离</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响应（投标）内容</w:t>
            </w:r>
          </w:p>
        </w:tc>
        <w:tc>
          <w:tcPr>
            <w:tcW w:type="dxa" w:w="3322"/>
          </w:tcPr>
          <w:p>
            <w:pPr>
              <w:pStyle w:val="null3"/>
            </w:pPr>
            <w:r>
              <w:rPr>
                <w:rFonts w:ascii="仿宋_GB2312" w:hAnsi="仿宋_GB2312" w:cs="仿宋_GB2312" w:eastAsia="仿宋_GB2312"/>
              </w:rPr>
              <w:t>与磋商内容一致，无重大偏离</w:t>
            </w:r>
          </w:p>
        </w:tc>
        <w:tc>
          <w:tcPr>
            <w:tcW w:type="dxa" w:w="1661"/>
          </w:tcPr>
          <w:p>
            <w:pPr>
              <w:pStyle w:val="null3"/>
            </w:pPr>
            <w:r>
              <w:rPr>
                <w:rFonts w:ascii="仿宋_GB2312" w:hAnsi="仿宋_GB2312" w:cs="仿宋_GB2312" w:eastAsia="仿宋_GB2312"/>
              </w:rPr>
              <w:t>响应文件封面 附件3、陕西省政府采购供应商拒绝政府采购领域商业贿赂承诺书.docx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自磋商响应文件递交之日起不少于90日历天</w:t>
            </w:r>
          </w:p>
        </w:tc>
        <w:tc>
          <w:tcPr>
            <w:tcW w:type="dxa" w:w="1661"/>
          </w:tcPr>
          <w:p>
            <w:pPr>
              <w:pStyle w:val="null3"/>
            </w:pPr>
            <w:r>
              <w:rPr>
                <w:rFonts w:ascii="仿宋_GB2312" w:hAnsi="仿宋_GB2312" w:cs="仿宋_GB2312" w:eastAsia="仿宋_GB2312"/>
              </w:rPr>
              <w:t>响应文件封面 技术服务合同条款及其他商务要求应答表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未超过磋商最高限价</w:t>
            </w:r>
          </w:p>
        </w:tc>
        <w:tc>
          <w:tcPr>
            <w:tcW w:type="dxa" w:w="1661"/>
          </w:tcPr>
          <w:p>
            <w:pPr>
              <w:pStyle w:val="null3"/>
            </w:pPr>
            <w:r>
              <w:rPr>
                <w:rFonts w:ascii="仿宋_GB2312" w:hAnsi="仿宋_GB2312" w:cs="仿宋_GB2312" w:eastAsia="仿宋_GB2312"/>
              </w:rPr>
              <w:t>响应文件封面 已标价工程量清单 报价函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技术服务合同条款及其他商务要求应答表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质量保修期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技术服务合同条款及其他商务要求应答表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施工方案和项目经理部组成人员</w:t>
            </w:r>
          </w:p>
        </w:tc>
        <w:tc>
          <w:tcPr>
            <w:tcW w:type="dxa" w:w="2492"/>
          </w:tcPr>
          <w:p>
            <w:pPr>
              <w:pStyle w:val="null3"/>
            </w:pPr>
            <w:r>
              <w:rPr>
                <w:rFonts w:ascii="仿宋_GB2312" w:hAnsi="仿宋_GB2312" w:cs="仿宋_GB2312" w:eastAsia="仿宋_GB2312"/>
              </w:rPr>
              <w:t>一、评审内容 ①针对本项目编制完善的施工方案②项目经理部组成及劳动力投入配备合理，满足项目需求： 二、评审标准： 1、施工方案完整全面，项目经理部组成人员齐全，岗位完整，专业种类齐全； 2、施工方案目标明确、合理可行、 3、施工方案具有具体措施，项目部人员根据项目特点要求制定； 三、赋分标准 技术方案内容完全满足一项评审标准得3分，总分9分； 技术方案内容每有缺陷扣1分，未提供得0分。 缺陷是指:内容与项目特点不匹配、凭空编造、逻辑漏洞、常识性错误、语句不通顺有歧义、不可能实现的夸大情形、或出现与本项目不符合的方案等其中的任意一种情形。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技术响应文件.docx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一、评审内容：包括但不限于①质量目标管理体系②确保质量的技术组织措施③施工质量控制措施：二、评审标准： 1、对质量目标管理体系、确保质量的技术组织措施、施工质量控制措施均有完整的描述及方案说明； 2、与本项目实际情况切合，实施步骤清晰、合理； 3、质量目标管理体系、确保质量的技术组织措施、施工质量控制措施针对本项目内容。 三、赋分标准：技术方案内容完全满足一项评审标准得3分，总分9分； 技术方案内容每有缺陷扣1分，未提供得0分。 缺陷是指:内容与项目特点不匹配、凭空编造、逻辑漏洞、常识性错误、语句不通顺有歧义、不可能实现的夸大情形、或出现与本项目不符合的方案等其中的任意一种情形。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技术响应文件.docx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一、评审内容：包括但不限于①安全生产目标②安全施工管理机构设置③安全管理及防护办法④安全检查办法等。 二、评审标准： 1、对安全生产目标、安全施工管理机构设置、安全管理及防护办法、安全检查办法等均有全面、详细描述； 2、安全生产目标、安全施工管理机构设置、安全管理及防护办法、安全检查办法等方案切合本项目实际情况，实施步骤清晰、合理。 二、赋分标准 技术方案内容完全满足一项评审标准得3分，总分6分； 技术方案内容每有一处缺陷扣1分 未提供得0分。 缺陷是指: 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技术响应文件.docx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确保工期的技术组织措施（含施工进度表及网络图）</w:t>
            </w:r>
          </w:p>
        </w:tc>
        <w:tc>
          <w:tcPr>
            <w:tcW w:type="dxa" w:w="2492"/>
          </w:tcPr>
          <w:p>
            <w:pPr>
              <w:pStyle w:val="null3"/>
            </w:pPr>
            <w:r>
              <w:rPr>
                <w:rFonts w:ascii="仿宋_GB2312" w:hAnsi="仿宋_GB2312" w:cs="仿宋_GB2312" w:eastAsia="仿宋_GB2312"/>
              </w:rPr>
              <w:t>一、评审内容：包括但不限于①难点工程及关键工程的关键路径）、②确保工期的技术组织、③冬雨季施工难点分析及应对措施等；④提供施工进度表或施工网络图，⑤提供为达到施工进度表或施工网络图的工期保证措施。 二、评审标准： 1、确保工期的技术组织措施全面完整，描述详细； 2、确保工期的技术组织措施切合本项目实际情况，实施步骤清晰、合理可行。3.施工进度完整网络图清晰无常识性错误切合本项目实际情况，实施步骤清晰、合理；工期保障措施合理可行。 三、赋分标准 内容完全满足一项评审标准得2分，总分6分； 技术方案内容每有一处缺陷扣0.5分 未提供得0分。 缺陷是指:内容与项目特点不匹配、凭空编造、逻辑漏洞、常识性错误、语句不通顺有歧义、不可能实现的夸大情形、或出现与本项目不符合的方案等其中的任意一种情形。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技术响应文件.docx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确保文明施工的技术组织措施及保护措施</w:t>
            </w:r>
          </w:p>
        </w:tc>
        <w:tc>
          <w:tcPr>
            <w:tcW w:type="dxa" w:w="2492"/>
          </w:tcPr>
          <w:p>
            <w:pPr>
              <w:pStyle w:val="null3"/>
            </w:pPr>
            <w:r>
              <w:rPr>
                <w:rFonts w:ascii="仿宋_GB2312" w:hAnsi="仿宋_GB2312" w:cs="仿宋_GB2312" w:eastAsia="仿宋_GB2312"/>
              </w:rPr>
              <w:t>一、评审标准：包括但不限于①建筑工程安全防护②夜间施工噪音管理措施③废弃物处理措施等 二、评审标准： 1、建筑工程安全防护、夜间施工噪音管理措施、废弃物处理措施科学合理完整，确保生产有序进行 2、 切合本项目实际情况，实施步骤清晰、合理； 3、 能够紧扣项目实际情况，内容科学合理、可行。 三、赋分标准 技术方案内容完全满足一项评审标准得2分，总分6分； 技术方案内容每有一处缺陷扣0.5分 未提供得0分。 缺陷是指:内容与项目特点不匹配、凭空编造、逻辑漏洞、常识性错误、语句不通顺有歧义、不可能实现的夸大情形、或出现与本项目不符合的方案等其中的任意一种情形。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技术响应文件.docx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施工机械配备和材料投入计划包括但不限于新材料、新工艺、绿色建材的使用</w:t>
            </w:r>
          </w:p>
        </w:tc>
        <w:tc>
          <w:tcPr>
            <w:tcW w:type="dxa" w:w="2492"/>
          </w:tcPr>
          <w:p>
            <w:pPr>
              <w:pStyle w:val="null3"/>
            </w:pPr>
            <w:r>
              <w:rPr>
                <w:rFonts w:ascii="仿宋_GB2312" w:hAnsi="仿宋_GB2312" w:cs="仿宋_GB2312" w:eastAsia="仿宋_GB2312"/>
              </w:rPr>
              <w:t>一、评审内容：包括但不限于①施工机械配备投入计划、②材料投入计划、③新材料、新工艺投入及使用、④绿色建材的使用等： 二、评审标准： 1、 须全面，对评审内容中的各项要求有详细描述及说明； 2、 切合本项目实际情况，实施步骤清晰、合理； 3、 能够紧扣项目实际情况，内容科学合理。 三、赋分标准 技术方案内容完全满足一项评审标准得3分，总分9分； 技术方案内容每有一处缺陷扣1分，扣完为止，不计负分；其他或未提供得0分。 缺陷是指: 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技术响应文件.docx</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一、评审内容： 包括但不限于①施工劳动力投入的原则及管理要求②施工劳动力组织要求③施工劳动力投入数量④劳动力培训 二、评审标准： 1、劳动力安排计划动态调整，需要根据生产计划的变化灵活调整员工的工作安排，确保生产计划的顺利执行。 2、通过合理的劳动力安排，提高施工效率。 三、赋分标准： 技术方案内容完全满足一项评审标准得3分，总分6分； 技术方案内容每有一处缺陷扣1分，其他或未提供得0分。 缺陷是指:内容与项目特点不匹配、凭空编造、逻辑漏洞、常识性错误、语句不通顺有歧义、不可能实现的夸大情形、或出现与本项目不符合的方案等其中的任意一种情形。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技术响应文件.docx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施工环保、“治污减霾”措施计划</w:t>
            </w:r>
          </w:p>
        </w:tc>
        <w:tc>
          <w:tcPr>
            <w:tcW w:type="dxa" w:w="2492"/>
          </w:tcPr>
          <w:p>
            <w:pPr>
              <w:pStyle w:val="null3"/>
            </w:pPr>
            <w:r>
              <w:rPr>
                <w:rFonts w:ascii="仿宋_GB2312" w:hAnsi="仿宋_GB2312" w:cs="仿宋_GB2312" w:eastAsia="仿宋_GB2312"/>
              </w:rPr>
              <w:t>一、评审内容： 包括但不限于①环境保护管理体系与措施②现场扬尘预防措施； 二、评审标准： 1、须具体明确,以确保能够顺利地实施 2、切合本项目实际情况，能够紧扣项目实际情况，实施步骤清晰、合理。 三、赋分标准： 技术方案内容完全满足一项评审标准得3分，总分6分； 技术方案内容每有一处缺陷扣1分，其他或未提供得0分。 缺陷是指: 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技术响应文件.docx</w:t>
            </w:r>
          </w:p>
        </w:tc>
      </w:tr>
      <w:tr>
        <w:tc>
          <w:tcPr>
            <w:tcW w:type="dxa" w:w="831"/>
            <w:vMerge/>
          </w:tcPr>
          <w:p/>
        </w:tc>
        <w:tc>
          <w:tcPr>
            <w:tcW w:type="dxa" w:w="1661"/>
          </w:tcPr>
          <w:p>
            <w:pPr>
              <w:pStyle w:val="null3"/>
            </w:pPr>
            <w:r>
              <w:rPr>
                <w:rFonts w:ascii="仿宋_GB2312" w:hAnsi="仿宋_GB2312" w:cs="仿宋_GB2312" w:eastAsia="仿宋_GB2312"/>
              </w:rPr>
              <w:t>施工总平面布置图</w:t>
            </w:r>
          </w:p>
        </w:tc>
        <w:tc>
          <w:tcPr>
            <w:tcW w:type="dxa" w:w="2492"/>
          </w:tcPr>
          <w:p>
            <w:pPr>
              <w:pStyle w:val="null3"/>
            </w:pPr>
            <w:r>
              <w:rPr>
                <w:rFonts w:ascii="仿宋_GB2312" w:hAnsi="仿宋_GB2312" w:cs="仿宋_GB2312" w:eastAsia="仿宋_GB2312"/>
              </w:rPr>
              <w:t>一、评审内容 施工总平面布置图 ；二、评审标准 1、科学性：施工总平面设计科学； 2、合理性：切合本项目实际情况，实施步骤清晰、合理； 三、赋分标准 技术方案内容完全满足一项评审标准得2分，总分4分； 技术方案内容每有一处缺陷扣0.5分，扣完为止，不计负分；其他或未提供得0分。 缺陷是指: 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技术响应文件.docx</w:t>
            </w:r>
          </w:p>
        </w:tc>
      </w:tr>
      <w:tr>
        <w:tc>
          <w:tcPr>
            <w:tcW w:type="dxa" w:w="831"/>
            <w:vMerge/>
          </w:tcPr>
          <w:p/>
        </w:tc>
        <w:tc>
          <w:tcPr>
            <w:tcW w:type="dxa" w:w="1661"/>
          </w:tcPr>
          <w:p>
            <w:pPr>
              <w:pStyle w:val="null3"/>
            </w:pPr>
            <w:r>
              <w:rPr>
                <w:rFonts w:ascii="仿宋_GB2312" w:hAnsi="仿宋_GB2312" w:cs="仿宋_GB2312" w:eastAsia="仿宋_GB2312"/>
              </w:rPr>
              <w:t>工程保修承诺</w:t>
            </w:r>
          </w:p>
        </w:tc>
        <w:tc>
          <w:tcPr>
            <w:tcW w:type="dxa" w:w="2492"/>
          </w:tcPr>
          <w:p>
            <w:pPr>
              <w:pStyle w:val="null3"/>
            </w:pPr>
            <w:r>
              <w:rPr>
                <w:rFonts w:ascii="仿宋_GB2312" w:hAnsi="仿宋_GB2312" w:cs="仿宋_GB2312" w:eastAsia="仿宋_GB2312"/>
              </w:rPr>
              <w:t xml:space="preserve"> 提供施工单位的工程保修承诺书，包括工程保修期内的定期回访方案及维修方案，方案合理、详尽、得4分；方案较为一般响应及维保不及时得2分；方案不详细，有缺陷得1分；未提供得0分。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技术响应文件.docx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2022年09月01日至今工程类项目业绩每项得1分，总分5分(以合同签订日期为准或中标通知书发出时间为准，合同复印件或中标通知书加盖公章附在响应文件中，否则不作为评审依据）。</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技术响应文件.docx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采用低价优先法计算，即满足磋商文件要求且最终报价最低的供应商的价格为磋商基准价，其价格分为满分。磋商报价得分＝（磋商基准价/最终磋商报价）×30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详见附件：附件3、陕西省政府采购供应商拒绝政府采购领域商业贿赂承诺书.docx</w:t>
      </w:r>
    </w:p>
    <w:p>
      <w:pPr>
        <w:pStyle w:val="null3"/>
        <w:ind w:firstLine="960"/>
      </w:pPr>
      <w:r>
        <w:rPr>
          <w:rFonts w:ascii="仿宋_GB2312" w:hAnsi="仿宋_GB2312" w:cs="仿宋_GB2312" w:eastAsia="仿宋_GB2312"/>
        </w:rPr>
        <w:t>详见附件：技术响应文件.docx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详见附件：合同草案条款.docx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