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版本号：YCZB-2025901C.1B120250922001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西安市高陵区泾渭第三幼儿园提升改造项目(二次)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YCZB-2025901C.1B1</w:t>
      </w:r>
      <w:r>
        <w:br/>
      </w:r>
      <w:r>
        <w:br/>
      </w:r>
      <w:r>
        <w:br/>
      </w:r>
    </w:p>
    <w:p>
      <w:pPr>
        <w:pStyle w:val="null3"/>
        <w:jc w:val="center"/>
        <w:outlineLvl w:val="2"/>
      </w:pPr>
      <w:r>
        <w:rPr>
          <w:rFonts w:ascii="仿宋_GB2312" w:hAnsi="仿宋_GB2312" w:cs="仿宋_GB2312" w:eastAsia="仿宋_GB2312"/>
          <w:sz w:val="28"/>
          <w:b/>
        </w:rPr>
        <w:t>西安市高陵区教育局</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西安市高陵区教育局</w:t>
      </w:r>
      <w:r>
        <w:rPr>
          <w:rFonts w:ascii="仿宋_GB2312" w:hAnsi="仿宋_GB2312" w:cs="仿宋_GB2312" w:eastAsia="仿宋_GB2312"/>
        </w:rPr>
        <w:t>委托，拟对</w:t>
      </w:r>
      <w:r>
        <w:rPr>
          <w:rFonts w:ascii="仿宋_GB2312" w:hAnsi="仿宋_GB2312" w:cs="仿宋_GB2312" w:eastAsia="仿宋_GB2312"/>
        </w:rPr>
        <w:t>西安市高陵区泾渭第三幼儿园提升改造项目(二次)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YCZB-2025901C.1B1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西安市高陵区泾渭第三幼儿园提升改造项目(二次)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西安市高陵区泾渭第三幼儿园提升改造项目，主要内容为电梯井道及电梯设备、屋面的装修改造、弱电安全监控、网络与网络电视工程、校园广播等。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采购包1（西安市高陵区泾渭第三幼儿园提升改造项目）：属于专门面向中小企业采购。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身份授权：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3、企业资质：供应商须具备建设行政主管部门颁发的建筑工程施工总承包三级及以上资质，具有有效的安全生产许可证；</w:t>
      </w:r>
    </w:p>
    <w:p>
      <w:pPr>
        <w:pStyle w:val="null3"/>
      </w:pPr>
      <w:r>
        <w:rPr>
          <w:rFonts w:ascii="仿宋_GB2312" w:hAnsi="仿宋_GB2312" w:cs="仿宋_GB2312" w:eastAsia="仿宋_GB2312"/>
        </w:rPr>
        <w:t>4、项目经理资质：拟委派项目负责人须具有建筑工程专业二级及以上注册建造师资格并具有安全生产考核合格证，在本单位注册且无在建项目；</w:t>
      </w:r>
    </w:p>
    <w:p>
      <w:pPr>
        <w:pStyle w:val="null3"/>
      </w:pPr>
      <w:r>
        <w:rPr>
          <w:rFonts w:ascii="仿宋_GB2312" w:hAnsi="仿宋_GB2312" w:cs="仿宋_GB2312" w:eastAsia="仿宋_GB2312"/>
        </w:rPr>
        <w:t>5、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三个月内其基本账户开户银行出具的资信证明；</w:t>
      </w:r>
    </w:p>
    <w:p>
      <w:pPr>
        <w:pStyle w:val="null3"/>
      </w:pPr>
      <w:r>
        <w:rPr>
          <w:rFonts w:ascii="仿宋_GB2312" w:hAnsi="仿宋_GB2312" w:cs="仿宋_GB2312" w:eastAsia="仿宋_GB2312"/>
        </w:rPr>
        <w:t>6、税收缴纳证明：提供2025年01月至今已缴纳的至少一个月的纳税证明或完税证明（任意税种），依法免税的单位应提供相关证明材料；</w:t>
      </w:r>
    </w:p>
    <w:p>
      <w:pPr>
        <w:pStyle w:val="null3"/>
      </w:pPr>
      <w:r>
        <w:rPr>
          <w:rFonts w:ascii="仿宋_GB2312" w:hAnsi="仿宋_GB2312" w:cs="仿宋_GB2312" w:eastAsia="仿宋_GB2312"/>
        </w:rPr>
        <w:t>7、社会保障资金缴纳证明：提供2025年01月至今已缴存的至少一个月的社会保障资金缴存单据或社保机构开具的社会保险参保缴费情况证明，依法不需要缴纳社会保障资金的单位应提供相关证明材料；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企业信誉：参加政府采购活动前三年内，在经营活动中没有重大违法记录的书面声明；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以代理机构查询结果为准）。</w:t>
      </w:r>
    </w:p>
    <w:p>
      <w:pPr>
        <w:pStyle w:val="null3"/>
      </w:pPr>
      <w:r>
        <w:rPr>
          <w:rFonts w:ascii="仿宋_GB2312" w:hAnsi="仿宋_GB2312" w:cs="仿宋_GB2312" w:eastAsia="仿宋_GB2312"/>
        </w:rPr>
        <w:t>9、履约能力：提供具有履行本合同所必需的设备和专业技术能力的声明；</w:t>
      </w:r>
    </w:p>
    <w:p>
      <w:pPr>
        <w:pStyle w:val="null3"/>
      </w:pPr>
      <w:r>
        <w:rPr>
          <w:rFonts w:ascii="仿宋_GB2312" w:hAnsi="仿宋_GB2312" w:cs="仿宋_GB2312" w:eastAsia="仿宋_GB2312"/>
        </w:rPr>
        <w:t>10、关联关系：供应商单位负责人不得为同一人或者存在控股、管理关系；</w:t>
      </w:r>
    </w:p>
    <w:p>
      <w:pPr>
        <w:pStyle w:val="null3"/>
      </w:pPr>
      <w:r>
        <w:rPr>
          <w:rFonts w:ascii="仿宋_GB2312" w:hAnsi="仿宋_GB2312" w:cs="仿宋_GB2312" w:eastAsia="仿宋_GB2312"/>
        </w:rPr>
        <w:t>11、中小企业声明函：本项目为专门面向中小企业项目，供应商须为中型企业或者小型、微型企业或监狱企业或残疾人福利性单位。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高陵区文卫路892号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029-86921342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陕西省西安市雁塔区雁翔路111号赛格中京坊公寓A座2单元3401户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19191808021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算后，招标代理服务费及工程造价咨询服务费由成交单位在领取成交通知书前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西安市高陵区教育局</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张博</w:t>
      </w:r>
    </w:p>
    <w:p>
      <w:pPr>
        <w:pStyle w:val="null3"/>
      </w:pPr>
      <w:r>
        <w:rPr>
          <w:rFonts w:ascii="仿宋_GB2312" w:hAnsi="仿宋_GB2312" w:cs="仿宋_GB2312" w:eastAsia="仿宋_GB2312"/>
        </w:rPr>
        <w:t>联系电话： 19191808021</w:t>
      </w:r>
    </w:p>
    <w:p>
      <w:pPr>
        <w:pStyle w:val="null3"/>
      </w:pPr>
      <w:r>
        <w:rPr>
          <w:rFonts w:ascii="仿宋_GB2312" w:hAnsi="仿宋_GB2312" w:cs="仿宋_GB2312" w:eastAsia="仿宋_GB2312"/>
        </w:rPr>
        <w:t>地址：陕西省西安市雁塔区雁翔路111号赛格中京坊公寓A座2单元3401户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1,465,000.00</w:t>
      </w:r>
    </w:p>
    <w:p>
      <w:pPr>
        <w:pStyle w:val="null3"/>
      </w:pPr>
      <w:r>
        <w:rPr>
          <w:rFonts w:ascii="仿宋_GB2312" w:hAnsi="仿宋_GB2312" w:cs="仿宋_GB2312" w:eastAsia="仿宋_GB2312"/>
        </w:rPr>
        <w:t>采购包最高限价（元）: 1,464,956.34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主要内容为电梯井道及电梯设备、屋面的装修改造、弱电安全监控、网络与网络电视工程、满堂悦校园广播工程等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1,465,000.00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标的名称：主要内容为电梯井道及电梯设备、屋面的装修改造、弱电安全监控、网络与网络电视工程、满堂悦校园广播工程等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rPr>
              <w:t>工程内容：西安市高陵区泾渭第三幼儿园提升改造项目，主要内容为电梯井道及电梯设备、屋面的装修改造、弱电安全监控、网络与网络电视工程、校园广播等。</w:t>
            </w:r>
          </w:p>
          <w:p>
            <w:pPr>
              <w:pStyle w:val="null3"/>
              <w:ind w:firstLine="560"/>
              <w:jc w:val="both"/>
            </w:pPr>
            <w:r>
              <w:rPr>
                <w:rFonts w:ascii="仿宋_GB2312" w:hAnsi="仿宋_GB2312" w:cs="仿宋_GB2312" w:eastAsia="仿宋_GB2312"/>
                <w:sz w:val="21"/>
              </w:rPr>
              <w:t>工期：合同签订后60日历天</w:t>
            </w:r>
          </w:p>
          <w:p>
            <w:pPr>
              <w:pStyle w:val="null3"/>
            </w:pPr>
            <w:r>
              <w:rPr>
                <w:rFonts w:ascii="仿宋_GB2312" w:hAnsi="仿宋_GB2312" w:cs="仿宋_GB2312" w:eastAsia="仿宋_GB2312"/>
                <w:sz w:val="21"/>
              </w:rPr>
              <w:t xml:space="preserve">            工程地点：西安市高陵区泾渭第三幼儿园</w:t>
            </w:r>
          </w:p>
          <w:p>
            <w:pPr>
              <w:pStyle w:val="null3"/>
            </w:pPr>
            <w:r>
              <w:rPr>
                <w:rFonts w:ascii="仿宋_GB2312" w:hAnsi="仿宋_GB2312" w:cs="仿宋_GB2312" w:eastAsia="仿宋_GB2312"/>
                <w:sz w:val="21"/>
              </w:rPr>
              <w:t xml:space="preserve">            质量标准：达到国家现行施工验收规范“合格”标准</w:t>
            </w:r>
          </w:p>
          <w:p>
            <w:pPr>
              <w:pStyle w:val="null3"/>
            </w:pPr>
            <w:r>
              <w:rPr>
                <w:rFonts w:ascii="仿宋_GB2312" w:hAnsi="仿宋_GB2312" w:cs="仿宋_GB2312" w:eastAsia="仿宋_GB2312"/>
                <w:sz w:val="21"/>
              </w:rPr>
              <w:t xml:space="preserve">            质量保修期：屋面防水工程为5年，其他项目保修期为2年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本项目采用电子化投标与纸质投标并行的方式，供应商需要于磋商响应文件递交截止时间前在线提交电子响应文件， 同时线下提交一正一副纸质版响应文件，纸质响应文件双面打印胶装，电子响应文件与纸质响应文件不一致的，以电子版响应文件为准。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关于财务会计制度的证明材料｛提供2024年度经审计的财务报告，或投标前三个月内公司存款账户开户银行出具的资信证明（以上两种形式的资料提供任何一种即可）；｝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身份授权</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拟委派项目负责人须具有建筑工程专业二级及以上注册建造师资格并具有安全生产考核合格证，在本单位注册且无在建项目；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三个月内其基本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参加政府采购活动前三年内，在经营活动中没有重大违法记录的书面声明；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以代理机构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供应商单位负责人不得为同一人或者存在控股、管理关系；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技术响应文件.docx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 技术服务合同条款及其他商务要求应答表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自磋商响应文件递交之日起不少于90日历天</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针对本项目提供科学、可行、合理的总体施工组织布置及规划。总体施工组织布置及规划科学、合理、可行得10分；基本科学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 施工方案、方法与技术措施科学、合理、可行得10分；基本科学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 质量保证体系及措施 科学、合理、可行得8分；基本科学 、基本合理、可行得6；较科学 、较合理、较可行得4分；科学性一般、合理性一般、可行性一般得2分；含糊不清、欠缺可行性得1分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 安全保证措施科学、合理、可行得8分；基本科学 、基本合理、可行得6；较科学 、较合理、较可行得4分；科学性一般、合理性一般、可行性一般得2分；含糊不清、欠缺可行性得1分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项目进度计划和工期目标科学、合理、可行得5分；项目进度计划和工期目标科学、合理性一般、可行性一般得3分；项目进度计划和工期目标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项目风险预测与防范 ，事故应急预案</w:t>
            </w:r>
          </w:p>
        </w:tc>
        <w:tc>
          <w:tcPr>
            <w:tcW w:type="dxa" w:w="2492"/>
          </w:tcPr>
          <w:p>
            <w:pPr>
              <w:pStyle w:val="null3"/>
            </w:pPr>
            <w:r>
              <w:rPr>
                <w:rFonts w:ascii="仿宋_GB2312" w:hAnsi="仿宋_GB2312" w:cs="仿宋_GB2312" w:eastAsia="仿宋_GB2312"/>
              </w:rPr>
              <w:t>项目风险预测与防范，事故应急预案。 项目风险预测与防范，事故应急预案科学、合理、可行得5分；项目风险预测与防范，事故应急预案较科学、较合理、较可行得 3分；项目风险预测与防范，事故应急预案含糊不清、欠缺可行性得1分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拟投入本项目主要机具、设备和劳动力配置情况，磋商小组根据拟投入本项目设备情况综合评审自主打分。 拟投入的主要机具、设备和劳动力十分充足、充分满足项目需要得10分；拟投入的主要机具、设备和劳动力充足、能满足项目需要得8分；拟投入的主要机具、设备和劳动力较充足、基本满足项目需要得6分；拟投入的主要机具、设备和劳动力数量一般、勉强满足项目需要得4分；拟投入的主要机具、设备和劳动力数量较少、满足项目需要存在困难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质量保修承诺完整、科学、合理、可行得5分；质量保修承诺较完整、较科学、较合理、较可行得3分；质量保修承诺笼统、欠缺可行性得1分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后续服务措施承诺</w:t>
            </w:r>
          </w:p>
        </w:tc>
        <w:tc>
          <w:tcPr>
            <w:tcW w:type="dxa" w:w="2492"/>
          </w:tcPr>
          <w:p>
            <w:pPr>
              <w:pStyle w:val="null3"/>
            </w:pPr>
            <w:r>
              <w:rPr>
                <w:rFonts w:ascii="仿宋_GB2312" w:hAnsi="仿宋_GB2312" w:cs="仿宋_GB2312" w:eastAsia="仿宋_GB2312"/>
              </w:rPr>
              <w:t>后续服务措施承诺具体、详细、可行得5分；后续服务措施承诺较 具体、较详细、较可行得3分；后续服务措施承诺笼统、欠缺可行性得1分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2022年9月1日以来承接过类似项目的合同证明（以合同的签订日期为准）（每提供一个得1分，满分4分）（提供加盖公章的合同关键页复印件）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采用低价优先法计算，即满足磋商文件要求且最终报价最低的供应商的价格为磋商基准价，其价格分为满分。磋商报价得分＝（磋商基准价/最终磋商报价）×30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详见附件：技术响应文件.docx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