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版本号：YC25527003（CGQ）（二次）20250924001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高陵区医院家具及设备采购项目（二次）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YC25527003（CGQ）（二次）</w:t>
      </w:r>
      <w:r>
        <w:br/>
      </w:r>
      <w:r>
        <w:br/>
      </w:r>
      <w:r>
        <w:br/>
      </w:r>
    </w:p>
    <w:p>
      <w:pPr>
        <w:pStyle w:val="null3"/>
        <w:jc w:val="center"/>
        <w:outlineLvl w:val="2"/>
      </w:pPr>
      <w:r>
        <w:rPr>
          <w:rFonts w:ascii="仿宋_GB2312" w:hAnsi="仿宋_GB2312" w:cs="仿宋_GB2312" w:eastAsia="仿宋_GB2312"/>
          <w:sz w:val="28"/>
          <w:b/>
        </w:rPr>
        <w:t>西安市高陵区医院</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西安市高陵区医院</w:t>
      </w:r>
      <w:r>
        <w:rPr>
          <w:rFonts w:ascii="仿宋_GB2312" w:hAnsi="仿宋_GB2312" w:cs="仿宋_GB2312" w:eastAsia="仿宋_GB2312"/>
        </w:rPr>
        <w:t>委托，拟对</w:t>
      </w:r>
      <w:r>
        <w:rPr>
          <w:rFonts w:ascii="仿宋_GB2312" w:hAnsi="仿宋_GB2312" w:cs="仿宋_GB2312" w:eastAsia="仿宋_GB2312"/>
        </w:rPr>
        <w:t>高陵区医院家具及设备采购项目（二次）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YC25527003（CGQ）（二次）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高陵区医院家具及设备采购项目（二次）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高陵区医院家具及设备采购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采购包1（餐厅办公家具采购）：属于专门面向中小企业采购。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2、信用记录：未被列入“信用中国”及“中国政府采购网”失信行为记录。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2、信用记录：未被列入“信用中国”及“中国政府采购网”失信行为记录。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西安市高陵区上林二路555号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田日升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13891819536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18991873656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采购包1：131,110.00元</w:t>
            </w:r>
          </w:p>
          <w:p>
            <w:pPr>
              <w:pStyle w:val="null3"/>
            </w:pPr>
            <w:r>
              <w:rPr>
                <w:rFonts w:ascii="仿宋_GB2312" w:hAnsi="仿宋_GB2312" w:cs="仿宋_GB2312" w:eastAsia="仿宋_GB2312"/>
              </w:rPr>
              <w:t>采购包2：110,000.00元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 的通知》（计价格[2002]1980号）和国家发展和改革委员会办公厅颁发的《关于招标代理服务收费有关问题的通知》（发改办价格『2003』857号）规定标准收取。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西安市高陵区医院</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西安市高陵区医院</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联系人：朱鑫</w:t>
      </w:r>
    </w:p>
    <w:p>
      <w:pPr>
        <w:pStyle w:val="null3"/>
      </w:pPr>
      <w:r>
        <w:rPr>
          <w:rFonts w:ascii="仿宋_GB2312" w:hAnsi="仿宋_GB2312" w:cs="仿宋_GB2312" w:eastAsia="仿宋_GB2312"/>
        </w:rPr>
        <w:t>联系电话：18991873656</w:t>
      </w:r>
    </w:p>
    <w:p>
      <w:pPr>
        <w:pStyle w:val="null3"/>
      </w:pPr>
      <w:r>
        <w:rPr>
          <w:rFonts w:ascii="仿宋_GB2312" w:hAnsi="仿宋_GB2312" w:cs="仿宋_GB2312" w:eastAsia="仿宋_GB2312"/>
        </w:rPr>
        <w:t>地址：西安市高新区丈八五路高科尚都ONE尚城A座10F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高陵区医院家具及设备采购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131,110.00</w:t>
      </w:r>
    </w:p>
    <w:p>
      <w:pPr>
        <w:pStyle w:val="null3"/>
      </w:pPr>
      <w:r>
        <w:rPr>
          <w:rFonts w:ascii="仿宋_GB2312" w:hAnsi="仿宋_GB2312" w:cs="仿宋_GB2312" w:eastAsia="仿宋_GB2312"/>
        </w:rPr>
        <w:t>采购包最高限价（元）: 131,110.00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餐厅办公家具采购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131,110.00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低压配电室断路器采购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标的名称：餐厅办公家具采购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b/>
              </w:rPr>
              <w:t>餐厅办公家具采购</w:t>
            </w:r>
          </w:p>
          <w:tbl>
            <w:tblPr>
              <w:tblBorders>
                <w:top w:val="none" w:color="000000" w:sz="4"/>
                <w:left w:val="none" w:color="000000" w:sz="4"/>
                <w:bottom w:val="none" w:color="000000" w:sz="4"/>
                <w:right w:val="none" w:color="000000" w:sz="4"/>
                <w:insideH w:val="none"/>
                <w:insideV w:val="none"/>
              </w:tblBorders>
            </w:tblPr>
            <w:tblGrid>
              <w:gridCol w:w="289"/>
              <w:gridCol w:w="318"/>
              <w:gridCol w:w="1368"/>
              <w:gridCol w:w="289"/>
              <w:gridCol w:w="289"/>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序号</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产品名称</w:t>
                  </w:r>
                </w:p>
              </w:tc>
              <w:tc>
                <w:tcPr>
                  <w:tcW w:type="dxa" w:w="1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规格参数</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数量</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单位</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药品柜</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1.尺寸：1200*460*2000mm</w:t>
                  </w:r>
                  <w:r>
                    <w:br/>
                  </w:r>
                  <w:r>
                    <w:rPr>
                      <w:rFonts w:ascii="仿宋_GB2312" w:hAnsi="仿宋_GB2312" w:cs="仿宋_GB2312" w:eastAsia="仿宋_GB2312"/>
                      <w:sz w:val="24"/>
                      <w:color w:val="000000"/>
                    </w:rPr>
                    <w:t>2.材质及特点：5毫米冷轧钢板，表面光滑，不易变形，强度硬度高，碳化色粉烤漆，一体冲压成型，隔板上下可调节，可放置标签</w:t>
                  </w:r>
                  <w:r>
                    <w:br/>
                  </w:r>
                  <w:r>
                    <w:rPr>
                      <w:rFonts w:ascii="仿宋_GB2312" w:hAnsi="仿宋_GB2312" w:cs="仿宋_GB2312" w:eastAsia="仿宋_GB2312"/>
                      <w:sz w:val="24"/>
                      <w:color w:val="000000"/>
                    </w:rPr>
                    <w:t>3.颜色：银灰色</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45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个</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餐桌</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1.尺寸：1200*600*760mm</w:t>
                  </w:r>
                  <w:r>
                    <w:br/>
                  </w:r>
                  <w:r>
                    <w:rPr>
                      <w:rFonts w:ascii="仿宋_GB2312" w:hAnsi="仿宋_GB2312" w:cs="仿宋_GB2312" w:eastAsia="仿宋_GB2312"/>
                      <w:sz w:val="24"/>
                      <w:color w:val="000000"/>
                    </w:rPr>
                    <w:t>2.2.5厘米坚硬岩板,1.2毫米碳素钢架，黑碳钢框架蝴蝶素钢腿,结实稳固,宽敞桌底空间.</w:t>
                  </w:r>
                  <w:r>
                    <w:br/>
                  </w:r>
                  <w:r>
                    <w:rPr>
                      <w:rFonts w:ascii="仿宋_GB2312" w:hAnsi="仿宋_GB2312" w:cs="仿宋_GB2312" w:eastAsia="仿宋_GB2312"/>
                      <w:sz w:val="24"/>
                      <w:color w:val="000000"/>
                    </w:rPr>
                    <w:t>3.颜色:白色花纹岩板面,黑色支架</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张</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3</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餐椅</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1.尺寸：450*490*750mm</w:t>
                  </w:r>
                  <w:r>
                    <w:br/>
                  </w:r>
                  <w:r>
                    <w:rPr>
                      <w:rFonts w:ascii="仿宋_GB2312" w:hAnsi="仿宋_GB2312" w:cs="仿宋_GB2312" w:eastAsia="仿宋_GB2312"/>
                      <w:sz w:val="24"/>
                      <w:color w:val="000000"/>
                    </w:rPr>
                    <w:t>2.材质：一体成型的加厚2.0mm钢制框架，稳固结实，座面厚度5厘米，座面为软包科技布，内里填充密度海绵，坐感舒适。</w:t>
                  </w:r>
                  <w:r>
                    <w:br/>
                  </w:r>
                  <w:r>
                    <w:rPr>
                      <w:rFonts w:ascii="仿宋_GB2312" w:hAnsi="仿宋_GB2312" w:cs="仿宋_GB2312" w:eastAsia="仿宋_GB2312"/>
                      <w:sz w:val="24"/>
                      <w:color w:val="000000"/>
                    </w:rPr>
                    <w:t>3.颜色：浅木纹色框架，蓝色坐垫</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72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把</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茶水柜</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1.尺寸：1200*400*950mm</w:t>
                  </w:r>
                  <w:r>
                    <w:br/>
                  </w:r>
                  <w:r>
                    <w:rPr>
                      <w:rFonts w:ascii="仿宋_GB2312" w:hAnsi="仿宋_GB2312" w:cs="仿宋_GB2312" w:eastAsia="仿宋_GB2312"/>
                      <w:sz w:val="24"/>
                      <w:color w:val="000000"/>
                    </w:rPr>
                    <w:t>2.材质及特点：环保无味亮面岩板桌面，16mm厚人造免漆板承重强，无异味，稳固不摇晃，加宽挡板不易变形，手工抛光，圆润边角，可自由调节三层高低层板，品质五金，优质滑轨，整面加厚大背板。</w:t>
                  </w:r>
                  <w:r>
                    <w:br/>
                  </w:r>
                  <w:r>
                    <w:rPr>
                      <w:rFonts w:ascii="仿宋_GB2312" w:hAnsi="仿宋_GB2312" w:cs="仿宋_GB2312" w:eastAsia="仿宋_GB2312"/>
                      <w:sz w:val="24"/>
                      <w:color w:val="000000"/>
                    </w:rPr>
                    <w:t>3.颜色：浅灰色花纹岩板面，灰色柜体</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个</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双层转盘</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1.尺寸：380*580*170mm</w:t>
                  </w:r>
                  <w:r>
                    <w:br/>
                  </w:r>
                  <w:r>
                    <w:rPr>
                      <w:rFonts w:ascii="仿宋_GB2312" w:hAnsi="仿宋_GB2312" w:cs="仿宋_GB2312" w:eastAsia="仿宋_GB2312"/>
                      <w:sz w:val="24"/>
                      <w:color w:val="000000"/>
                    </w:rPr>
                    <w:t>2.材质及特点：3C认证6mm钢化玻璃，安全鸭嘴边设计，透明清晰透亮，搭配优质铝盘</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调料台</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1.尺寸：800*400*800mm</w:t>
                  </w:r>
                  <w:r>
                    <w:br/>
                  </w:r>
                  <w:r>
                    <w:rPr>
                      <w:rFonts w:ascii="仿宋_GB2312" w:hAnsi="仿宋_GB2312" w:cs="仿宋_GB2312" w:eastAsia="仿宋_GB2312"/>
                      <w:sz w:val="24"/>
                      <w:color w:val="000000"/>
                    </w:rPr>
                    <w:t>2.材质及特点：E1级环保无异味板材，加厚16mm环保板材，亮面岩板桌面，稳固承重，双层可自由调节高低层板，品质五金拉手，16mm整面加厚大背板。</w:t>
                  </w:r>
                  <w:r>
                    <w:br/>
                  </w:r>
                  <w:r>
                    <w:rPr>
                      <w:rFonts w:ascii="仿宋_GB2312" w:hAnsi="仿宋_GB2312" w:cs="仿宋_GB2312" w:eastAsia="仿宋_GB2312"/>
                      <w:sz w:val="24"/>
                      <w:color w:val="000000"/>
                    </w:rPr>
                    <w:t>3.颜色：白色花纹岩板面，灰色柜体</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个</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7</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圆桌布</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1.尺寸:底布3.2*3.2米 面布2.3*2.3米</w:t>
                  </w:r>
                  <w:r>
                    <w:br/>
                  </w:r>
                  <w:r>
                    <w:rPr>
                      <w:rFonts w:ascii="仿宋_GB2312" w:hAnsi="仿宋_GB2312" w:cs="仿宋_GB2312" w:eastAsia="仿宋_GB2312"/>
                      <w:sz w:val="24"/>
                      <w:color w:val="000000"/>
                    </w:rPr>
                    <w:t>2.面料:贡缎</w:t>
                  </w:r>
                  <w:r>
                    <w:br/>
                  </w:r>
                  <w:r>
                    <w:rPr>
                      <w:rFonts w:ascii="仿宋_GB2312" w:hAnsi="仿宋_GB2312" w:cs="仿宋_GB2312" w:eastAsia="仿宋_GB2312"/>
                      <w:sz w:val="24"/>
                      <w:color w:val="000000"/>
                    </w:rPr>
                    <w:t>3.颜色:底布灰色面布白色</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个</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8</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椅套</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1.尺寸:450*510*960mm</w:t>
                  </w:r>
                  <w:r>
                    <w:br/>
                  </w:r>
                  <w:r>
                    <w:rPr>
                      <w:rFonts w:ascii="仿宋_GB2312" w:hAnsi="仿宋_GB2312" w:cs="仿宋_GB2312" w:eastAsia="仿宋_GB2312"/>
                      <w:sz w:val="24"/>
                      <w:color w:val="000000"/>
                    </w:rPr>
                    <w:t>2.面料:贡缎</w:t>
                  </w:r>
                  <w:r>
                    <w:br/>
                  </w:r>
                  <w:r>
                    <w:rPr>
                      <w:rFonts w:ascii="仿宋_GB2312" w:hAnsi="仿宋_GB2312" w:cs="仿宋_GB2312" w:eastAsia="仿宋_GB2312"/>
                      <w:sz w:val="24"/>
                      <w:color w:val="000000"/>
                    </w:rPr>
                    <w:t>3.颜色:灰色</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个</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标的名称：低压配电室断路器采购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b/>
              </w:rPr>
              <w:t>低压配电室断路器采购</w:t>
            </w:r>
          </w:p>
          <w:tbl>
            <w:tblPr>
              <w:tblBorders>
                <w:top w:val="none" w:color="000000" w:sz="4"/>
                <w:left w:val="none" w:color="000000" w:sz="4"/>
                <w:bottom w:val="none" w:color="000000" w:sz="4"/>
                <w:right w:val="none" w:color="000000" w:sz="4"/>
                <w:insideH w:val="none"/>
                <w:insideV w:val="none"/>
              </w:tblBorders>
            </w:tblPr>
            <w:tblGrid>
              <w:gridCol w:w="353"/>
              <w:gridCol w:w="388"/>
              <w:gridCol w:w="1105"/>
              <w:gridCol w:w="353"/>
              <w:gridCol w:w="353"/>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序号</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产品名称</w:t>
                  </w:r>
                </w:p>
              </w:tc>
              <w:tc>
                <w:tcPr>
                  <w:tcW w:type="dxa" w:w="1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规格参数</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数量</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单位</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智能型万能式断路器</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额定电流：</w:t>
                  </w:r>
                  <w:r>
                    <w:rPr>
                      <w:rFonts w:ascii="仿宋_GB2312" w:hAnsi="仿宋_GB2312" w:cs="仿宋_GB2312" w:eastAsia="仿宋_GB2312"/>
                      <w:sz w:val="24"/>
                      <w:color w:val="000000"/>
                    </w:rPr>
                    <w:t>3200A</w:t>
                  </w:r>
                  <w:r>
                    <w:br/>
                  </w: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AC 690V，兼容 380/400Vac 系统。</w:t>
                  </w:r>
                  <w:r>
                    <w:br/>
                  </w:r>
                  <w:r>
                    <w:rPr>
                      <w:rFonts w:ascii="仿宋_GB2312" w:hAnsi="仿宋_GB2312" w:cs="仿宋_GB2312" w:eastAsia="仿宋_GB2312"/>
                      <w:sz w:val="24"/>
                      <w:color w:val="000000"/>
                    </w:rPr>
                    <w:t>分断能力：</w:t>
                  </w:r>
                  <w:r>
                    <w:rPr>
                      <w:rFonts w:ascii="仿宋_GB2312" w:hAnsi="仿宋_GB2312" w:cs="仿宋_GB2312" w:eastAsia="仿宋_GB2312"/>
                      <w:sz w:val="24"/>
                      <w:color w:val="000000"/>
                    </w:rPr>
                    <w:t>65kA（适用于 380/400Vac 时的极限短路分断能力）。</w:t>
                  </w:r>
                  <w:r>
                    <w:br/>
                  </w:r>
                  <w:r>
                    <w:rPr>
                      <w:rFonts w:ascii="仿宋_GB2312" w:hAnsi="仿宋_GB2312" w:cs="仿宋_GB2312" w:eastAsia="仿宋_GB2312"/>
                      <w:sz w:val="24"/>
                      <w:color w:val="000000"/>
                    </w:rPr>
                    <w:t>保护功能：</w:t>
                  </w:r>
                  <w:r>
                    <w:br/>
                  </w:r>
                  <w:r>
                    <w:rPr>
                      <w:rFonts w:ascii="仿宋_GB2312" w:hAnsi="仿宋_GB2312" w:cs="仿宋_GB2312" w:eastAsia="仿宋_GB2312"/>
                      <w:sz w:val="24"/>
                      <w:color w:val="000000"/>
                    </w:rPr>
                    <w:t>脱扣器：提供过载（</w:t>
                  </w:r>
                  <w:r>
                    <w:rPr>
                      <w:rFonts w:ascii="仿宋_GB2312" w:hAnsi="仿宋_GB2312" w:cs="仿宋_GB2312" w:eastAsia="仿宋_GB2312"/>
                      <w:sz w:val="24"/>
                      <w:color w:val="000000"/>
                    </w:rPr>
                    <w:t>L）和短路（I）保护，支持电流整定和故障报警。</w:t>
                  </w:r>
                  <w:r>
                    <w:br/>
                  </w:r>
                  <w:r>
                    <w:rPr>
                      <w:rFonts w:ascii="仿宋_GB2312" w:hAnsi="仿宋_GB2312" w:cs="仿宋_GB2312" w:eastAsia="仿宋_GB2312"/>
                      <w:sz w:val="24"/>
                      <w:color w:val="000000"/>
                    </w:rPr>
                    <w:t>欠压保护：当电压低于设定阈值时自动切断电路，需配合分励脱扣器实现。</w:t>
                  </w:r>
                  <w:r>
                    <w:br/>
                  </w:r>
                  <w:r>
                    <w:rPr>
                      <w:rFonts w:ascii="仿宋_GB2312" w:hAnsi="仿宋_GB2312" w:cs="仿宋_GB2312" w:eastAsia="仿宋_GB2312"/>
                      <w:sz w:val="24"/>
                      <w:color w:val="000000"/>
                    </w:rPr>
                    <w:t>极数：</w:t>
                  </w:r>
                  <w:r>
                    <w:rPr>
                      <w:rFonts w:ascii="仿宋_GB2312" w:hAnsi="仿宋_GB2312" w:cs="仿宋_GB2312" w:eastAsia="仿宋_GB2312"/>
                      <w:sz w:val="24"/>
                      <w:color w:val="000000"/>
                    </w:rPr>
                    <w:t>3P（三相），支持三相系统的过流保护</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套</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自合同签订之日起7个工作日完成全部项目内容，并交付验收合格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自合同签订之日起7个工作日完成全部项目内容，并交付验收合格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合同签订后，支付预付款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产品交付完成，并安装调试验收合格后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合同签订后，支付预付款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产品交付完成，并安装调试验收合格后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在货物到达使用单位后，验收由医院业务职能部门和需求部门联合验收在使用单位要求的时间内派工程技术人员到达现场，在买方技术人员在场的情况下开箱清点货物，确认设备质量、数量等无误后组织安装、调试，并承担由此发生一切费用;安装人员须遵守采购项目现场管理规范，确保在指定时间、区域内进行安装，并组织必要的培训。待设备调试运行合格且能够正常投入使用后，供应商应准备验收文件并通知院方组织验收，院方接到通知后3日内及时组织设备验收，签订设备验收合格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设备在货物到达使用单位后，验收由医院业务职能部门和需求部门联合验收在使用单位要求的时间内派工程技术人员到达现场，在买方技术人员在场的情况下开箱清点货物，确认设备质量、数量等无误后组织安装、调试，并承担由此发生一切费用;安装人员须遵守采购项目现场管理规范，确保在指定时间、区域内进行安装，并组织必要的培训。待设备调试运行合格且能够正常投入使用后，供应商应准备验收文件并通知院方组织验收，院方接到通知后3日内及时组织设备验收，签订设备验收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质保期2年；售后服务期3年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质保期2年；售后服务期3年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质量不能满足招标和甲方技术要求的，经甲方要求后仍未整改或仍未达标的，甲方有权终止合同（合同自书面解除通知到达乙方之日起解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未按合同要求提供，质量不能满足招标和甲方技术要求的，经甲方要求后仍未整改或仍未达标的，甲方有权终止合同（合同自书面解除通知到达乙方之日起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投标文件提交截止时间前一年内连续三个月已缴纳的纳税证明或完税证明，依法免税的供应商应提供相关证明文件；社保缴纳证明：提供投标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包1-投标文件（格式）.docx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具有良好的商业信誉和健全的财务会计制度：提供经会计师事务所审计的2024年度财务审计报告，或本年度基本开户银行出具的资信证明（附开户许可证或基本存款账户信息）。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包1-投标文件（格式）.docx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投标文件提交截止时间前一年内连续三个月已缴纳的纳税证明或完税证明，依法免税的供应商应提供相关证明文件；社保缴纳证明：提供投标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包2-投标文件（格式）.docx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具有良好的商业信誉和健全的财务会计制度：提供经会计师事务所审计的2024年度财务审计报告，或本年度基本开户银行出具的资信证明（附开户许可证或基本存款账户信息）。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包2-投标文件（格式）.docx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包1-投标文件（格式）.docx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包1-投标文件（格式）.docx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包2-投标文件（格式）.docx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包2-投标文件（格式）.docx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包1-投标文件（格式）.docx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包1-投标文件（格式）.docx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包1-投标文件（格式）.docx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投标有效期满足要求的</w:t>
            </w:r>
          </w:p>
        </w:tc>
        <w:tc>
          <w:tcPr>
            <w:tcW w:type="dxa" w:w="1661"/>
          </w:tcPr>
          <w:p>
            <w:pPr>
              <w:pStyle w:val="null3"/>
            </w:pPr>
            <w:r>
              <w:rPr>
                <w:rFonts w:ascii="仿宋_GB2312" w:hAnsi="仿宋_GB2312" w:cs="仿宋_GB2312" w:eastAsia="仿宋_GB2312"/>
              </w:rPr>
              <w:t>投标函 包1-投标文件（格式）.docx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 包1-投标文件（格式）.docx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满足本招标文件中标注的实质性条款（交付期限、交付地点、支付方式、支付约定等）要求的</w:t>
            </w:r>
          </w:p>
        </w:tc>
        <w:tc>
          <w:tcPr>
            <w:tcW w:type="dxa" w:w="1661"/>
          </w:tcPr>
          <w:p>
            <w:pPr>
              <w:pStyle w:val="null3"/>
            </w:pPr>
            <w:r>
              <w:rPr>
                <w:rFonts w:ascii="仿宋_GB2312" w:hAnsi="仿宋_GB2312" w:cs="仿宋_GB2312" w:eastAsia="仿宋_GB2312"/>
              </w:rPr>
              <w:t>开标一览表 投标函 中小企业声明函 标的清单 包1-投标文件（格式）.docx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包1-投标文件（格式）.docx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包2-投标文件（格式）.docx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w:t>
            </w:r>
          </w:p>
        </w:tc>
        <w:tc>
          <w:tcPr>
            <w:tcW w:type="dxa" w:w="1661"/>
          </w:tcPr>
          <w:p>
            <w:pPr>
              <w:pStyle w:val="null3"/>
            </w:pPr>
            <w:r>
              <w:rPr>
                <w:rFonts w:ascii="仿宋_GB2312" w:hAnsi="仿宋_GB2312" w:cs="仿宋_GB2312" w:eastAsia="仿宋_GB2312"/>
              </w:rPr>
              <w:t>包2-投标文件（格式）.docx 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投标有效期满足要求的</w:t>
            </w:r>
          </w:p>
        </w:tc>
        <w:tc>
          <w:tcPr>
            <w:tcW w:type="dxa" w:w="1661"/>
          </w:tcPr>
          <w:p>
            <w:pPr>
              <w:pStyle w:val="null3"/>
            </w:pPr>
            <w:r>
              <w:rPr>
                <w:rFonts w:ascii="仿宋_GB2312" w:hAnsi="仿宋_GB2312" w:cs="仿宋_GB2312" w:eastAsia="仿宋_GB2312"/>
              </w:rPr>
              <w:t>包2-投标文件（格式）.docx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包2-投标文件（格式）.docx 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满足本招标文件中标注的实质性条款（交付期限、交付地点、支付方式、支付约定等）要求的</w:t>
            </w:r>
          </w:p>
        </w:tc>
        <w:tc>
          <w:tcPr>
            <w:tcW w:type="dxa" w:w="1661"/>
          </w:tcPr>
          <w:p>
            <w:pPr>
              <w:pStyle w:val="null3"/>
            </w:pPr>
            <w:r>
              <w:rPr>
                <w:rFonts w:ascii="仿宋_GB2312" w:hAnsi="仿宋_GB2312" w:cs="仿宋_GB2312" w:eastAsia="仿宋_GB2312"/>
              </w:rPr>
              <w:t>包2-投标文件（格式）.docx 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包2-投标文件（格式）.docx 开标一览表 投标函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A.投标人所投产品的技术指标响应程度完整，产品规格齐全，技术方案科学合理，得14分。 B.投标人所投产品的技术指标响应程度较完整，产品规格 较齐全，技术方案较科学合理，得 10分。 C.投标人所投产品的技术指标响应程度一般，产品规格一 般，技术方案一般，得 5分。 D.投标人所投产品的技术指标响应程度较差，产品规格较低，技术方案较差，得2分。 E.其他或未提供不得分。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包1-投标文件（格式）.docx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A.投标产品选型配备合理，性价比高，配套性好，满足采购要求，得10分； B.投标产品选型配备基本合理，性价比较高，配套性较好，基本满足采购要求，得 8分； C.投标产品选型配备一般，性价比一般，配套性一般，能满足采购要求，得 5 分； D.投标产品选型配备较差，性价比低，配套性一般，能满足采购需求，得 2分。 E.其他或未提供不得分。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包1-投标文件（格式）.docx</w:t>
            </w:r>
          </w:p>
        </w:tc>
      </w:tr>
      <w:tr>
        <w:tc>
          <w:tcPr>
            <w:tcW w:type="dxa" w:w="831"/>
            <w:vMerge/>
          </w:tcPr>
          <w:p/>
        </w:tc>
        <w:tc>
          <w:tcPr>
            <w:tcW w:type="dxa" w:w="1661"/>
          </w:tcPr>
          <w:p>
            <w:pPr>
              <w:pStyle w:val="null3"/>
            </w:pPr>
            <w:r>
              <w:rPr>
                <w:rFonts w:ascii="仿宋_GB2312" w:hAnsi="仿宋_GB2312" w:cs="仿宋_GB2312" w:eastAsia="仿宋_GB2312"/>
              </w:rPr>
              <w:t>供货及安装实施方案</w:t>
            </w:r>
          </w:p>
        </w:tc>
        <w:tc>
          <w:tcPr>
            <w:tcW w:type="dxa" w:w="2492"/>
          </w:tcPr>
          <w:p>
            <w:pPr>
              <w:pStyle w:val="null3"/>
            </w:pPr>
            <w:r>
              <w:rPr>
                <w:rFonts w:ascii="仿宋_GB2312" w:hAnsi="仿宋_GB2312" w:cs="仿宋_GB2312" w:eastAsia="仿宋_GB2312"/>
              </w:rPr>
              <w:t>A.供货及安装实施方案完善、明确；内容全面，可行性和针对性强，得10分； B.供货及安装实施方案较为完善；内容较全面，可行性和针对性较强，得8分； C.供货及安装实施方案基本清晰；内容常规，有一定的可行性和针对性，得5分； D.供货及安装实施方案欠缺；内容简单笼统，缺乏针对性，得3分； E.供货及安装实施方案较差，可行性较低，得1分； F.其他或未提供不得分。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包1-投标文件（格式）.docx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投标产品供应渠道正常、质量有保证，产品环保、可靠，具有较好的使用效果，符合相关标准及行业要求。提供相应的保障措施。 A.提供投标产品的来源渠道及技术证明材料完整，质量保 证措施完善，得 10 分； B.提供投标产品的来源渠道及技术证明材料基本完整，质 量保证措施基本完善，得 5 分； C.提供投标产品来源渠道及技术证明材料不全或质量保证措施不够完善，得 2分。 D.未提供不得分。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具有便利的售后服务机构，针对本项目及采购人实际需求提供详细具体可行的售后服务方案、提供售后服务承诺书。 A.售后服务机构便利，售后服务措施和承诺详细可行，得 10 分； B.售后服务机构较便利，售后服务组织措施和承诺较为可 行，得 7 分； C.售后服务机构基本便利，售后服务组织措施和承诺基本可行，得 4分； D.售后服务组织措施和承诺较差，得 2分。 E.未提供不得分。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包1-投标文件（格式）.docx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配备足够的人员，具有合理的分工安排，保证项目的顺利实施； A.人员配备充足、安排合理、分工明确，且能保证配送正常有序进行得5 分； B.人员配备较充足、安排较合理、分工较明确，基本能保证配送正常有序进行得 3分； C.人员配备较差，得 1 分； D.未提供不得分。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包1-投标文件（格式）.docx</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A.建议详尽，合理可行，逻辑清楚，针对性及可行性强，得5分； B.建议基本合理，较为可行得3分； C.建议针对性较差得1分；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包1-投标文件（格式）.docx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 2022年 1 月 1 日至今类似项目业绩的，每提供一个得 2分，满分 6 分。 （注：需提供合同首页、内容页、金额页和双方盖章页， 以合同签订时间为准，内容不清晰，或者资料不全的， 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包1-投标文件（格式）.docx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满足招标文件要求且投标报价最低的投标人的价格为投标基准价。各投标人的价格分统一按照下列公式计算： 投标报价得分=（投标报价基准价/投标报价）×30。 注：本标段为专门面向中小企业，故不在进行价格分扣除。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A.投标人所投产品的技术指标响应程度完整，产品规格齐 全，技术方案科学合理，得14分。 B.投标人所投产品的技术指标响应程度较完整，产品规格 较齐全，技术方案较科学合理，得 10分。 C.投标人所投产品的技术指标响应程度一般，产品规格一 般，技术方案一般，得 5分。 D.投标人所投产品的技术指标响应程度较差，产品规格较低，技术方案较差，得2分。 E.其他或未提供不得分。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包2-投标文件（格式）.docx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A.投标产品选型配备合理，性价比高，配套性好，满足采购要求，得10分； B.投标产品选型配备基本合理，性价比较高，配套性较好，基本满足采购要求，得 8分； C.投标产品选型配备一般，性价比一般，配套性一般，能满足采购要求，得 5 分； D.投标产品选型配备较差，性价比低，配套性一般，能满足采购需求，得 2分。 E.其他或未提供不得分。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包2-投标文件（格式）.docx</w:t>
            </w:r>
          </w:p>
        </w:tc>
      </w:tr>
      <w:tr>
        <w:tc>
          <w:tcPr>
            <w:tcW w:type="dxa" w:w="831"/>
            <w:vMerge/>
          </w:tcPr>
          <w:p/>
        </w:tc>
        <w:tc>
          <w:tcPr>
            <w:tcW w:type="dxa" w:w="1661"/>
          </w:tcPr>
          <w:p>
            <w:pPr>
              <w:pStyle w:val="null3"/>
            </w:pPr>
            <w:r>
              <w:rPr>
                <w:rFonts w:ascii="仿宋_GB2312" w:hAnsi="仿宋_GB2312" w:cs="仿宋_GB2312" w:eastAsia="仿宋_GB2312"/>
              </w:rPr>
              <w:t>供货及安装实施方案</w:t>
            </w:r>
          </w:p>
        </w:tc>
        <w:tc>
          <w:tcPr>
            <w:tcW w:type="dxa" w:w="2492"/>
          </w:tcPr>
          <w:p>
            <w:pPr>
              <w:pStyle w:val="null3"/>
            </w:pPr>
            <w:r>
              <w:rPr>
                <w:rFonts w:ascii="仿宋_GB2312" w:hAnsi="仿宋_GB2312" w:cs="仿宋_GB2312" w:eastAsia="仿宋_GB2312"/>
              </w:rPr>
              <w:t>A.供货及安装实施方案完善、明确；内容全面，可行性和针对性强，得10分； B.供货及安装实施方案较为完善；内容较全面，可行性和针对性较强，得8分； C.供货及安装实施方案基本清晰；内容常规，有一定的可行性和针对性，得5分； D.供货及安装实施方案欠缺；内容简单笼统，缺乏针对性，得3分； E.供货及安装实施方案较差，可行性较低，得1分； F.其他或未提供不得分。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包2-投标文件（格式）.docx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投标产品供应渠道正常、质量有保证，产品环保、可靠，具有较好的使用效果，符合相关标准及行业要求。提供相应的保障措施。 A.提供投标产品的来源渠道及技术证明材料完整，质量保 证措施完善，得 10 分； B.提供投标产品的来源渠道及技术证明材料基本完整，质 量保证措施基本完善，得 5 分； C.提供投标产品来源渠道及技术证明材料不全或质量保证措施不够完善，得 2分。 D.未提供不得分。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具有便利的售后服务机构，针对本项目及采购人实际需 求提供详细具体可行的售后服务方案、提供售后服务承 诺书。 A.售后服务机构便利，售后服务措施和承诺详细可行，得 10 分； B.售后服务机构较便利，售后服务组织措施和承诺较为可 行，得 7 分； C.售后服务机构基本便利，售后服务组织措施和承诺基本可行，得 4分； D.售后服务组织措施和承诺较差，得 2分。 E.未提供不得分。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包2-投标文件（格式）.docx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配备足够的人员，具有合理的分工安排，保证项目的顺 利实施； A.人员配备充足、安排合理、分工明确，且能保证配送正常有序进行得5 分； B.人员配备较充足、安排较合理、分工较明确，基本能保证配送正常有序进行得 3分； C.人员配备较差，得 1 分； D.未提供不得分。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包2-投标文件（格式）.docx</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A.建议详尽，合理可行，逻辑清楚，针对性及可行性强，得5分； B.建议基本合理，较为可行得3分； C.建议针对性较差得1分；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包2-投标文件（格式）.docx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 2022年 1 月 1 日至今类似项目业绩的，每提供一个得 2分，满分 6 分。 （注：需提供合同首页、内容页、金额页和双方盖章页， 以合同签订时间为准，内容不清晰，或者资料不全的， 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包2-投标文件（格式）.docx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满足招标文件要求且投标报价最低的投标人的价格为投标基准价。各投标 人的价格分统一按照下列公式计算： 投标报价得分=（投标报价基准价/投标报价）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详见附件：包1-投标文件（格式）.docx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详见附件：包2-投标文件（格式）.docx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