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版本号：HLZB2025-15520250930001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泾高城市通道咸铜铁路以东部分电力线路迁改工程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HLZB2025-155</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泾高城市通道咸铜铁路以东部分电力线路迁改工程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HLZB2025-155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泾高城市通道咸铜铁路以东部分电力线路迁改工程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泾高城市通道咸铜铁路以东部分电力线路迁改工程,建设内容主要包括：电力线路迁移、变压 器拆除、安装、道路、电杆拆除、恢复、排管敷设。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采购包1（泾高城市通道咸铜铁路以东部分电力线路迁改工程）：属于专门面向中小企业采购。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9、资质要求：供应商应具备建设行政主管部门颁发的电力工程施工总承包三级及以上资质，且具备合法有效的安全生产许可证；</w:t>
      </w:r>
    </w:p>
    <w:p>
      <w:pPr>
        <w:pStyle w:val="null3"/>
      </w:pPr>
      <w:r>
        <w:rPr>
          <w:rFonts w:ascii="仿宋_GB2312" w:hAnsi="仿宋_GB2312" w:cs="仿宋_GB2312" w:eastAsia="仿宋_GB2312"/>
        </w:rPr>
        <w:t>10、拟派项目经理：拟派项目经理具备合法有效的机电工程专业二级及以上注册建造师资格和安全生产考核合格证，且无其他在建工程；（提供无在建工程的承诺函）</w:t>
      </w:r>
    </w:p>
    <w:p>
      <w:pPr>
        <w:pStyle w:val="null3"/>
      </w:pPr>
      <w:r>
        <w:rPr>
          <w:rFonts w:ascii="仿宋_GB2312" w:hAnsi="仿宋_GB2312" w:cs="仿宋_GB2312" w:eastAsia="仿宋_GB2312"/>
        </w:rPr>
        <w:t>11、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13、本项目不接受联合体磋商：本项目不接受联合体磋商。（提供书面承诺函，格式自拟加盖供应商公章）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西安市高陵区建设和住房保障局经办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029-86915211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西安市高陵区采购管理科经办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开户名称：陕西翰林招标有限公司,开户行名称：中国民生银行股份有限公司西安雁塔路支行,账号：154810956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791,200.00</w:t>
      </w:r>
    </w:p>
    <w:p>
      <w:pPr>
        <w:pStyle w:val="null3"/>
      </w:pPr>
      <w:r>
        <w:rPr>
          <w:rFonts w:ascii="仿宋_GB2312" w:hAnsi="仿宋_GB2312" w:cs="仿宋_GB2312" w:eastAsia="仿宋_GB2312"/>
        </w:rPr>
        <w:t>采购包最高限价（元）: 791,200.00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泾高城市通道咸铜铁路以东部分电力线路迁改工程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791,200.00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标的名称：泾高城市通道咸铜铁路以东部分电力线路迁改工程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（一）工程内容：泾高城市通道咸铜铁路以东部分电力线路迁改工程,建设内容主要包括：电力线路迁移、变压器拆除、安装、道路、电杆拆除、恢复、排管敷设。</w:t>
            </w:r>
            <w:r>
              <w:br/>
            </w:r>
            <w:r>
              <w:rPr>
                <w:rFonts w:ascii="仿宋_GB2312" w:hAnsi="仿宋_GB2312" w:cs="仿宋_GB2312" w:eastAsia="仿宋_GB2312"/>
              </w:rPr>
              <w:t xml:space="preserve"> （二）计划工期：自合同签订之日起30日内完成。</w:t>
            </w:r>
            <w:r>
              <w:br/>
            </w:r>
            <w:r>
              <w:rPr>
                <w:rFonts w:ascii="仿宋_GB2312" w:hAnsi="仿宋_GB2312" w:cs="仿宋_GB2312" w:eastAsia="仿宋_GB2312"/>
              </w:rPr>
              <w:t xml:space="preserve"> （三）缺陷责任期：2年。</w:t>
            </w:r>
          </w:p>
          <w:p>
            <w:pPr>
              <w:pStyle w:val="null3"/>
              <w:jc w:val="both"/>
            </w:pPr>
            <w:r>
              <w:rPr>
                <w:rFonts w:ascii="仿宋_GB2312" w:hAnsi="仿宋_GB2312" w:cs="仿宋_GB2312" w:eastAsia="仿宋_GB2312"/>
              </w:rPr>
              <w:t>（四）施工要求：</w:t>
            </w:r>
          </w:p>
          <w:p>
            <w:pPr>
              <w:pStyle w:val="null3"/>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pPr>
            <w:r>
              <w:rPr>
                <w:rFonts w:ascii="仿宋_GB2312" w:hAnsi="仿宋_GB2312" w:cs="仿宋_GB2312" w:eastAsia="仿宋_GB2312"/>
              </w:rPr>
              <w:t>2、成交人应配合项目建设进度,向采购人提供施工组织计划、进度计划和施工作业计划，并签订施工安全责任书。</w:t>
            </w:r>
          </w:p>
          <w:p>
            <w:pPr>
              <w:pStyle w:val="null3"/>
            </w:pPr>
            <w:r>
              <w:rPr>
                <w:rFonts w:ascii="仿宋_GB2312" w:hAnsi="仿宋_GB2312" w:cs="仿宋_GB2312" w:eastAsia="仿宋_GB2312"/>
              </w:rPr>
              <w:t>（五）质量保证：工程质量达到国家现行施工验收规范合格标准，并符合采购文件、合同以及采购方使用需求。</w:t>
            </w:r>
          </w:p>
          <w:p>
            <w:pPr>
              <w:pStyle w:val="null3"/>
            </w:pPr>
            <w:r>
              <w:rPr>
                <w:rFonts w:ascii="仿宋_GB2312" w:hAnsi="仿宋_GB2312" w:cs="仿宋_GB2312" w:eastAsia="仿宋_GB2312"/>
              </w:rPr>
              <w:t>（六）工程量清单见附件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供应商应具备建设行政主管部门颁发的电力工程施工总承包三级及以上资质，且具备合法有效的安全生产许可证；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拟派项目经理具备合法有效的机电工程专业二级及以上注册建造师资格和安全生产考核合格证，且无其他在建工程；（提供无在建工程的承诺函）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①方案内容全面完整，清晰合理，可行性及针对性强，计8分； ②方案内容完整，具备一定合理性及可行性，计6分； ③方案内容不够全面，合理性及可行性一般计4分； ④方案不合理，内容有欠缺且影响项目实施计2 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①施工机械及材料投入充足、完善、合理，计6分； ②施工机械及材料投入基本完善、能满足项目需求，计4分； ③机械设备投入不足，计2分；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①网络图或进度表内容详尽、安排合理且实施性强，计5分； ②网络图或进度表内容缺失，关键节点不明确，计2分； ③未提供本项不计分。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①计划安排科学合理，措施完善，计6分； ②计划安排较为合理，措施一般，计4分； ③计划安排仅有粗略框架无关键节点，计2分；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①人员配备数量充足、分工明确、安排合理，计6分； ②人员分工安排相对合理，责任制度基本明确，计4分； ③人员分工安排欠缺，责任制度稍简单粗略得2分；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以合同复印件形式提供供应商2022年1月1日至今类似业绩，每份计1分，计满5分为止。 注：供应商需提供采购合同（含施工内容页、签字盖章页）复印件，否则业绩不予认可。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 ①服务承诺详细全面、措施及建议合理可行，计10分； ②服务承诺详细全面，无合理化建议，计7分； ③服务承诺仅有框架无具体措施，计4分；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