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版本号：JXZB2025-03020250915002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西安市高陵区职业技术教育中心汽车实训楼建设项目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JXZB2025-030</w:t>
      </w:r>
      <w:r>
        <w:br/>
      </w:r>
      <w:r>
        <w:br/>
      </w:r>
      <w:r>
        <w:br/>
      </w:r>
    </w:p>
    <w:p>
      <w:pPr>
        <w:pStyle w:val="null3"/>
        <w:jc w:val="center"/>
        <w:outlineLvl w:val="2"/>
      </w:pPr>
      <w:r>
        <w:rPr>
          <w:rFonts w:ascii="仿宋_GB2312" w:hAnsi="仿宋_GB2312" w:cs="仿宋_GB2312" w:eastAsia="仿宋_GB2312"/>
          <w:sz w:val="28"/>
          <w:b/>
        </w:rPr>
        <w:t>西安市高陵区教育局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西安市高陵区教育局</w:t>
      </w:r>
      <w:r>
        <w:rPr>
          <w:rFonts w:ascii="仿宋_GB2312" w:hAnsi="仿宋_GB2312" w:cs="仿宋_GB2312" w:eastAsia="仿宋_GB2312"/>
        </w:rPr>
        <w:t>委托，拟对</w:t>
      </w:r>
      <w:r>
        <w:rPr>
          <w:rFonts w:ascii="仿宋_GB2312" w:hAnsi="仿宋_GB2312" w:cs="仿宋_GB2312" w:eastAsia="仿宋_GB2312"/>
        </w:rPr>
        <w:t>西安市高陵区职业技术教育中心汽车实训楼建设项目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西安市高陵区职业技术教育中心汽车实训楼建设项目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西安市高陵区职业技术教育中心汽车实训楼建设项目,建筑面积:1189.16平方米，建筑层数:地上2层;规划建筑高度12.00m,消防建筑高度:10.50m,抗震设计烈度:7度,主要结构类型:框架结构。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采购包1（西安市高陵区职业技术教育中心汽车实训楼建设项目）：属于专门面向中小企业采购。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法人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3、企业资质：供应商需具备建设行政主管部门颁发的建筑工程施工总承包三级及以上资质，并具有有效的安全生产许可证；</w:t>
      </w:r>
    </w:p>
    <w:p>
      <w:pPr>
        <w:pStyle w:val="null3"/>
      </w:pPr>
      <w:r>
        <w:rPr>
          <w:rFonts w:ascii="仿宋_GB2312" w:hAnsi="仿宋_GB2312" w:cs="仿宋_GB2312" w:eastAsia="仿宋_GB2312"/>
        </w:rPr>
        <w:t>4、项目负责人资质：拟委派项目负责人须具有建筑工程专业二级及以上注册建造师资格并具有安全生产考核合格证，在本单位注册且无在建项目；</w:t>
      </w:r>
    </w:p>
    <w:p>
      <w:pPr>
        <w:pStyle w:val="null3"/>
      </w:pPr>
      <w:r>
        <w:rPr>
          <w:rFonts w:ascii="仿宋_GB2312" w:hAnsi="仿宋_GB2312" w:cs="仿宋_GB2312" w:eastAsia="仿宋_GB2312"/>
        </w:rPr>
        <w:t>5、财务状况：提供2024年度经审计的财务报告，或投标前三个月内公司存款账户开户银行出具的资信证明（以上两种形式的资料提供任何一种即可）；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6、税收缴纳证明：提供2025年01月至今已缴纳的至少一个月的纳税证明或完税证明（任意税种），依法免税的单位应提供相关证明材料；</w:t>
      </w:r>
    </w:p>
    <w:p>
      <w:pPr>
        <w:pStyle w:val="null3"/>
      </w:pPr>
      <w:r>
        <w:rPr>
          <w:rFonts w:ascii="仿宋_GB2312" w:hAnsi="仿宋_GB2312" w:cs="仿宋_GB2312" w:eastAsia="仿宋_GB2312"/>
        </w:rPr>
        <w:t>7、社保缴纳证明：提供2025年01月至今已缴存的至少一个月的社会保障资金缴存单据或社保机构开具的社会保险参保缴费情况证明，依法不需要缴纳社会保障资金的单位应提供相关证明材料；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8、企业信用：参加本次政府采购活动前3年内在经营活动中没有重大违纪，以及未被列入失信被执行人、重大税收违法案件当事人名单、政府采购严重违法失信行为记录名单的书面声明；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9、履约能力：提供具有履行本合同所必需的设备和专业技术能力的声明；</w:t>
      </w:r>
    </w:p>
    <w:p>
      <w:pPr>
        <w:pStyle w:val="null3"/>
      </w:pPr>
      <w:r>
        <w:rPr>
          <w:rFonts w:ascii="仿宋_GB2312" w:hAnsi="仿宋_GB2312" w:cs="仿宋_GB2312" w:eastAsia="仿宋_GB2312"/>
        </w:rPr>
        <w:t>10、控股管理关系：供应商单位负责人不得为同一人或者存在控股、管理关系；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高陵区文卫路892号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029-86921342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13359164061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采购包1：3,475,400.00元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国家发展改革委《关于降低部分建设项目收费标准规范收费行为等有关问题的通知》（发改价格[2011]534号）”及“陕西省物价局、陕西省住房和城乡建设厅文件（陕价行[2014]88号文）”规定收费标准收取。 结算时以项目成交价为基数，按照合同签订收取比例或金额计算采购代理服务费及造价咨询服务费，由成交人在领取成交通知书前一次性付清。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西安市高陵区教育局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联系电话：13359164061</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3,475,400.00</w:t>
      </w:r>
    </w:p>
    <w:p>
      <w:pPr>
        <w:pStyle w:val="null3"/>
      </w:pPr>
      <w:r>
        <w:rPr>
          <w:rFonts w:ascii="仿宋_GB2312" w:hAnsi="仿宋_GB2312" w:cs="仿宋_GB2312" w:eastAsia="仿宋_GB2312"/>
        </w:rPr>
        <w:t>采购包最高限价（元）: 3,475,390.38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建设汽车实训楼</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3,475,400.00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标的名称：建设汽车实训楼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概况：西安市高陵区职业技术教育中心汽车实训楼建设项目,建设内容为汽车实训楼建筑面积1189.16平方米，建筑地上2层;规划建筑高度12.00m,消防建筑高度10.50m,抗震设计烈度7度,包括结构、建筑、给排水、暖通、电气专业的配套内容，主要结构类型为框架结构。</w:t>
            </w:r>
          </w:p>
          <w:p>
            <w:pPr>
              <w:pStyle w:val="null3"/>
            </w:pPr>
            <w:r>
              <w:rPr>
                <w:rFonts w:ascii="仿宋_GB2312" w:hAnsi="仿宋_GB2312" w:cs="仿宋_GB2312" w:eastAsia="仿宋_GB2312"/>
              </w:rPr>
              <w:t>工期：合同签订后90日历天</w:t>
            </w:r>
          </w:p>
          <w:p>
            <w:pPr>
              <w:pStyle w:val="null3"/>
            </w:pPr>
            <w:r>
              <w:rPr>
                <w:rFonts w:ascii="仿宋_GB2312" w:hAnsi="仿宋_GB2312" w:cs="仿宋_GB2312" w:eastAsia="仿宋_GB2312"/>
              </w:rPr>
              <w:t>工程地点：西安市高陵区职业技术教育中心</w:t>
            </w:r>
          </w:p>
          <w:p>
            <w:pPr>
              <w:pStyle w:val="null3"/>
            </w:pPr>
            <w:r>
              <w:rPr>
                <w:rFonts w:ascii="仿宋_GB2312" w:hAnsi="仿宋_GB2312" w:cs="仿宋_GB2312" w:eastAsia="仿宋_GB2312"/>
              </w:rPr>
              <w:t>质量标准：达到国家现行施工验收规范“合格”标准</w:t>
            </w:r>
          </w:p>
          <w:p>
            <w:pPr>
              <w:pStyle w:val="null3"/>
            </w:pPr>
            <w:r>
              <w:rPr>
                <w:rFonts w:ascii="仿宋_GB2312" w:hAnsi="仿宋_GB2312" w:cs="仿宋_GB2312" w:eastAsia="仿宋_GB2312"/>
              </w:rPr>
              <w:t>质量保修期：2年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供应商需要于磋商响应文件递交截止时间前在线提交电子响应文件， 同时线下提交一正一副纸质版响应文件及电子版U盘1份，纸质文件双面打印胶装，若线上电子响应标文件与纸质响应文件不一致的，以线上电子响应文件为准。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截至资格预审申请文件提交截止日三个月内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质量保修期满足竞争性磋商文件要求。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陕西省政府采购供应商拒绝政府采购领域商业贿赂承诺书.docx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w:t>
            </w:r>
          </w:p>
        </w:tc>
        <w:tc>
          <w:tcPr>
            <w:tcW w:type="dxa" w:w="2492"/>
          </w:tcPr>
          <w:p>
            <w:pPr>
              <w:pStyle w:val="null3"/>
            </w:pPr>
            <w:r>
              <w:rPr>
                <w:rFonts w:ascii="仿宋_GB2312" w:hAnsi="仿宋_GB2312" w:cs="仿宋_GB2312" w:eastAsia="仿宋_GB2312"/>
              </w:rPr>
              <w:t>针对本项目提供完善的施工方案与相关技术措施，内容包含但不限于：①对项目总体概况表述；②施工部署及措施；③对项目主要及关键方案的表述；④施工总平面图布置等。 方案完整，完全包含以上4项且满足实际工作需求的得10分，每缺少一项扣2.5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针对本项目提供完善的确保工程质量的技术组织措施，内容包含但不限于：①质量管理工作流程；②工程质量保障方案；③工程质量控制体系；④各施工阶段质量管理措施等。 方案完整，完全包含以上4项且满足实际工作需求的得10分，每缺少一项扣2.5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3、确保安全施工保证措施；</w:t>
            </w:r>
          </w:p>
        </w:tc>
        <w:tc>
          <w:tcPr>
            <w:tcW w:type="dxa" w:w="2492"/>
          </w:tcPr>
          <w:p>
            <w:pPr>
              <w:pStyle w:val="null3"/>
            </w:pPr>
            <w:r>
              <w:rPr>
                <w:rFonts w:ascii="仿宋_GB2312" w:hAnsi="仿宋_GB2312" w:cs="仿宋_GB2312" w:eastAsia="仿宋_GB2312"/>
              </w:rPr>
              <w:t>针对本项目提供完善的确保安全施工保证措施，内容包含但不限于：①安全生产目标及安全管理体系；②安全生产保障措施；③安全预案及安全教育培训等。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4、确保文明施工及环境保护的技术组织措施；</w:t>
            </w:r>
          </w:p>
        </w:tc>
        <w:tc>
          <w:tcPr>
            <w:tcW w:type="dxa" w:w="2492"/>
          </w:tcPr>
          <w:p>
            <w:pPr>
              <w:pStyle w:val="null3"/>
            </w:pPr>
            <w:r>
              <w:rPr>
                <w:rFonts w:ascii="仿宋_GB2312" w:hAnsi="仿宋_GB2312" w:cs="仿宋_GB2312" w:eastAsia="仿宋_GB2312"/>
              </w:rPr>
              <w:t>提供针对本项目完善的确保文明施工技术组织措施及环境保护措施，内容包含但不限于：①安全文明施工目标及施工现场的管理措施；②文明施工保障措施；③环境保护管理体系及措施等。 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5、确保工期的技术组织措施；</w:t>
            </w:r>
          </w:p>
        </w:tc>
        <w:tc>
          <w:tcPr>
            <w:tcW w:type="dxa" w:w="2492"/>
          </w:tcPr>
          <w:p>
            <w:pPr>
              <w:pStyle w:val="null3"/>
            </w:pPr>
            <w:r>
              <w:rPr>
                <w:rFonts w:ascii="仿宋_GB2312" w:hAnsi="仿宋_GB2312" w:cs="仿宋_GB2312" w:eastAsia="仿宋_GB2312"/>
              </w:rPr>
              <w:t>提供针对本项目完善的确保工期的技术组织措施，内容包含但不限于： ①工期目标及施工进度计划措施；②遇夜间、雨季、高温等情况的工期保证措施。 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6、项目部组成人员；</w:t>
            </w:r>
          </w:p>
        </w:tc>
        <w:tc>
          <w:tcPr>
            <w:tcW w:type="dxa" w:w="2492"/>
          </w:tcPr>
          <w:p>
            <w:pPr>
              <w:pStyle w:val="null3"/>
            </w:pPr>
            <w:r>
              <w:rPr>
                <w:rFonts w:ascii="仿宋_GB2312" w:hAnsi="仿宋_GB2312" w:cs="仿宋_GB2312" w:eastAsia="仿宋_GB2312"/>
              </w:rPr>
              <w:t>拟派人员数量和各专业搭配齐全，组织架构中（不含项目经理）至少包含施工员、安全员、质量员、资料员、材料员各1人（至少5人），满足以上基本要求得5分，不满足不得分。每增加一名专业管理人员增加 1 分，最多加4分。 注：以加盖投标人单位公章的证书复印件或扫描件为准。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7、施工机械配备及材料投入计划；</w:t>
            </w:r>
          </w:p>
        </w:tc>
        <w:tc>
          <w:tcPr>
            <w:tcW w:type="dxa" w:w="2492"/>
          </w:tcPr>
          <w:p>
            <w:pPr>
              <w:pStyle w:val="null3"/>
            </w:pPr>
            <w:r>
              <w:rPr>
                <w:rFonts w:ascii="仿宋_GB2312" w:hAnsi="仿宋_GB2312" w:cs="仿宋_GB2312" w:eastAsia="仿宋_GB2312"/>
              </w:rPr>
              <w:t>提供针对本项目完善的施工机械配备及材料投入计划，内容包含但不限于：①主要材料供应计划；②施工机械设备配备计划；③材料设备发生紧急情况的调度配备计划等。 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8、施工进度表或施工网络图；</w:t>
            </w:r>
          </w:p>
        </w:tc>
        <w:tc>
          <w:tcPr>
            <w:tcW w:type="dxa" w:w="2492"/>
          </w:tcPr>
          <w:p>
            <w:pPr>
              <w:pStyle w:val="null3"/>
            </w:pPr>
            <w:r>
              <w:rPr>
                <w:rFonts w:ascii="仿宋_GB2312" w:hAnsi="仿宋_GB2312" w:cs="仿宋_GB2312" w:eastAsia="仿宋_GB2312"/>
              </w:rPr>
              <w:t>提供针对本项目完善的施工进度表或施工网络图，图表内容完整，合理，得3分；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9、劳动力安排计划及劳务分包情况表；</w:t>
            </w:r>
          </w:p>
        </w:tc>
        <w:tc>
          <w:tcPr>
            <w:tcW w:type="dxa" w:w="2492"/>
          </w:tcPr>
          <w:p>
            <w:pPr>
              <w:pStyle w:val="null3"/>
            </w:pPr>
            <w:r>
              <w:rPr>
                <w:rFonts w:ascii="仿宋_GB2312" w:hAnsi="仿宋_GB2312" w:cs="仿宋_GB2312" w:eastAsia="仿宋_GB2312"/>
              </w:rPr>
              <w:t>提供针对本项目完善的劳动力安排计划及劳务分包情况表，内容包含但不限于：①劳动力计划表及劳务分包情况表；②劳动力保障措施等。 方案完整，完全包含以上2项且满足实际工作需求的得5分，每缺少一项扣2.5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10、项目类似业绩</w:t>
            </w:r>
          </w:p>
        </w:tc>
        <w:tc>
          <w:tcPr>
            <w:tcW w:type="dxa" w:w="2492"/>
          </w:tcPr>
          <w:p>
            <w:pPr>
              <w:pStyle w:val="null3"/>
            </w:pPr>
            <w:r>
              <w:rPr>
                <w:rFonts w:ascii="仿宋_GB2312" w:hAnsi="仿宋_GB2312" w:cs="仿宋_GB2312" w:eastAsia="仿宋_GB2312"/>
              </w:rPr>
              <w:t>每提供1份近年内(2022年1月1日以后签订)的类似项目业绩或中标通知书扫描件或复印件计2分，最高计6分。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