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版本号：SXJJ-DL-2026-06120260120001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西安市燃气安全提升高压管网建设工程（高陵段）临时用地地面建筑物拆除及清表、垃圾清运项目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SXJJ-DL-2026-061</w:t>
      </w:r>
      <w:r>
        <w:br/>
      </w:r>
      <w:r>
        <w:br/>
      </w:r>
      <w:r>
        <w:br/>
      </w:r>
    </w:p>
    <w:p>
      <w:pPr>
        <w:pStyle w:val="null3"/>
        <w:jc w:val="center"/>
        <w:outlineLvl w:val="2"/>
      </w:pPr>
      <w:r>
        <w:rPr>
          <w:rFonts w:ascii="仿宋_GB2312" w:hAnsi="仿宋_GB2312" w:cs="仿宋_GB2312" w:eastAsia="仿宋_GB2312"/>
          <w:sz w:val="28"/>
          <w:b/>
        </w:rPr>
        <w:t>西安市高陵区鹿苑街道办事处</w:t>
      </w:r>
    </w:p>
    <w:p>
      <w:pPr>
        <w:pStyle w:val="null3"/>
        <w:jc w:val="center"/>
        <w:outlineLvl w:val="2"/>
      </w:pPr>
      <w:r>
        <w:rPr>
          <w:rFonts w:ascii="仿宋_GB2312" w:hAnsi="仿宋_GB2312" w:cs="仿宋_GB2312" w:eastAsia="仿宋_GB2312"/>
          <w:sz w:val="28"/>
          <w:b/>
        </w:rPr>
        <w:t>陕西建基建设工程项目管理有限公司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陕西建基建设工程项目管理有限公司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西安市高陵区鹿苑街道办事处</w:t>
      </w:r>
      <w:r>
        <w:rPr>
          <w:rFonts w:ascii="仿宋_GB2312" w:hAnsi="仿宋_GB2312" w:cs="仿宋_GB2312" w:eastAsia="仿宋_GB2312"/>
        </w:rPr>
        <w:t>委托，拟对</w:t>
      </w:r>
      <w:r>
        <w:rPr>
          <w:rFonts w:ascii="仿宋_GB2312" w:hAnsi="仿宋_GB2312" w:cs="仿宋_GB2312" w:eastAsia="仿宋_GB2312"/>
        </w:rPr>
        <w:t>西安市燃气安全提升高压管网建设工程（高陵段）临时用地地面建筑物拆除及清表、垃圾清运项目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SXJJ-DL-2026-061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西安市燃气安全提升高压管网建设工程（高陵段）临时用地地面建筑物拆除及清表、垃圾清运项目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燃气安全提升高压管网建设工程（高陵段）临时用地地面建筑物拆除及清表、垃圾清运项目；主要功能或目标:为优质高效保障西安市燃气安全提升高压管网建设工程顺利进场施工，本次采购事项主要为项目施工用地进行地面附着物清理和后续建成地块恢复耕种提供全过程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采购包1（西安市燃气安全提升高压管网建设工程（高陵段）临时用地地面建筑物拆除及清表、垃圾清运项目）：属于专门面向中小企业采购。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1、主体资格证明文件：供应商为具有独立承担民事责任能力的法人、其他组织或自然人，并出具合法有效的营业执照或事业单位法人证书等国家规定的相关证明，自然人参与的提供其身份证。</w:t>
      </w:r>
    </w:p>
    <w:p>
      <w:pPr>
        <w:pStyle w:val="null3"/>
      </w:pPr>
      <w:r>
        <w:rPr>
          <w:rFonts w:ascii="仿宋_GB2312" w:hAnsi="仿宋_GB2312" w:cs="仿宋_GB2312" w:eastAsia="仿宋_GB2312"/>
        </w:rPr>
        <w:t>2、法定代表人授权书及被授权人身份证：法定代表人授权书、被授权人身份证及授权代表在本单位的社保缴纳证明（法定代表人直接参与，只须提交其身份证明）。</w:t>
      </w:r>
    </w:p>
    <w:p>
      <w:pPr>
        <w:pStyle w:val="null3"/>
      </w:pPr>
      <w:r>
        <w:rPr>
          <w:rFonts w:ascii="仿宋_GB2312" w:hAnsi="仿宋_GB2312" w:cs="仿宋_GB2312" w:eastAsia="仿宋_GB2312"/>
        </w:rPr>
        <w:t>3、社会保障资金缴纳证明：提供供应商自投标截止日期前6个月以来已缴存的任意时段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4、税收缴纳证明：提供供应商自投标截止日期前6个月以来已缴纳任意时段纳税证明或税务机关开具的完税证明（增值税、营业税、企业所得税至少提供一种）；依法免税的应提供相关文件证明。</w:t>
      </w:r>
    </w:p>
    <w:p>
      <w:pPr>
        <w:pStyle w:val="null3"/>
      </w:pPr>
      <w:r>
        <w:rPr>
          <w:rFonts w:ascii="仿宋_GB2312" w:hAnsi="仿宋_GB2312" w:cs="仿宋_GB2312" w:eastAsia="仿宋_GB2312"/>
        </w:rPr>
        <w:t>5、政府采购活动前3年内没有重大违法记录书面声明：供应商在参加政府采购活动前三年内，在经营活动中没有重大违法记录的书面声明。</w:t>
      </w:r>
    </w:p>
    <w:p>
      <w:pPr>
        <w:pStyle w:val="null3"/>
      </w:pPr>
      <w:r>
        <w:rPr>
          <w:rFonts w:ascii="仿宋_GB2312" w:hAnsi="仿宋_GB2312" w:cs="仿宋_GB2312" w:eastAsia="仿宋_GB2312"/>
        </w:rPr>
        <w:t>6、财务状况：提供2024年度经审计的财务报告（包括审计报告、资产负债表、利润表、现金流量表、所有者权益变动表（没有可不提供）及附注，成立时间至投标文件提交截止时间不足一年的可提供成立后任意时段的资产负债表），或提交投标文件截止时间三个月内基本账户开户银行出具的资信证明及基本存款账户信息（以上两种形式的资料提供任何一种即可）。</w:t>
      </w:r>
    </w:p>
    <w:p>
      <w:pPr>
        <w:pStyle w:val="null3"/>
      </w:pPr>
      <w:r>
        <w:rPr>
          <w:rFonts w:ascii="仿宋_GB2312" w:hAnsi="仿宋_GB2312" w:cs="仿宋_GB2312" w:eastAsia="仿宋_GB2312"/>
        </w:rPr>
        <w:t>7、履行合同所必需的设备和专业技术能力书面声明函：供应商提供具有履行合同所必需的设备和专业技术能力的承诺。</w:t>
      </w:r>
    </w:p>
    <w:p>
      <w:pPr>
        <w:pStyle w:val="null3"/>
      </w:pPr>
      <w:r>
        <w:rPr>
          <w:rFonts w:ascii="仿宋_GB2312" w:hAnsi="仿宋_GB2312" w:cs="仿宋_GB2312" w:eastAsia="仿宋_GB2312"/>
        </w:rPr>
        <w:t>8、供应商特殊资格要求：供应商须具备建设行政主管部门颁发的【建筑工程施工总承包三级（含三级）】及以上资质，且具备合法有效的安全生产许可证。</w:t>
      </w:r>
    </w:p>
    <w:p>
      <w:pPr>
        <w:pStyle w:val="null3"/>
      </w:pPr>
      <w:r>
        <w:rPr>
          <w:rFonts w:ascii="仿宋_GB2312" w:hAnsi="仿宋_GB2312" w:cs="仿宋_GB2312" w:eastAsia="仿宋_GB2312"/>
        </w:rPr>
        <w:t>9、拟派项目负责人资质及专业要求：供应商拟派项目负责人具备合法有效的建筑工程专业二级及以上（含二级）注册建造师执业资格和安全生产考核合格证书（安全B证），在本单位注册且无在建工程（提供承诺书）。</w:t>
      </w:r>
    </w:p>
    <w:p>
      <w:pPr>
        <w:pStyle w:val="null3"/>
      </w:pPr>
      <w:r>
        <w:rPr>
          <w:rFonts w:ascii="仿宋_GB2312" w:hAnsi="仿宋_GB2312" w:cs="仿宋_GB2312" w:eastAsia="仿宋_GB2312"/>
        </w:rPr>
        <w:t>10、信用主体查询：供应商不得为列入信用中国(www.creditchina.gov.cn)重大税收违法失信主体、在中国执行信息公开网（http://zxgk.court.gov.cn/）未被列入失信被执行人及在中国政府采购网（www.ccgp.gov.cn）未被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11、非联合体投标声明：本项目不接受联合体投标。</w:t>
      </w:r>
    </w:p>
    <w:p>
      <w:pPr>
        <w:pStyle w:val="null3"/>
      </w:pPr>
      <w:r>
        <w:rPr>
          <w:rFonts w:ascii="仿宋_GB2312" w:hAnsi="仿宋_GB2312" w:cs="仿宋_GB2312" w:eastAsia="仿宋_GB2312"/>
        </w:rPr>
        <w:t>12、中小企业声明函：须符合财政部工业和信息化部《关于印发〈政府采购促进中小企业发展管理办法〉的通知》（财库〔2020〕46号）规定的中小企业参加，并提供《中小企业声明函 》。</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西安市高陵区鹿苑街道办事处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西安市高陵区西街111号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焦方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13572165901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陕西建基建设工程项目管理有限公司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西安市经济技术开发区凤城七路北侧明丰国际905室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秦昱、刘春燕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029-83660094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高陵区政府采购管理科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1）代理服务费的计算方法：以成交金额为基数，参照国家计委印发的《招标代理服务收费管理暂行办法》（计价格〔2002〕1980号）和国家发展和改革委员会办公厅印发的《关于招标代理服务收费有关问题的通知》（发改办价格〔2003〕857号）的有关规定执行。 （2）在发布中标通知书前，采购人须向采购代理机构一次性支付招标代理服务费。缴纳形式：可以采取现金、支票、银行汇票、电汇、网银等方式。 （3）招标代理服务费缴纳信息如下： 银行户名：陕西建基建设工程项目管理有限公司 开户行名称：中国建设银行股份有限公司西安长庆支行 账 号：61050190550000001012 联系人：秦昱、刘春燕 联系电话：029-83660094 转账备注：（项目名称/项目编号）招标代理服务费，如因自身原因发生错误，产生的不利后果均由采购人自行承担。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西安市高陵区鹿苑街道办事处</w:t>
      </w:r>
      <w:r>
        <w:rPr>
          <w:rFonts w:ascii="仿宋_GB2312" w:hAnsi="仿宋_GB2312" w:cs="仿宋_GB2312" w:eastAsia="仿宋_GB2312"/>
        </w:rPr>
        <w:t>和</w:t>
      </w:r>
      <w:r>
        <w:rPr>
          <w:rFonts w:ascii="仿宋_GB2312" w:hAnsi="仿宋_GB2312" w:cs="仿宋_GB2312" w:eastAsia="仿宋_GB2312"/>
        </w:rPr>
        <w:t>陕西建基建设工程项目管理有限公司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西安市高陵区鹿苑街道办事处</w:t>
      </w:r>
      <w:r>
        <w:rPr>
          <w:rFonts w:ascii="仿宋_GB2312" w:hAnsi="仿宋_GB2312" w:cs="仿宋_GB2312" w:eastAsia="仿宋_GB2312"/>
        </w:rPr>
        <w:t>负责解释。除上述招标文件内容，其他内容由</w:t>
      </w:r>
      <w:r>
        <w:rPr>
          <w:rFonts w:ascii="仿宋_GB2312" w:hAnsi="仿宋_GB2312" w:cs="仿宋_GB2312" w:eastAsia="仿宋_GB2312"/>
        </w:rPr>
        <w:t>陕西建基建设工程项目管理有限公司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西安市高陵区鹿苑街道办事处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陕西建基建设工程项目管理有限公司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陕西建基建设工程项目管理有限公司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陕西建基建设工程项目管理有限公司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陕西建基建设工程项目管理有限公司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联系人：秦昱、刘春燕</w:t>
      </w:r>
    </w:p>
    <w:p>
      <w:pPr>
        <w:pStyle w:val="null3"/>
      </w:pPr>
      <w:r>
        <w:rPr>
          <w:rFonts w:ascii="仿宋_GB2312" w:hAnsi="仿宋_GB2312" w:cs="仿宋_GB2312" w:eastAsia="仿宋_GB2312"/>
        </w:rPr>
        <w:t>联系电话：029-83660094</w:t>
      </w:r>
    </w:p>
    <w:p>
      <w:pPr>
        <w:pStyle w:val="null3"/>
      </w:pPr>
      <w:r>
        <w:rPr>
          <w:rFonts w:ascii="仿宋_GB2312" w:hAnsi="仿宋_GB2312" w:cs="仿宋_GB2312" w:eastAsia="仿宋_GB2312"/>
        </w:rPr>
        <w:t>地址：西安市经济技术开发区凤城七路北侧明丰国际905室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燃气安全提升高压管网建设工程（高陵段）临时用地地面建筑物拆除及清表、垃圾清运项目；主要功能或目标:为优质高效保障西安市燃气安全提升高压管网建设工程顺利进场施工，本次采购事项主要为项目施工用地进行地面附着物清理和后续建成地块恢复耕种提供全过程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3,050,000.00</w:t>
      </w:r>
    </w:p>
    <w:p>
      <w:pPr>
        <w:pStyle w:val="null3"/>
      </w:pPr>
      <w:r>
        <w:rPr>
          <w:rFonts w:ascii="仿宋_GB2312" w:hAnsi="仿宋_GB2312" w:cs="仿宋_GB2312" w:eastAsia="仿宋_GB2312"/>
        </w:rPr>
        <w:t>采购包最高限价（元）: 3,050,000.00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西安市燃气安全提升高压管网建设工程（高陵段）临时用地地面建筑物拆除及清表 垃圾清运项目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标的名称：西安市燃气安全提升高压管网建设工程（高陵段）临时用地地面建筑物拆除及清表 垃圾清运项目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一、项目名称：</w:t>
            </w:r>
            <w:r>
              <w:rPr>
                <w:rFonts w:ascii="仿宋_GB2312" w:hAnsi="仿宋_GB2312" w:cs="仿宋_GB2312" w:eastAsia="仿宋_GB2312"/>
                <w:sz w:val="21"/>
              </w:rPr>
              <w:t>西安市燃气安全提升高压管网建设工程（高陵段）临时用地地面建筑物拆除及清表、垃圾清运项目</w:t>
            </w:r>
          </w:p>
          <w:p>
            <w:pPr>
              <w:pStyle w:val="null3"/>
            </w:pPr>
            <w:r>
              <w:rPr>
                <w:rFonts w:ascii="仿宋_GB2312" w:hAnsi="仿宋_GB2312" w:cs="仿宋_GB2312" w:eastAsia="仿宋_GB2312"/>
                <w:sz w:val="20"/>
                <w:b/>
              </w:rPr>
              <w:t>二、项目规模：</w:t>
            </w:r>
            <w:r>
              <w:rPr>
                <w:rFonts w:ascii="仿宋_GB2312" w:hAnsi="仿宋_GB2312" w:cs="仿宋_GB2312" w:eastAsia="仿宋_GB2312"/>
                <w:sz w:val="20"/>
              </w:rPr>
              <w:t>1</w:t>
            </w:r>
            <w:r>
              <w:rPr>
                <w:rFonts w:ascii="仿宋_GB2312" w:hAnsi="仿宋_GB2312" w:cs="仿宋_GB2312" w:eastAsia="仿宋_GB2312"/>
              </w:rPr>
              <w:t>、</w:t>
            </w:r>
            <w:r>
              <w:rPr>
                <w:rFonts w:ascii="仿宋_GB2312" w:hAnsi="仿宋_GB2312" w:cs="仿宋_GB2312" w:eastAsia="仿宋_GB2312"/>
              </w:rPr>
              <w:t>清表服务工作：包含林地砍伐服务、路面及设施拆除服务、地表清理服务，具体服务量化标准为拆除砖砌建筑</w:t>
            </w:r>
            <w:r>
              <w:rPr>
                <w:rFonts w:ascii="仿宋_GB2312" w:hAnsi="仿宋_GB2312" w:cs="仿宋_GB2312" w:eastAsia="仿宋_GB2312"/>
              </w:rPr>
              <w:t>820余 m³；拆除活动板房约1500㎡；拆除日光大棚约22500㎡；拆除零星路面及路基约2100㎡；各类垃圾外运总量 18000m³；砍伐并外运苗木18636株，以及其他各类需拆除清理的部位。</w:t>
            </w:r>
          </w:p>
          <w:p>
            <w:pPr>
              <w:pStyle w:val="null3"/>
            </w:pPr>
            <w:r>
              <w:rPr>
                <w:rFonts w:ascii="仿宋_GB2312" w:hAnsi="仿宋_GB2312" w:cs="仿宋_GB2312" w:eastAsia="仿宋_GB2312"/>
              </w:rPr>
              <w:t>2、熟土保护专项服务：包含表层清表作业、熟土挖掘与规范堆放。待管道施工完毕后，由服务单位负责将原堆放熟土及时回运回填；清表产生的土方空缺部分，采用外购优质熟土进行回填补充。若服务单位未按要求完成熟土堆运工作，导致农民后续种植产量受影响，需承担相应赔偿责任或自行购买熟土完成平铺整改。</w:t>
            </w:r>
          </w:p>
          <w:p>
            <w:pPr>
              <w:pStyle w:val="null3"/>
            </w:pPr>
            <w:r>
              <w:rPr>
                <w:rFonts w:ascii="仿宋_GB2312" w:hAnsi="仿宋_GB2312" w:cs="仿宋_GB2312" w:eastAsia="仿宋_GB2312"/>
              </w:rPr>
              <w:t>3、复垦熟土回填服务：（1）将前期集中堆放的原熟土精准回运至对应地块，采用专业设备进行均匀摊平，保证土层厚度一致；（2）针对熟土回填后仍存在的土方不足及土质不佳区域，统一购买符合种植标准的优质种植土进行补充回填，确保耕地土壤质量达标。</w:t>
            </w:r>
          </w:p>
          <w:p>
            <w:pPr>
              <w:pStyle w:val="null3"/>
            </w:pPr>
            <w:r>
              <w:rPr>
                <w:rFonts w:ascii="仿宋_GB2312" w:hAnsi="仿宋_GB2312" w:cs="仿宋_GB2312" w:eastAsia="仿宋_GB2312"/>
              </w:rPr>
              <w:t>4、复垦完善服务：（1）采用专业农业机械对复垦地块进行两遍旋耕作业，打破土壤板结层，改善土壤透气性；（2）按照每亩100KG的标准，为复垦地块施用优质复合肥，施肥费用包含复合肥采购成本及机械施肥作业费用，确保土壤肥力满足农作物生长需求。</w:t>
            </w:r>
          </w:p>
          <w:p>
            <w:pPr>
              <w:pStyle w:val="null3"/>
            </w:pPr>
            <w:r>
              <w:rPr>
                <w:rFonts w:ascii="仿宋_GB2312" w:hAnsi="仿宋_GB2312" w:cs="仿宋_GB2312" w:eastAsia="仿宋_GB2312"/>
              </w:rPr>
              <w:t>5、配套服务工作：包含相应的现场安全服务、专业机械及操作人员服务等。</w:t>
            </w:r>
          </w:p>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服务清单（包括但不限于）：</w:t>
            </w:r>
          </w:p>
          <w:tbl>
            <w:tblPr>
              <w:tblBorders>
                <w:top w:val="none" w:color="000000" w:sz="4"/>
                <w:left w:val="none" w:color="000000" w:sz="4"/>
                <w:bottom w:val="none" w:color="000000" w:sz="4"/>
                <w:right w:val="none" w:color="000000" w:sz="4"/>
                <w:insideH w:val="none"/>
                <w:insideV w:val="none"/>
              </w:tblBorders>
            </w:tblPr>
            <w:tblGrid>
              <w:gridCol w:w="413"/>
              <w:gridCol w:w="317"/>
              <w:gridCol w:w="874"/>
              <w:gridCol w:w="516"/>
              <w:gridCol w:w="434"/>
            </w:tblGrid>
            <w:tr>
              <w:tc>
                <w:tcPr>
                  <w:tcW w:type="dxa" w:w="4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8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项目名称</w:t>
                  </w:r>
                </w:p>
              </w:tc>
              <w:tc>
                <w:tcPr>
                  <w:tcW w:type="dxa" w:w="5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计量</w:t>
                  </w:r>
                  <w:r>
                    <w:br/>
                  </w:r>
                  <w:r>
                    <w:rPr>
                      <w:rFonts w:ascii="仿宋_GB2312" w:hAnsi="仿宋_GB2312" w:cs="仿宋_GB2312" w:eastAsia="仿宋_GB2312"/>
                      <w:sz w:val="21"/>
                      <w:b/>
                    </w:rPr>
                    <w:t>单位</w:t>
                  </w:r>
                </w:p>
              </w:tc>
              <w:tc>
                <w:tcPr>
                  <w:tcW w:type="dxa" w:w="4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工程量</w:t>
                  </w:r>
                </w:p>
              </w:tc>
            </w:tr>
            <w:tr>
              <w:tc>
                <w:tcPr>
                  <w:tcW w:type="dxa" w:w="4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一、清表服务工作</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拆除房屋类建筑物</w:t>
                  </w:r>
                </w:p>
                <w:p>
                  <w:pPr>
                    <w:pStyle w:val="null3"/>
                    <w:jc w:val="center"/>
                  </w:pPr>
                  <w:r>
                    <w:rPr>
                      <w:rFonts w:ascii="仿宋_GB2312" w:hAnsi="仿宋_GB2312" w:cs="仿宋_GB2312" w:eastAsia="仿宋_GB2312"/>
                      <w:sz w:val="21"/>
                    </w:rPr>
                    <w:t>[项目特征]</w:t>
                  </w:r>
                </w:p>
                <w:p>
                  <w:pPr>
                    <w:pStyle w:val="null3"/>
                    <w:jc w:val="center"/>
                  </w:pPr>
                  <w:r>
                    <w:rPr>
                      <w:rFonts w:ascii="仿宋_GB2312" w:hAnsi="仿宋_GB2312" w:cs="仿宋_GB2312" w:eastAsia="仿宋_GB2312"/>
                      <w:sz w:val="21"/>
                      <w:color w:val="000000"/>
                    </w:rPr>
                    <w:t>人机配合拆除</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m³</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820</w:t>
                  </w:r>
                </w:p>
              </w:tc>
            </w:tr>
            <w:tr>
              <w:tc>
                <w:tcPr>
                  <w:tcW w:type="dxa" w:w="413"/>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拆除日光大棚</w:t>
                  </w:r>
                </w:p>
                <w:p>
                  <w:pPr>
                    <w:pStyle w:val="null3"/>
                    <w:jc w:val="center"/>
                  </w:pPr>
                  <w:r>
                    <w:rPr>
                      <w:rFonts w:ascii="仿宋_GB2312" w:hAnsi="仿宋_GB2312" w:cs="仿宋_GB2312" w:eastAsia="仿宋_GB2312"/>
                      <w:sz w:val="21"/>
                    </w:rPr>
                    <w:t>[项目特征]</w:t>
                  </w:r>
                </w:p>
                <w:p>
                  <w:pPr>
                    <w:pStyle w:val="null3"/>
                    <w:jc w:val="center"/>
                  </w:pPr>
                  <w:r>
                    <w:rPr>
                      <w:rFonts w:ascii="仿宋_GB2312" w:hAnsi="仿宋_GB2312" w:cs="仿宋_GB2312" w:eastAsia="仿宋_GB2312"/>
                      <w:sz w:val="21"/>
                      <w:color w:val="000000"/>
                    </w:rPr>
                    <w:t>人机配合拆除</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22145.5</w:t>
                  </w:r>
                </w:p>
              </w:tc>
            </w:tr>
            <w:tr>
              <w:tc>
                <w:tcPr>
                  <w:tcW w:type="dxa" w:w="413"/>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拆除钢结构板房</w:t>
                  </w:r>
                </w:p>
                <w:p>
                  <w:pPr>
                    <w:pStyle w:val="null3"/>
                    <w:jc w:val="center"/>
                  </w:pPr>
                  <w:r>
                    <w:rPr>
                      <w:rFonts w:ascii="仿宋_GB2312" w:hAnsi="仿宋_GB2312" w:cs="仿宋_GB2312" w:eastAsia="仿宋_GB2312"/>
                      <w:sz w:val="21"/>
                    </w:rPr>
                    <w:t>[项目特征]</w:t>
                  </w:r>
                </w:p>
                <w:p>
                  <w:pPr>
                    <w:pStyle w:val="null3"/>
                    <w:jc w:val="center"/>
                  </w:pPr>
                  <w:r>
                    <w:rPr>
                      <w:rFonts w:ascii="仿宋_GB2312" w:hAnsi="仿宋_GB2312" w:cs="仿宋_GB2312" w:eastAsia="仿宋_GB2312"/>
                      <w:sz w:val="21"/>
                      <w:color w:val="000000"/>
                    </w:rPr>
                    <w:t>人机配合拆除</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1480.61</w:t>
                  </w:r>
                </w:p>
              </w:tc>
            </w:tr>
            <w:tr>
              <w:tc>
                <w:tcPr>
                  <w:tcW w:type="dxa" w:w="413"/>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推土机推平夯土</w:t>
                  </w:r>
                  <w:r>
                    <w:br/>
                  </w:r>
                  <w:r>
                    <w:rPr>
                      <w:rFonts w:ascii="仿宋_GB2312" w:hAnsi="仿宋_GB2312" w:cs="仿宋_GB2312" w:eastAsia="仿宋_GB2312"/>
                      <w:sz w:val="21"/>
                      <w:color w:val="000000"/>
                    </w:rPr>
                    <w:t>大棚侧墙</w:t>
                  </w:r>
                </w:p>
                <w:p>
                  <w:pPr>
                    <w:pStyle w:val="null3"/>
                    <w:jc w:val="center"/>
                  </w:pPr>
                  <w:r>
                    <w:rPr>
                      <w:rFonts w:ascii="仿宋_GB2312" w:hAnsi="仿宋_GB2312" w:cs="仿宋_GB2312" w:eastAsia="仿宋_GB2312"/>
                      <w:sz w:val="21"/>
                    </w:rPr>
                    <w:t>[项目特征]</w:t>
                  </w:r>
                </w:p>
                <w:p>
                  <w:pPr>
                    <w:pStyle w:val="null3"/>
                    <w:jc w:val="center"/>
                  </w:pPr>
                  <w:r>
                    <w:rPr>
                      <w:rFonts w:ascii="仿宋_GB2312" w:hAnsi="仿宋_GB2312" w:cs="仿宋_GB2312" w:eastAsia="仿宋_GB2312"/>
                      <w:sz w:val="21"/>
                      <w:color w:val="000000"/>
                    </w:rPr>
                    <w:t>人机配合拆除</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m³</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3582.75</w:t>
                  </w:r>
                </w:p>
              </w:tc>
            </w:tr>
            <w:tr>
              <w:tc>
                <w:tcPr>
                  <w:tcW w:type="dxa" w:w="413"/>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拆除路面</w:t>
                  </w:r>
                </w:p>
                <w:p>
                  <w:pPr>
                    <w:pStyle w:val="null3"/>
                    <w:jc w:val="center"/>
                  </w:pPr>
                  <w:r>
                    <w:rPr>
                      <w:rFonts w:ascii="仿宋_GB2312" w:hAnsi="仿宋_GB2312" w:cs="仿宋_GB2312" w:eastAsia="仿宋_GB2312"/>
                      <w:sz w:val="21"/>
                    </w:rPr>
                    <w:t>[项目特征]</w:t>
                  </w:r>
                </w:p>
                <w:p>
                  <w:pPr>
                    <w:pStyle w:val="null3"/>
                    <w:jc w:val="center"/>
                  </w:pPr>
                  <w:r>
                    <w:rPr>
                      <w:rFonts w:ascii="仿宋_GB2312" w:hAnsi="仿宋_GB2312" w:cs="仿宋_GB2312" w:eastAsia="仿宋_GB2312"/>
                      <w:sz w:val="21"/>
                      <w:color w:val="000000"/>
                    </w:rPr>
                    <w:t>人机配合拆除</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2144</w:t>
                  </w:r>
                </w:p>
              </w:tc>
            </w:tr>
            <w:tr>
              <w:tc>
                <w:tcPr>
                  <w:tcW w:type="dxa" w:w="413"/>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拆除路基</w:t>
                  </w:r>
                </w:p>
                <w:p>
                  <w:pPr>
                    <w:pStyle w:val="null3"/>
                    <w:jc w:val="center"/>
                  </w:pPr>
                  <w:r>
                    <w:rPr>
                      <w:rFonts w:ascii="仿宋_GB2312" w:hAnsi="仿宋_GB2312" w:cs="仿宋_GB2312" w:eastAsia="仿宋_GB2312"/>
                      <w:sz w:val="21"/>
                    </w:rPr>
                    <w:t>[项目特征]</w:t>
                  </w:r>
                </w:p>
                <w:p>
                  <w:pPr>
                    <w:pStyle w:val="null3"/>
                    <w:jc w:val="center"/>
                  </w:pPr>
                  <w:r>
                    <w:rPr>
                      <w:rFonts w:ascii="仿宋_GB2312" w:hAnsi="仿宋_GB2312" w:cs="仿宋_GB2312" w:eastAsia="仿宋_GB2312"/>
                      <w:sz w:val="21"/>
                      <w:color w:val="000000"/>
                    </w:rPr>
                    <w:t>人机配合拆除</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2144</w:t>
                  </w:r>
                </w:p>
              </w:tc>
            </w:tr>
            <w:tr>
              <w:tc>
                <w:tcPr>
                  <w:tcW w:type="dxa" w:w="413"/>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垃圾外运</w:t>
                  </w:r>
                </w:p>
                <w:p>
                  <w:pPr>
                    <w:pStyle w:val="null3"/>
                    <w:jc w:val="center"/>
                  </w:pPr>
                  <w:r>
                    <w:rPr>
                      <w:rFonts w:ascii="仿宋_GB2312" w:hAnsi="仿宋_GB2312" w:cs="仿宋_GB2312" w:eastAsia="仿宋_GB2312"/>
                      <w:sz w:val="21"/>
                    </w:rPr>
                    <w:t>[项目特征]</w:t>
                  </w:r>
                </w:p>
                <w:p>
                  <w:pPr>
                    <w:pStyle w:val="null3"/>
                    <w:jc w:val="center"/>
                  </w:pPr>
                  <w:r>
                    <w:rPr>
                      <w:rFonts w:ascii="仿宋_GB2312" w:hAnsi="仿宋_GB2312" w:cs="仿宋_GB2312" w:eastAsia="仿宋_GB2312"/>
                      <w:sz w:val="21"/>
                      <w:color w:val="000000"/>
                    </w:rPr>
                    <w:t>运距自行考虑</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m³</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5336.47</w:t>
                  </w:r>
                </w:p>
              </w:tc>
            </w:tr>
            <w:tr>
              <w:tc>
                <w:tcPr>
                  <w:tcW w:type="dxa" w:w="413"/>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砍伐乔木</w:t>
                  </w:r>
                </w:p>
                <w:p>
                  <w:pPr>
                    <w:pStyle w:val="null3"/>
                    <w:jc w:val="center"/>
                  </w:pPr>
                  <w:r>
                    <w:rPr>
                      <w:rFonts w:ascii="仿宋_GB2312" w:hAnsi="仿宋_GB2312" w:cs="仿宋_GB2312" w:eastAsia="仿宋_GB2312"/>
                      <w:sz w:val="21"/>
                    </w:rPr>
                    <w:t>[项目特征]</w:t>
                  </w:r>
                </w:p>
                <w:p>
                  <w:pPr>
                    <w:pStyle w:val="null3"/>
                    <w:jc w:val="center"/>
                  </w:pPr>
                  <w:r>
                    <w:rPr>
                      <w:rFonts w:ascii="仿宋_GB2312" w:hAnsi="仿宋_GB2312" w:cs="仿宋_GB2312" w:eastAsia="仿宋_GB2312"/>
                      <w:sz w:val="21"/>
                      <w:color w:val="000000"/>
                    </w:rPr>
                    <w:t>综合考虑伐树、挖树根</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18636</w:t>
                  </w:r>
                </w:p>
              </w:tc>
            </w:tr>
            <w:tr>
              <w:tc>
                <w:tcPr>
                  <w:tcW w:type="dxa" w:w="413"/>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砍伐苗木外运</w:t>
                  </w:r>
                </w:p>
                <w:p>
                  <w:pPr>
                    <w:pStyle w:val="null3"/>
                    <w:jc w:val="center"/>
                  </w:pPr>
                  <w:r>
                    <w:rPr>
                      <w:rFonts w:ascii="仿宋_GB2312" w:hAnsi="仿宋_GB2312" w:cs="仿宋_GB2312" w:eastAsia="仿宋_GB2312"/>
                      <w:sz w:val="21"/>
                    </w:rPr>
                    <w:t>[项目特征]</w:t>
                  </w:r>
                </w:p>
                <w:p>
                  <w:pPr>
                    <w:pStyle w:val="null3"/>
                    <w:jc w:val="center"/>
                  </w:pPr>
                  <w:r>
                    <w:rPr>
                      <w:rFonts w:ascii="仿宋_GB2312" w:hAnsi="仿宋_GB2312" w:cs="仿宋_GB2312" w:eastAsia="仿宋_GB2312"/>
                      <w:sz w:val="21"/>
                      <w:color w:val="000000"/>
                    </w:rPr>
                    <w:t>运距自行考虑</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m³</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149.09</w:t>
                  </w:r>
                </w:p>
              </w:tc>
            </w:tr>
            <w:tr>
              <w:tc>
                <w:tcPr>
                  <w:tcW w:type="dxa" w:w="413"/>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余方弃置</w:t>
                  </w:r>
                </w:p>
                <w:p>
                  <w:pPr>
                    <w:pStyle w:val="null3"/>
                    <w:jc w:val="center"/>
                  </w:pPr>
                  <w:r>
                    <w:rPr>
                      <w:rFonts w:ascii="仿宋_GB2312" w:hAnsi="仿宋_GB2312" w:cs="仿宋_GB2312" w:eastAsia="仿宋_GB2312"/>
                      <w:sz w:val="21"/>
                    </w:rPr>
                    <w:t>[项目特征]</w:t>
                  </w:r>
                </w:p>
                <w:p>
                  <w:pPr>
                    <w:pStyle w:val="null3"/>
                    <w:jc w:val="center"/>
                  </w:pPr>
                  <w:r>
                    <w:rPr>
                      <w:rFonts w:ascii="仿宋_GB2312" w:hAnsi="仿宋_GB2312" w:cs="仿宋_GB2312" w:eastAsia="仿宋_GB2312"/>
                      <w:sz w:val="21"/>
                      <w:color w:val="000000"/>
                    </w:rPr>
                    <w:t>运距自行考虑</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m³</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5485.56</w:t>
                  </w:r>
                </w:p>
              </w:tc>
            </w:tr>
            <w:tr>
              <w:tc>
                <w:tcPr>
                  <w:tcW w:type="dxa" w:w="4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二、熟土保护专项服务</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表层平整场地</w:t>
                  </w:r>
                </w:p>
                <w:p>
                  <w:pPr>
                    <w:pStyle w:val="null3"/>
                    <w:jc w:val="center"/>
                  </w:pPr>
                  <w:r>
                    <w:rPr>
                      <w:rFonts w:ascii="仿宋_GB2312" w:hAnsi="仿宋_GB2312" w:cs="仿宋_GB2312" w:eastAsia="仿宋_GB2312"/>
                      <w:sz w:val="21"/>
                    </w:rPr>
                    <w:t>[项目特征]</w:t>
                  </w:r>
                </w:p>
                <w:p>
                  <w:pPr>
                    <w:pStyle w:val="null3"/>
                    <w:jc w:val="center"/>
                  </w:pPr>
                  <w:r>
                    <w:rPr>
                      <w:rFonts w:ascii="仿宋_GB2312" w:hAnsi="仿宋_GB2312" w:cs="仿宋_GB2312" w:eastAsia="仿宋_GB2312"/>
                      <w:sz w:val="21"/>
                      <w:color w:val="000000"/>
                    </w:rPr>
                    <w:t>1.整平厚度:100mm</w:t>
                  </w:r>
                </w:p>
                <w:p>
                  <w:pPr>
                    <w:pStyle w:val="null3"/>
                    <w:jc w:val="center"/>
                  </w:pPr>
                  <w:r>
                    <w:rPr>
                      <w:rFonts w:ascii="仿宋_GB2312" w:hAnsi="仿宋_GB2312" w:cs="仿宋_GB2312" w:eastAsia="仿宋_GB2312"/>
                      <w:sz w:val="21"/>
                      <w:color w:val="000000"/>
                    </w:rPr>
                    <w:t>2.宽度:18m</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126000</w:t>
                  </w:r>
                </w:p>
              </w:tc>
            </w:tr>
            <w:tr>
              <w:tc>
                <w:tcPr>
                  <w:tcW w:type="dxa" w:w="413"/>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平整场地余方弃置</w:t>
                  </w:r>
                </w:p>
                <w:p>
                  <w:pPr>
                    <w:pStyle w:val="null3"/>
                    <w:jc w:val="center"/>
                  </w:pPr>
                  <w:r>
                    <w:rPr>
                      <w:rFonts w:ascii="仿宋_GB2312" w:hAnsi="仿宋_GB2312" w:cs="仿宋_GB2312" w:eastAsia="仿宋_GB2312"/>
                      <w:sz w:val="21"/>
                    </w:rPr>
                    <w:t>[项目特征]</w:t>
                  </w:r>
                </w:p>
                <w:p>
                  <w:pPr>
                    <w:pStyle w:val="null3"/>
                    <w:jc w:val="center"/>
                  </w:pPr>
                  <w:r>
                    <w:rPr>
                      <w:rFonts w:ascii="仿宋_GB2312" w:hAnsi="仿宋_GB2312" w:cs="仿宋_GB2312" w:eastAsia="仿宋_GB2312"/>
                      <w:sz w:val="21"/>
                      <w:color w:val="000000"/>
                    </w:rPr>
                    <w:t>运距自行考虑</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m³</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12600</w:t>
                  </w:r>
                </w:p>
              </w:tc>
            </w:tr>
            <w:tr>
              <w:tc>
                <w:tcPr>
                  <w:tcW w:type="dxa" w:w="413"/>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熟土开挖</w:t>
                  </w:r>
                </w:p>
                <w:p>
                  <w:pPr>
                    <w:pStyle w:val="null3"/>
                    <w:jc w:val="center"/>
                  </w:pPr>
                  <w:r>
                    <w:rPr>
                      <w:rFonts w:ascii="仿宋_GB2312" w:hAnsi="仿宋_GB2312" w:cs="仿宋_GB2312" w:eastAsia="仿宋_GB2312"/>
                      <w:sz w:val="21"/>
                    </w:rPr>
                    <w:t>[项目特征]</w:t>
                  </w:r>
                </w:p>
                <w:p>
                  <w:pPr>
                    <w:pStyle w:val="null3"/>
                    <w:jc w:val="center"/>
                  </w:pPr>
                  <w:r>
                    <w:rPr>
                      <w:rFonts w:ascii="仿宋_GB2312" w:hAnsi="仿宋_GB2312" w:cs="仿宋_GB2312" w:eastAsia="仿宋_GB2312"/>
                      <w:sz w:val="21"/>
                      <w:color w:val="000000"/>
                    </w:rPr>
                    <w:t>1.整平厚度:300mm</w:t>
                  </w:r>
                </w:p>
                <w:p>
                  <w:pPr>
                    <w:pStyle w:val="null3"/>
                    <w:jc w:val="center"/>
                  </w:pPr>
                  <w:r>
                    <w:rPr>
                      <w:rFonts w:ascii="仿宋_GB2312" w:hAnsi="仿宋_GB2312" w:cs="仿宋_GB2312" w:eastAsia="仿宋_GB2312"/>
                      <w:sz w:val="21"/>
                      <w:color w:val="000000"/>
                    </w:rPr>
                    <w:t>2.宽度:11m</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77000</w:t>
                  </w:r>
                </w:p>
              </w:tc>
            </w:tr>
            <w:tr>
              <w:tc>
                <w:tcPr>
                  <w:tcW w:type="dxa" w:w="4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三、复垦熟土回填服务</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铲运机运土</w:t>
                  </w:r>
                </w:p>
                <w:p>
                  <w:pPr>
                    <w:pStyle w:val="null3"/>
                    <w:jc w:val="center"/>
                  </w:pPr>
                  <w:r>
                    <w:rPr>
                      <w:rFonts w:ascii="仿宋_GB2312" w:hAnsi="仿宋_GB2312" w:cs="仿宋_GB2312" w:eastAsia="仿宋_GB2312"/>
                      <w:sz w:val="21"/>
                    </w:rPr>
                    <w:t>[项目特征]</w:t>
                  </w:r>
                </w:p>
                <w:p>
                  <w:pPr>
                    <w:pStyle w:val="null3"/>
                    <w:jc w:val="center"/>
                  </w:pPr>
                  <w:r>
                    <w:rPr>
                      <w:rFonts w:ascii="仿宋_GB2312" w:hAnsi="仿宋_GB2312" w:cs="仿宋_GB2312" w:eastAsia="仿宋_GB2312"/>
                      <w:sz w:val="21"/>
                      <w:color w:val="000000"/>
                    </w:rPr>
                    <w:t>运距</w:t>
                  </w:r>
                  <w:r>
                    <w:rPr>
                      <w:rFonts w:ascii="仿宋_GB2312" w:hAnsi="仿宋_GB2312" w:cs="仿宋_GB2312" w:eastAsia="仿宋_GB2312"/>
                      <w:sz w:val="21"/>
                      <w:color w:val="000000"/>
                    </w:rPr>
                    <w:t>300m</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m³</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23100</w:t>
                  </w:r>
                </w:p>
              </w:tc>
            </w:tr>
            <w:tr>
              <w:tc>
                <w:tcPr>
                  <w:tcW w:type="dxa" w:w="413"/>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原土回填</w:t>
                  </w:r>
                </w:p>
                <w:p>
                  <w:pPr>
                    <w:pStyle w:val="null3"/>
                    <w:jc w:val="center"/>
                  </w:pPr>
                  <w:r>
                    <w:rPr>
                      <w:rFonts w:ascii="仿宋_GB2312" w:hAnsi="仿宋_GB2312" w:cs="仿宋_GB2312" w:eastAsia="仿宋_GB2312"/>
                      <w:sz w:val="21"/>
                    </w:rPr>
                    <w:t>[项目特征]</w:t>
                  </w:r>
                </w:p>
                <w:p>
                  <w:pPr>
                    <w:pStyle w:val="null3"/>
                    <w:jc w:val="center"/>
                  </w:pPr>
                  <w:r>
                    <w:rPr>
                      <w:rFonts w:ascii="仿宋_GB2312" w:hAnsi="仿宋_GB2312" w:cs="仿宋_GB2312" w:eastAsia="仿宋_GB2312"/>
                      <w:sz w:val="21"/>
                      <w:color w:val="000000"/>
                    </w:rPr>
                    <w:t>原土回填</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m³</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23100</w:t>
                  </w:r>
                </w:p>
              </w:tc>
            </w:tr>
            <w:tr>
              <w:tc>
                <w:tcPr>
                  <w:tcW w:type="dxa" w:w="413"/>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种植土回填</w:t>
                  </w:r>
                </w:p>
                <w:p>
                  <w:pPr>
                    <w:pStyle w:val="null3"/>
                    <w:jc w:val="center"/>
                  </w:pPr>
                  <w:r>
                    <w:rPr>
                      <w:rFonts w:ascii="仿宋_GB2312" w:hAnsi="仿宋_GB2312" w:cs="仿宋_GB2312" w:eastAsia="仿宋_GB2312"/>
                      <w:sz w:val="21"/>
                    </w:rPr>
                    <w:t>[项目特征]</w:t>
                  </w:r>
                </w:p>
                <w:p>
                  <w:pPr>
                    <w:pStyle w:val="null3"/>
                    <w:jc w:val="center"/>
                  </w:pPr>
                  <w:r>
                    <w:rPr>
                      <w:rFonts w:ascii="仿宋_GB2312" w:hAnsi="仿宋_GB2312" w:cs="仿宋_GB2312" w:eastAsia="仿宋_GB2312"/>
                      <w:sz w:val="21"/>
                      <w:color w:val="000000"/>
                    </w:rPr>
                    <w:t>外购土方</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m³</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12600</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四、复垦完善服务</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复垦完善服务</w:t>
                  </w:r>
                </w:p>
                <w:p>
                  <w:pPr>
                    <w:pStyle w:val="null3"/>
                    <w:jc w:val="center"/>
                  </w:pPr>
                  <w:r>
                    <w:rPr>
                      <w:rFonts w:ascii="仿宋_GB2312" w:hAnsi="仿宋_GB2312" w:cs="仿宋_GB2312" w:eastAsia="仿宋_GB2312"/>
                      <w:sz w:val="21"/>
                    </w:rPr>
                    <w:t>[项目特征]</w:t>
                  </w:r>
                </w:p>
                <w:p>
                  <w:pPr>
                    <w:pStyle w:val="null3"/>
                    <w:jc w:val="center"/>
                  </w:pPr>
                  <w:r>
                    <w:rPr>
                      <w:rFonts w:ascii="仿宋_GB2312" w:hAnsi="仿宋_GB2312" w:cs="仿宋_GB2312" w:eastAsia="仿宋_GB2312"/>
                      <w:sz w:val="21"/>
                      <w:color w:val="000000"/>
                    </w:rPr>
                    <w:t>1.旋耕机旋地2遍，达到种植条件</w:t>
                  </w:r>
                </w:p>
                <w:p>
                  <w:pPr>
                    <w:pStyle w:val="null3"/>
                    <w:jc w:val="center"/>
                  </w:pPr>
                  <w:r>
                    <w:rPr>
                      <w:rFonts w:ascii="仿宋_GB2312" w:hAnsi="仿宋_GB2312" w:cs="仿宋_GB2312" w:eastAsia="仿宋_GB2312"/>
                      <w:sz w:val="21"/>
                      <w:color w:val="000000"/>
                    </w:rPr>
                    <w:t>2.施肥:复合肥，0.15kg/㎡</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126000</w:t>
                  </w:r>
                </w:p>
              </w:tc>
            </w:tr>
          </w:tbl>
          <w:p>
            <w:pPr>
              <w:pStyle w:val="null3"/>
              <w:jc w:val="both"/>
            </w:pPr>
            <w:r>
              <w:rPr>
                <w:rFonts w:ascii="仿宋_GB2312" w:hAnsi="仿宋_GB2312" w:cs="仿宋_GB2312" w:eastAsia="仿宋_GB2312"/>
                <w:sz w:val="20"/>
                <w:b/>
              </w:rPr>
              <w:t>四、服务要求：</w:t>
            </w:r>
          </w:p>
          <w:p>
            <w:pPr>
              <w:pStyle w:val="null3"/>
            </w:pPr>
            <w:r>
              <w:rPr>
                <w:rFonts w:ascii="仿宋_GB2312" w:hAnsi="仿宋_GB2312" w:cs="仿宋_GB2312" w:eastAsia="仿宋_GB2312"/>
                <w:sz w:val="20"/>
              </w:rPr>
              <w:t>（</w:t>
            </w:r>
            <w:r>
              <w:rPr>
                <w:rFonts w:ascii="仿宋_GB2312" w:hAnsi="仿宋_GB2312" w:cs="仿宋_GB2312" w:eastAsia="仿宋_GB2312"/>
                <w:sz w:val="20"/>
              </w:rPr>
              <w:t>1）垃圾清运干净，现场无遗留物，达到实施条件。</w:t>
            </w:r>
          </w:p>
          <w:p>
            <w:pPr>
              <w:pStyle w:val="null3"/>
            </w:pPr>
            <w:r>
              <w:rPr>
                <w:rFonts w:ascii="仿宋_GB2312" w:hAnsi="仿宋_GB2312" w:cs="仿宋_GB2312" w:eastAsia="仿宋_GB2312"/>
                <w:sz w:val="20"/>
              </w:rPr>
              <w:t>（</w:t>
            </w:r>
            <w:r>
              <w:rPr>
                <w:rFonts w:ascii="仿宋_GB2312" w:hAnsi="仿宋_GB2312" w:cs="仿宋_GB2312" w:eastAsia="仿宋_GB2312"/>
                <w:sz w:val="20"/>
              </w:rPr>
              <w:t>2）建筑垃圾要清运至正规建筑垃圾消纳场、回填点等，不扬尘、不撒漏、不随意倾倒垃圾，必须按有关规定及要求做好防尘降噪措施。</w:t>
            </w:r>
          </w:p>
          <w:p>
            <w:pPr>
              <w:pStyle w:val="null3"/>
            </w:pPr>
            <w:r>
              <w:rPr>
                <w:rFonts w:ascii="仿宋_GB2312" w:hAnsi="仿宋_GB2312" w:cs="仿宋_GB2312" w:eastAsia="仿宋_GB2312"/>
                <w:sz w:val="20"/>
              </w:rPr>
              <w:t>（</w:t>
            </w:r>
            <w:r>
              <w:rPr>
                <w:rFonts w:ascii="仿宋_GB2312" w:hAnsi="仿宋_GB2312" w:cs="仿宋_GB2312" w:eastAsia="仿宋_GB2312"/>
                <w:sz w:val="20"/>
              </w:rPr>
              <w:t>3）清运中不能超载，做好蓬盖，破碎现场避免扬尘，落实好安全文明生产及治污减霾工作。</w:t>
            </w:r>
          </w:p>
          <w:p>
            <w:pPr>
              <w:pStyle w:val="null3"/>
            </w:pPr>
            <w:r>
              <w:rPr>
                <w:rFonts w:ascii="仿宋_GB2312" w:hAnsi="仿宋_GB2312" w:cs="仿宋_GB2312" w:eastAsia="仿宋_GB2312"/>
                <w:sz w:val="20"/>
              </w:rPr>
              <w:t>（</w:t>
            </w:r>
            <w:r>
              <w:rPr>
                <w:rFonts w:ascii="仿宋_GB2312" w:hAnsi="仿宋_GB2312" w:cs="仿宋_GB2312" w:eastAsia="仿宋_GB2312"/>
                <w:sz w:val="20"/>
              </w:rPr>
              <w:t>4）在服务期间，中标供应商必须注意人员安全，加强安全措施，并对现场服务人员进行安全教育。</w:t>
            </w:r>
          </w:p>
          <w:p>
            <w:pPr>
              <w:pStyle w:val="null3"/>
            </w:pPr>
            <w:r>
              <w:rPr>
                <w:rFonts w:ascii="仿宋_GB2312" w:hAnsi="仿宋_GB2312" w:cs="仿宋_GB2312" w:eastAsia="仿宋_GB2312"/>
                <w:sz w:val="20"/>
              </w:rPr>
              <w:t>（</w:t>
            </w:r>
            <w:r>
              <w:rPr>
                <w:rFonts w:ascii="仿宋_GB2312" w:hAnsi="仿宋_GB2312" w:cs="仿宋_GB2312" w:eastAsia="仿宋_GB2312"/>
                <w:sz w:val="20"/>
              </w:rPr>
              <w:t>5）复垦覆土厚度为自然沉实土壤0.4米以上，覆土后场地平整，符合种植要求。</w:t>
            </w:r>
          </w:p>
          <w:p>
            <w:pPr>
              <w:pStyle w:val="null3"/>
            </w:pPr>
            <w:r>
              <w:rPr>
                <w:rFonts w:ascii="仿宋_GB2312" w:hAnsi="仿宋_GB2312" w:cs="仿宋_GB2312" w:eastAsia="仿宋_GB2312"/>
                <w:sz w:val="20"/>
              </w:rPr>
              <w:t>（</w:t>
            </w:r>
            <w:r>
              <w:rPr>
                <w:rFonts w:ascii="仿宋_GB2312" w:hAnsi="仿宋_GB2312" w:cs="仿宋_GB2312" w:eastAsia="仿宋_GB2312"/>
                <w:sz w:val="20"/>
              </w:rPr>
              <w:t>6）服务单位要严格按照技术规范执行清表服务作业，必须在指定作业区域内作业，不得擅自变更作业地点，另自行协调与周边村庄关系。</w:t>
            </w:r>
          </w:p>
          <w:p>
            <w:pPr>
              <w:pStyle w:val="null3"/>
            </w:pPr>
            <w:r>
              <w:rPr>
                <w:rFonts w:ascii="仿宋_GB2312" w:hAnsi="仿宋_GB2312" w:cs="仿宋_GB2312" w:eastAsia="仿宋_GB2312"/>
                <w:sz w:val="20"/>
              </w:rPr>
              <w:t>（</w:t>
            </w:r>
            <w:r>
              <w:rPr>
                <w:rFonts w:ascii="仿宋_GB2312" w:hAnsi="仿宋_GB2312" w:cs="仿宋_GB2312" w:eastAsia="仿宋_GB2312"/>
                <w:sz w:val="20"/>
              </w:rPr>
              <w:t>7）建筑物拆除技术要求</w:t>
            </w:r>
          </w:p>
          <w:p>
            <w:pPr>
              <w:pStyle w:val="null3"/>
            </w:pPr>
            <w:r>
              <w:rPr>
                <w:rFonts w:ascii="仿宋_GB2312" w:hAnsi="仿宋_GB2312" w:cs="仿宋_GB2312" w:eastAsia="仿宋_GB2312"/>
                <w:sz w:val="20"/>
              </w:rPr>
              <w:t>1）路面及设施拆除服务必须湿法作业、机械搭配人工拆除，同时，做好扬尘控制工作。</w:t>
            </w:r>
          </w:p>
          <w:p>
            <w:pPr>
              <w:pStyle w:val="null3"/>
            </w:pPr>
            <w:r>
              <w:rPr>
                <w:rFonts w:ascii="仿宋_GB2312" w:hAnsi="仿宋_GB2312" w:cs="仿宋_GB2312" w:eastAsia="仿宋_GB2312"/>
                <w:sz w:val="20"/>
              </w:rPr>
              <w:t>2）拆除至现有地坪，完成场地平整。需满足项目用地要求，符合交接条件。</w:t>
            </w:r>
          </w:p>
          <w:p>
            <w:pPr>
              <w:pStyle w:val="null3"/>
            </w:pPr>
            <w:r>
              <w:rPr>
                <w:rFonts w:ascii="仿宋_GB2312" w:hAnsi="仿宋_GB2312" w:cs="仿宋_GB2312" w:eastAsia="仿宋_GB2312"/>
                <w:sz w:val="20"/>
              </w:rPr>
              <w:t>（</w:t>
            </w:r>
            <w:r>
              <w:rPr>
                <w:rFonts w:ascii="仿宋_GB2312" w:hAnsi="仿宋_GB2312" w:cs="仿宋_GB2312" w:eastAsia="仿宋_GB2312"/>
                <w:sz w:val="20"/>
              </w:rPr>
              <w:t>8）运距要求</w:t>
            </w:r>
          </w:p>
          <w:p>
            <w:pPr>
              <w:pStyle w:val="null3"/>
            </w:pPr>
            <w:r>
              <w:rPr>
                <w:rFonts w:ascii="仿宋_GB2312" w:hAnsi="仿宋_GB2312" w:cs="仿宋_GB2312" w:eastAsia="仿宋_GB2312"/>
                <w:sz w:val="20"/>
              </w:rPr>
              <w:t>1）该项目实施时如垃圾倾倒点改变中标供应商需有自行协调垃圾倾倒点的能力。</w:t>
            </w:r>
          </w:p>
          <w:p>
            <w:pPr>
              <w:pStyle w:val="null3"/>
            </w:pPr>
            <w:r>
              <w:rPr>
                <w:rFonts w:ascii="仿宋_GB2312" w:hAnsi="仿宋_GB2312" w:cs="仿宋_GB2312" w:eastAsia="仿宋_GB2312"/>
                <w:sz w:val="20"/>
              </w:rPr>
              <w:t>2）由垃圾倾倒点改变引起的运距增加不做调整。</w:t>
            </w:r>
          </w:p>
          <w:p>
            <w:pPr>
              <w:pStyle w:val="null3"/>
            </w:pPr>
            <w:r>
              <w:rPr>
                <w:rFonts w:ascii="仿宋_GB2312" w:hAnsi="仿宋_GB2312" w:cs="仿宋_GB2312" w:eastAsia="仿宋_GB2312"/>
                <w:b/>
              </w:rPr>
              <w:t>五</w:t>
            </w:r>
            <w:r>
              <w:rPr>
                <w:rFonts w:ascii="仿宋_GB2312" w:hAnsi="仿宋_GB2312" w:cs="仿宋_GB2312" w:eastAsia="仿宋_GB2312"/>
                <w:b/>
              </w:rPr>
              <w:t>、商务要求</w:t>
            </w:r>
          </w:p>
          <w:p>
            <w:pPr>
              <w:pStyle w:val="null3"/>
            </w:pPr>
            <w:r>
              <w:rPr>
                <w:rFonts w:ascii="仿宋_GB2312" w:hAnsi="仿宋_GB2312" w:cs="仿宋_GB2312" w:eastAsia="仿宋_GB2312"/>
                <w:sz w:val="20"/>
                <w:b/>
              </w:rPr>
              <w:t>（</w:t>
            </w:r>
            <w:r>
              <w:rPr>
                <w:rFonts w:ascii="仿宋_GB2312" w:hAnsi="仿宋_GB2312" w:cs="仿宋_GB2312" w:eastAsia="仿宋_GB2312"/>
                <w:sz w:val="20"/>
                <w:b/>
              </w:rPr>
              <w:t>1）服务期限：</w:t>
            </w:r>
            <w:r>
              <w:rPr>
                <w:rFonts w:ascii="仿宋_GB2312" w:hAnsi="仿宋_GB2312" w:cs="仿宋_GB2312" w:eastAsia="仿宋_GB2312"/>
                <w:sz w:val="20"/>
              </w:rPr>
              <w:t>自合同签订之日起</w:t>
            </w:r>
            <w:r>
              <w:rPr>
                <w:rFonts w:ascii="仿宋_GB2312" w:hAnsi="仿宋_GB2312" w:cs="仿宋_GB2312" w:eastAsia="仿宋_GB2312"/>
                <w:sz w:val="20"/>
              </w:rPr>
              <w:t>300日历天内完成项目（因管道主体施工延误的工期顺延）。</w:t>
            </w:r>
          </w:p>
          <w:p>
            <w:pPr>
              <w:pStyle w:val="null3"/>
            </w:pPr>
            <w:r>
              <w:rPr>
                <w:rFonts w:ascii="仿宋_GB2312" w:hAnsi="仿宋_GB2312" w:cs="仿宋_GB2312" w:eastAsia="仿宋_GB2312"/>
                <w:sz w:val="20"/>
                <w:b/>
              </w:rPr>
              <w:t>（</w:t>
            </w:r>
            <w:r>
              <w:rPr>
                <w:rFonts w:ascii="仿宋_GB2312" w:hAnsi="仿宋_GB2312" w:cs="仿宋_GB2312" w:eastAsia="仿宋_GB2312"/>
                <w:sz w:val="20"/>
                <w:b/>
              </w:rPr>
              <w:t>2）款项结算：</w:t>
            </w:r>
            <w:r>
              <w:rPr>
                <w:rFonts w:ascii="仿宋_GB2312" w:hAnsi="仿宋_GB2312" w:cs="仿宋_GB2312" w:eastAsia="仿宋_GB2312"/>
                <w:sz w:val="20"/>
              </w:rPr>
              <w:t>合同签订后采购人支付成交供应商工程预付款，供应商提供同等金额增值税发票</w:t>
            </w:r>
            <w:r>
              <w:rPr>
                <w:rFonts w:ascii="仿宋_GB2312" w:hAnsi="仿宋_GB2312" w:cs="仿宋_GB2312" w:eastAsia="仿宋_GB2312"/>
                <w:sz w:val="20"/>
              </w:rPr>
              <w:t>，达到付款条件起</w:t>
            </w:r>
            <w:r>
              <w:rPr>
                <w:rFonts w:ascii="仿宋_GB2312" w:hAnsi="仿宋_GB2312" w:cs="仿宋_GB2312" w:eastAsia="仿宋_GB2312"/>
                <w:sz w:val="20"/>
              </w:rPr>
              <w:t>15日内，支付合同总金额的40.00%</w:t>
            </w:r>
            <w:r>
              <w:rPr>
                <w:rFonts w:ascii="仿宋_GB2312" w:hAnsi="仿宋_GB2312" w:cs="仿宋_GB2312" w:eastAsia="仿宋_GB2312"/>
                <w:sz w:val="20"/>
              </w:rPr>
              <w:t>；</w:t>
            </w:r>
            <w:r>
              <w:rPr>
                <w:rFonts w:ascii="仿宋_GB2312" w:hAnsi="仿宋_GB2312" w:cs="仿宋_GB2312" w:eastAsia="仿宋_GB2312"/>
                <w:sz w:val="20"/>
              </w:rPr>
              <w:t>待整体清表工作完成后，供应商提供同等金额增值税发票</w:t>
            </w:r>
            <w:r>
              <w:rPr>
                <w:rFonts w:ascii="仿宋_GB2312" w:hAnsi="仿宋_GB2312" w:cs="仿宋_GB2312" w:eastAsia="仿宋_GB2312"/>
                <w:sz w:val="20"/>
              </w:rPr>
              <w:t>，达到付款条件起</w:t>
            </w:r>
            <w:r>
              <w:rPr>
                <w:rFonts w:ascii="仿宋_GB2312" w:hAnsi="仿宋_GB2312" w:cs="仿宋_GB2312" w:eastAsia="仿宋_GB2312"/>
                <w:sz w:val="20"/>
              </w:rPr>
              <w:t>15日内，支付合同总金额的30.00%</w:t>
            </w:r>
            <w:r>
              <w:rPr>
                <w:rFonts w:ascii="仿宋_GB2312" w:hAnsi="仿宋_GB2312" w:cs="仿宋_GB2312" w:eastAsia="仿宋_GB2312"/>
                <w:sz w:val="20"/>
              </w:rPr>
              <w:t>；</w:t>
            </w:r>
            <w:r>
              <w:rPr>
                <w:rFonts w:ascii="仿宋_GB2312" w:hAnsi="仿宋_GB2312" w:cs="仿宋_GB2312" w:eastAsia="仿宋_GB2312"/>
                <w:sz w:val="20"/>
              </w:rPr>
              <w:t>竣工验收合格后成交供应商报送结算资料，结算资料经采购人审定后，供应商提供同等金额增值税发票</w:t>
            </w:r>
            <w:r>
              <w:rPr>
                <w:rFonts w:ascii="仿宋_GB2312" w:hAnsi="仿宋_GB2312" w:cs="仿宋_GB2312" w:eastAsia="仿宋_GB2312"/>
                <w:sz w:val="20"/>
              </w:rPr>
              <w:t>，达到付款条件起</w:t>
            </w:r>
            <w:r>
              <w:rPr>
                <w:rFonts w:ascii="仿宋_GB2312" w:hAnsi="仿宋_GB2312" w:cs="仿宋_GB2312" w:eastAsia="仿宋_GB2312"/>
                <w:sz w:val="20"/>
              </w:rPr>
              <w:t>15日内，支付合同总金额的30.00%。</w:t>
            </w:r>
          </w:p>
          <w:p>
            <w:pPr>
              <w:pStyle w:val="null3"/>
            </w:pPr>
            <w:r>
              <w:rPr>
                <w:rFonts w:ascii="仿宋_GB2312" w:hAnsi="仿宋_GB2312" w:cs="仿宋_GB2312" w:eastAsia="仿宋_GB2312"/>
                <w:sz w:val="20"/>
                <w:b/>
              </w:rPr>
              <w:t>（</w:t>
            </w:r>
            <w:r>
              <w:rPr>
                <w:rFonts w:ascii="仿宋_GB2312" w:hAnsi="仿宋_GB2312" w:cs="仿宋_GB2312" w:eastAsia="仿宋_GB2312"/>
                <w:sz w:val="20"/>
                <w:b/>
              </w:rPr>
              <w:t>3）质量要求：</w:t>
            </w:r>
            <w:r>
              <w:rPr>
                <w:rFonts w:ascii="仿宋_GB2312" w:hAnsi="仿宋_GB2312" w:cs="仿宋_GB2312" w:eastAsia="仿宋_GB2312"/>
                <w:sz w:val="20"/>
              </w:rPr>
              <w:t>达到国家及行业现行技术规范标准，符合国家及行业验收合格标准。</w:t>
            </w:r>
          </w:p>
          <w:p>
            <w:pPr>
              <w:pStyle w:val="null3"/>
            </w:pPr>
            <w:r>
              <w:rPr>
                <w:rFonts w:ascii="仿宋_GB2312" w:hAnsi="仿宋_GB2312" w:cs="仿宋_GB2312" w:eastAsia="仿宋_GB2312"/>
                <w:sz w:val="20"/>
              </w:rPr>
              <w:t>（</w:t>
            </w:r>
            <w:r>
              <w:rPr>
                <w:rFonts w:ascii="仿宋_GB2312" w:hAnsi="仿宋_GB2312" w:cs="仿宋_GB2312" w:eastAsia="仿宋_GB2312"/>
                <w:sz w:val="20"/>
                <w:b/>
              </w:rPr>
              <w:t>4）违约责任：</w:t>
            </w:r>
            <w:r>
              <w:rPr>
                <w:rFonts w:ascii="仿宋_GB2312" w:hAnsi="仿宋_GB2312" w:cs="仿宋_GB2312" w:eastAsia="仿宋_GB2312"/>
                <w:sz w:val="20"/>
              </w:rPr>
              <w:t>未</w:t>
            </w:r>
            <w:r>
              <w:rPr>
                <w:rFonts w:ascii="仿宋_GB2312" w:hAnsi="仿宋_GB2312" w:cs="仿宋_GB2312" w:eastAsia="仿宋_GB2312"/>
                <w:sz w:val="20"/>
              </w:rPr>
              <w:t>按合同要求提供货物或服务不能满足要求，会同监督机构有权终止合同，对成交供应商违约行为进行追究，同时按政府采购法的有关规定进行相应的处罚。</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自合同签订之日起300日历天内完成项目（因管道主体施工延误的工期顺延）。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具体以采购人指定地点为准。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合同签订后采购人支付成交供应商工程预付款，供应商提供同等金额增值税发票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待整体清表工作完成后，供应商提供同等金额增值税发票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竣工验收合格后成交供应商报送结算资料，结算资料经采购人审定后，供应商提供同等金额增值税发票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需要落实的政府采购政策：1、关于印发《政府采购促进中小企业发展管理办法》的通知（财库〔2020〕46号）；2、《财政部、司法部关于政府采购支持监狱企业发展有关问题的通知》（财库〔2014〕68号）；3、《民政部、财政部、中国残疾人联合会关于促进残疾人就业政府采购政策的通知》（财库〔2017〕141号）；4、财政部、国家发展和改革委员会关于印发《节能产品政府采购实施意见》的通知（财库〔2004〕185号）；5、《关于印发环境标志产品政府采购品目清单的通知》（财库〔2019〕18号）；6、《关于印发节能产品政府采购品目清单的通知》（财库〔2019〕19号）；7、《关于进一步加强政府绿色采购有关问题的通知》（陕财办采〔2021〕29号）；8、《财政部、发展改革委、生态环境部、市场监管总局关于调整优化节能产品、环境标志产品政府采购执行机制的通知》（财库〔2019〕9号）；9、《陕西省财政厅关于加快推进我省中小企业政府采购信用融资工作的通知》（陕财办采〔2020〕15号）；10、《关于运用政府采购政策支持乡村产业振兴的通知》（财库〔2021〕19号）；11、《关于深入开展政府采购脱贫地区农副产品工作推进乡村产业振兴的实施意见》的通知（财库〔2021〕20号）；12、《财政部关于进一步加大政府采购支持中小企业力度的通知》（财库〔2022〕19号）；13、陕西省财政厅关于印发《陕西省中小企业政府采购信用融资办法》（陕财办采〔2018〕23号）；14、《财政部关于在政府采购活动中查询及使用信用记录有关问题的通知》（财库〔2016〕125号）；15、《陕西省财政厅关于落实政府采购支持中小企业政策有关事项的通知》（陕财办采函〔2022〕10号）；14、其他需要落实的政府采购政策（如有最新颁布的政府采购政策，按最新的文件执行）。 二、供应商务必在开标截止时间30分钟前，通过项目电子化交易系统进行签到，如未进行签到，产生的一切后果由供应商自行承担。 三、本项目专门面向中小企业采购，须在投标文件中提供中小企业声明函。 四、关于弃标的说明：按照《西安市财政局关于促进政府采购公平竞争优化营商环境的通知》（市财函〔2021〕431号）规定：供应商登记免费领取招标文件的，如不参与项目投标，应在提交投标文件截止时间前一日以书面形式告知采购代理机构（出具弃标函发送至代理机构邮箱：a18092589552@foxmail.com）。否则，采购代理机构可以向财政部门反映情况并提供相应的佐证。供应商一年内累计出现三次该情形，将被监管部门记录为失信行为。 五、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2024年度经审计的财务报告（包括审计报告、资产负债表、利润表、现金流量表、所有者权益变动表（没有可不提供）及附注，成立时间至投标文件提交截止时间不足一年的可提供成立后任意时段的资产负债表），或提交投标文件截止时间三个月内基本账户开户银行出具的资信证明及基本存款账户信息（以上两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供应商为具有独立承担民事责任能力的法人、其他组织或自然人，并出具合法有效的营业执照或事业单位法人证书等国家规定的相关证明，自然人参与的提供其身份证。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法定代表人授权书、被授权人身份证及授权代表在本单位的社保缴纳证明（法定代表人直接参与，只须提交其身份证明）。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提供供应商自投标截止日期前6个月以来已缴存的任意时段的社会保障资金缴存单据或社保机构开具的社会保险参保缴费情况证明；依法不需要缴纳社会保障资金的应提供相关文件证明。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提供供应商自投标截止日期前6个月以来已缴纳任意时段纳税证明或税务机关开具的完税证明（增值税、营业税、企业所得税至少提供一种）；依法免税的应提供相关文件证明。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政府采购活动前3年内没有重大违法记录书面声明</w:t>
            </w:r>
          </w:p>
        </w:tc>
        <w:tc>
          <w:tcPr>
            <w:tcW w:type="dxa" w:w="3322"/>
          </w:tcPr>
          <w:p>
            <w:pPr>
              <w:pStyle w:val="null3"/>
            </w:pPr>
            <w:r>
              <w:rPr>
                <w:rFonts w:ascii="仿宋_GB2312" w:hAnsi="仿宋_GB2312" w:cs="仿宋_GB2312" w:eastAsia="仿宋_GB2312"/>
              </w:rPr>
              <w:t>供应商在参加政府采购活动前三年内，在经营活动中没有重大违法记录的书面声明。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报告（包括审计报告、资产负债表、利润表、现金流量表、所有者权益变动表（没有可不提供）及附注，成立时间至投标文件提交截止时间不足一年的可提供成立后任意时段的资产负债表），或提交投标文件截止时间三个月内基本账户开户银行出具的资信证明及基本存款账户信息（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供应商提供具有履行合同所必需的设备和专业技术能力的承诺。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供应商特殊资格要求</w:t>
            </w:r>
          </w:p>
        </w:tc>
        <w:tc>
          <w:tcPr>
            <w:tcW w:type="dxa" w:w="3322"/>
          </w:tcPr>
          <w:p>
            <w:pPr>
              <w:pStyle w:val="null3"/>
            </w:pPr>
            <w:r>
              <w:rPr>
                <w:rFonts w:ascii="仿宋_GB2312" w:hAnsi="仿宋_GB2312" w:cs="仿宋_GB2312" w:eastAsia="仿宋_GB2312"/>
              </w:rPr>
              <w:t>供应商须具备建设行政主管部门颁发的【建筑工程施工总承包三级（含三级）】及以上资质，且具备合法有效的安全生产许可证。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拟派项目负责人资质及专业要求</w:t>
            </w:r>
          </w:p>
        </w:tc>
        <w:tc>
          <w:tcPr>
            <w:tcW w:type="dxa" w:w="3322"/>
          </w:tcPr>
          <w:p>
            <w:pPr>
              <w:pStyle w:val="null3"/>
            </w:pPr>
            <w:r>
              <w:rPr>
                <w:rFonts w:ascii="仿宋_GB2312" w:hAnsi="仿宋_GB2312" w:cs="仿宋_GB2312" w:eastAsia="仿宋_GB2312"/>
              </w:rPr>
              <w:t>供应商拟派项目负责人具备合法有效的建筑工程专业二级及以上（含二级）注册建造师执业资格和安全生产考核合格证书（安全B证），在本单位注册且无在建工程（提供承诺书）。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不得为列入信用中国(www.creditchina.gov.cn)重大税收违法失信主体、在中国执行信息公开网（http://zxgk.court.gov.cn/）未被列入失信被执行人及在中国政府采购网（www.ccgp.gov.cn）未被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须符合财政部工业和信息化部《关于印发〈政府采购促进中小企业发展管理办法〉的通知》（财库〔2020〕46号）规定的中小企业参加，并提供《中小企业声明函 》。</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开标一览表 投标方案.docx 中小企业声明函 资格证明文件.docx 分项报价表.docx 投标函 残疾人福利性单位声明函 业绩证明材料.docx 标的清单 投标文件封面 技术规格偏离表.docx 陕西省政府采购供应商拒绝政府采购领域商业贿赂承诺书.docx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（1）投标报价唯一； （2）报价货币符合招标文件要求； （3）未超出采购预算或招标文件规定的最高限价。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投标内容数量与要求符合招标文件要求或投标内容的技术指标应符合招标文件标记★要求</w:t>
            </w:r>
          </w:p>
        </w:tc>
        <w:tc>
          <w:tcPr>
            <w:tcW w:type="dxa" w:w="1661"/>
          </w:tcPr>
          <w:p>
            <w:pPr>
              <w:pStyle w:val="null3"/>
            </w:pPr>
            <w:r>
              <w:rPr>
                <w:rFonts w:ascii="仿宋_GB2312" w:hAnsi="仿宋_GB2312" w:cs="仿宋_GB2312" w:eastAsia="仿宋_GB2312"/>
              </w:rPr>
              <w:t>技术规格偏离表.docx 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无其它不符合法律法规或招标文件规定的投标无效条款</w:t>
            </w:r>
          </w:p>
        </w:tc>
        <w:tc>
          <w:tcPr>
            <w:tcW w:type="dxa" w:w="1661"/>
          </w:tcPr>
          <w:p>
            <w:pPr>
              <w:pStyle w:val="null3"/>
            </w:pPr>
            <w:r>
              <w:rPr>
                <w:rFonts w:ascii="仿宋_GB2312" w:hAnsi="仿宋_GB2312" w:cs="仿宋_GB2312" w:eastAsia="仿宋_GB2312"/>
              </w:rPr>
              <w:t>技术规格偏离表.docx 商务条款偏离表.docx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内容包括但不限于：①服务内容；②服务目标；③服务质量措施；④日常服务协调配合措施等。 评审标准：以上整体服务方案①~④内容全面详细、阐述条理清晰详尽、符合本项目采购需求得12分，每缺一项内容扣3分，评审内容有缺陷的根据情况扣分，扣完为止。注：评审内容有缺陷（缺陷是指：内容粗略、逻辑混乱、描述过于简单、与项目特点不匹配、逻辑漏洞、出现常识性错误、存在不适用项目实际情况的情形或只有标题没有实质性内容等）的扣0.1-2.9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垃圾清运方案</w:t>
            </w:r>
          </w:p>
        </w:tc>
        <w:tc>
          <w:tcPr>
            <w:tcW w:type="dxa" w:w="2492"/>
          </w:tcPr>
          <w:p>
            <w:pPr>
              <w:pStyle w:val="null3"/>
            </w:pPr>
            <w:r>
              <w:rPr>
                <w:rFonts w:ascii="仿宋_GB2312" w:hAnsi="仿宋_GB2312" w:cs="仿宋_GB2312" w:eastAsia="仿宋_GB2312"/>
              </w:rPr>
              <w:t>内容包括但不限于：①清运垃圾不扬尘、不撒漏、不随意倾倒垃圾措施；②垃圾清运过程中不超载、做好蓬盖、围挡、治污减霾、落实好产生抛洒的处理措施；③垃圾处理时间保障措施等。 评审标准：以上①~③内容全面详细、阐述条理清晰详尽、符合本项目采购需求得9分，每缺一项内容扣3分，评审内容有缺陷的根据情况扣分，扣完为止。注：评审内容有缺陷（缺陷是指：内容粗略、逻辑混乱、描述过于简单、与项目特点不匹配、逻辑漏洞、出现常识性错误、存在不适用项目实际情况的情形或只有标题没有实质性内容等）的扣0.1-2.9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拆除实施方案</w:t>
            </w:r>
          </w:p>
        </w:tc>
        <w:tc>
          <w:tcPr>
            <w:tcW w:type="dxa" w:w="2492"/>
          </w:tcPr>
          <w:p>
            <w:pPr>
              <w:pStyle w:val="null3"/>
            </w:pPr>
            <w:r>
              <w:rPr>
                <w:rFonts w:ascii="仿宋_GB2312" w:hAnsi="仿宋_GB2312" w:cs="仿宋_GB2312" w:eastAsia="仿宋_GB2312"/>
              </w:rPr>
              <w:t>内容包括但不限于：①针对本项目拆除前工作准备措施；②针对本项目拆除过程中实施部署措施；③针对本项目拆除时间安排措施；④拆除后的现场处理措施等。 评审标准：以上①~④内容全面详细、阐述条理清晰详尽、符合本项目采购需求得8分，每缺一项内容扣2分，评审内容有缺陷的根据情况扣分，扣完为止。注：评审内容有缺陷（缺陷是指：内容粗略、逻辑混乱、描述过于简单、与项目特点不匹配、逻辑漏洞、出现常识性错误、存在不适用项目实际情况的情形或只有标题没有实质性内容等）的扣0.1-1.9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内容包括但不限于：①服务质量管理工作流程；②服务质量保障方案；③服务质量控制体系。 评审标准：以上①~③内容全面详细、阐述条理清晰详尽、符合本项目采购需求得9分，每缺一项内容扣3分，评审内容有缺陷的根据情况扣分，扣完为止。注：评审内容有缺陷（缺陷是指：内容粗略、逻辑混乱、描述过于简单、与项目特点不匹配、逻辑漏洞、出现常识性错误、存在不适用项目实际情况的情形或只有标题没有实质性内容等）的扣0.1-2.9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进度计划部署措施</w:t>
            </w:r>
          </w:p>
        </w:tc>
        <w:tc>
          <w:tcPr>
            <w:tcW w:type="dxa" w:w="2492"/>
          </w:tcPr>
          <w:p>
            <w:pPr>
              <w:pStyle w:val="null3"/>
            </w:pPr>
            <w:r>
              <w:rPr>
                <w:rFonts w:ascii="仿宋_GB2312" w:hAnsi="仿宋_GB2312" w:cs="仿宋_GB2312" w:eastAsia="仿宋_GB2312"/>
              </w:rPr>
              <w:t>内容包括但不限于：①总进度计划平面布置；②项进度安排计划；③进度目标控制措施。 评审标准：以上①~③内容全面详细、阐述条理清晰详尽、符合本项目采购需求得6分，每缺一项内容扣2分，评审内容有缺陷的根据情况扣分，扣完为止。注：评审内容有缺陷（缺陷是指：内容粗略、逻辑混乱、描述过于简单、与项目特点不匹配、逻辑漏洞、出现常识性错误、存在不适用项目实际情况的情形或只有标题没有实质性内容等）的扣0.1-1.9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内容包括但不限于：①安全管理制度；②人员安全保障措施；③设备、车辆安全保障措施；④安全事故的应对措施；⑤安全隐患排查、整改制度等。 评审标准：以上①~⑤内容全面详细、阐述条理清晰详尽、符合本项目采购需求得10分，每缺一项内容扣2分，评审内容有缺陷的根据情况扣分，扣完为止。注：评审内容有缺陷（缺陷是指：内容粗略、逻辑混乱、描述过于简单、与项目特点不匹配、逻辑漏洞、出现常识性错误、存在不适用项目实际情况的情形或只有标题没有实质性内容等）的扣0.1-1.9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具备中级工程师及以上职称得2分， 其他职称得1分。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拟投入人员配备方案</w:t>
            </w:r>
          </w:p>
        </w:tc>
        <w:tc>
          <w:tcPr>
            <w:tcW w:type="dxa" w:w="2492"/>
          </w:tcPr>
          <w:p>
            <w:pPr>
              <w:pStyle w:val="null3"/>
            </w:pPr>
            <w:r>
              <w:rPr>
                <w:rFonts w:ascii="仿宋_GB2312" w:hAnsi="仿宋_GB2312" w:cs="仿宋_GB2312" w:eastAsia="仿宋_GB2312"/>
              </w:rPr>
              <w:t>内容包括但不限于：①项目组织机构；②团队人员配置清单；③岗位职责安排；④团队管理制度等。 评审标准：以上①~④内容全面详细、阐述条理清晰详尽、符合本项目采购需求得8分，每缺一项内容扣2分，评审内容有缺陷的根据情况扣分，扣完为止。注：评审内容有缺陷（缺陷是指：内容粗略、逻辑混乱、描述过于简单、与项目特点不匹配、逻辑漏洞、出现常识性错误、存在不适用项目实际情况的情形或只有标题没有实质性内容等）的扣0.1-1.9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清运车辆、设备管理与维护方案</w:t>
            </w:r>
          </w:p>
        </w:tc>
        <w:tc>
          <w:tcPr>
            <w:tcW w:type="dxa" w:w="2492"/>
          </w:tcPr>
          <w:p>
            <w:pPr>
              <w:pStyle w:val="null3"/>
            </w:pPr>
            <w:r>
              <w:rPr>
                <w:rFonts w:ascii="仿宋_GB2312" w:hAnsi="仿宋_GB2312" w:cs="仿宋_GB2312" w:eastAsia="仿宋_GB2312"/>
              </w:rPr>
              <w:t>内容包括但不限于：①车辆、设备配置明细；②车辆、设备的维修、维护保养方案等。 评审标准：以上①~②内容全面详细、阐述条理清晰详尽、符合本项目采购需求得6分，每缺一项内容扣3分，评审内容有缺陷的根据情况扣分，扣完为止。注：评审内容有缺陷（缺陷是指：内容粗略、逻辑混乱、描述过于简单、与项目特点不匹配、逻辑漏洞、出现常识性错误、存在不适用项目实际情况的情形或只有标题没有实质性内容等）的扣0.1-2.9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内容包括但不限于：①突发事件处理；②恶劣天气影响应急预案；③重大活动检查、临检应急预案等。 评审标准：应急预案各部分内容全面详细、阐述条理清晰详尽、符合本项目采购需求得9分，每缺一项内容扣3分，评审内容有缺陷的根据情况扣分，扣完为止。注：评审内容有缺陷（缺陷是指：内容粗略、逻辑混乱、描述过于简单、与项目特点不匹配、逻辑漏洞、出现常识性错误、存在不适用项目实际情况的情形或只有标题没有实质性内容等）的扣0.1-2.9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针对本项目提供服务承诺内容包括但不限于：①服务周期承诺；②服务质量承诺等。 评审标准：服务承诺各部分内容全面详细、阐述条理清晰详尽、符合本项目采购需求得6分，每缺一项内容扣3分，评审内容有缺陷的根据情况扣分，扣完为止。注：评审内容有缺陷（缺陷是指：内容粗略、逻辑混乱、描述过于简单、与项目特点不匹配、逻辑漏洞、出现常识性错误、存在不适用项目实际情况的情形或只有标题没有实质性内容等）的扣0.1-2.9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投标人提供2022年01月01日至今的类似业绩（以合同签订时间为准），每提供一份得1分，满分5分。注：投标文件中提供合同复印件加盖投标人公章。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满足招标文件内容及技术要求且投标报价最低的投标价为评标基准价，其价格分为满分。 投标报价得分=（评标基准价／投标报价）×价格权值×100。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详见附件：技术规格偏离表.docx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