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版本号：SXDC2026-ZB-01020260323001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西安市高陵区草王村老旧灌溉渠改造提升项目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SXDC2026-ZB-010</w:t>
      </w:r>
      <w:r>
        <w:br/>
      </w:r>
      <w:r>
        <w:br/>
      </w:r>
      <w:r>
        <w:br/>
      </w:r>
    </w:p>
    <w:p>
      <w:pPr>
        <w:pStyle w:val="null3"/>
        <w:jc w:val="center"/>
        <w:outlineLvl w:val="2"/>
      </w:pPr>
      <w:r>
        <w:rPr>
          <w:rFonts w:ascii="仿宋_GB2312" w:hAnsi="仿宋_GB2312" w:cs="仿宋_GB2312" w:eastAsia="仿宋_GB2312"/>
          <w:sz w:val="28"/>
          <w:b/>
        </w:rPr>
        <w:t>西安市高陵区鹿苑街道办事处</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西安市高陵区鹿苑街道办事处</w:t>
      </w:r>
      <w:r>
        <w:rPr>
          <w:rFonts w:ascii="仿宋_GB2312" w:hAnsi="仿宋_GB2312" w:cs="仿宋_GB2312" w:eastAsia="仿宋_GB2312"/>
        </w:rPr>
        <w:t>委托，拟对</w:t>
      </w:r>
      <w:r>
        <w:rPr>
          <w:rFonts w:ascii="仿宋_GB2312" w:hAnsi="仿宋_GB2312" w:cs="仿宋_GB2312" w:eastAsia="仿宋_GB2312"/>
        </w:rPr>
        <w:t>西安市高陵区草王村老旧灌溉渠改造提升项目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SXDC2026-ZB-010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西安市高陵区草王村老旧灌溉渠改造提升项目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西安市高陵区草王村老旧灌溉渠改造提升项目，项目位于西安市高陵区鹿苑街道办草王村。主要建设内容：改建D40U型渠6954米，改建渠系建筑物325座，其中：机耕桥77座，分水口212个，过路涵管36处。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采购包1（西安市高陵区草王村老旧灌溉渠改造提升项目）：属于专门面向中小企业采购。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誉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3、资质要求：投标人须具备水利水电工程施工总承包三级及以上资质，且具备合格有效的安全生产许可证</w:t>
      </w:r>
    </w:p>
    <w:p>
      <w:pPr>
        <w:pStyle w:val="null3"/>
      </w:pPr>
      <w:r>
        <w:rPr>
          <w:rFonts w:ascii="仿宋_GB2312" w:hAnsi="仿宋_GB2312" w:cs="仿宋_GB2312" w:eastAsia="仿宋_GB2312"/>
        </w:rPr>
        <w:t>4、拟派项目经理资质和专业要求：拟派项目经理具备水利水电工程专业二级及以上注册建造师证、水行政主管部门颁发的安全生产考核合格证、无在建工程承诺书（复印件加盖公章）</w:t>
      </w:r>
    </w:p>
    <w:p>
      <w:pPr>
        <w:pStyle w:val="null3"/>
      </w:pPr>
      <w:r>
        <w:rPr>
          <w:rFonts w:ascii="仿宋_GB2312" w:hAnsi="仿宋_GB2312" w:cs="仿宋_GB2312" w:eastAsia="仿宋_GB2312"/>
        </w:rPr>
        <w:t>5、关联关系：单位负责人为同一人或者存在直接控股、管理关系的不同投标人，不得参加同一合同项下的政府采购活动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6、非联合体承诺：本项目不接受联合体投标（提供承诺函）</w:t>
      </w:r>
    </w:p>
    <w:p>
      <w:pPr>
        <w:pStyle w:val="null3"/>
      </w:pPr>
      <w:r>
        <w:rPr>
          <w:rFonts w:ascii="仿宋_GB2312" w:hAnsi="仿宋_GB2312" w:cs="仿宋_GB2312" w:eastAsia="仿宋_GB2312"/>
        </w:rPr>
        <w:t>7、有效的主体资格证明文件：具有独立承担民事责任能力的法人、其他组织或自然人，并出具合法有效的营业执照或事业单位法人证书等国家规定的相关证明，自然人参与的提供其身份证明书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8、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9、社会保障资金缴纳证明：提供投标截止日前6个月内已缴存的至少一个月的社会保障资金缴存单据或社保机构开具的社会保险参保缴费情况证明，依法不需要缴纳社会保障资金的单位应提供相关证明材料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10、财务状况报告：提供2024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11、无重大违法记录：参加政府采购活动前3年内，在经营活动中没有重大违法记录（提供书面声明）</w:t>
      </w:r>
    </w:p>
    <w:p>
      <w:pPr>
        <w:pStyle w:val="null3"/>
      </w:pPr>
      <w:r>
        <w:rPr>
          <w:rFonts w:ascii="仿宋_GB2312" w:hAnsi="仿宋_GB2312" w:cs="仿宋_GB2312" w:eastAsia="仿宋_GB2312"/>
        </w:rPr>
        <w:t>12、履行能力：提供具有履行本合同所必需的设备和专业技术能力的承诺（提供承诺书）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西安市高陵区鹿苑街道办事处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西安市高陵区西街111号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李盈盈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15929906183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西安市高陵区鹿苑街道办事处</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西安市高陵区鹿苑街道办事处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西安市高陵区鹿苑街道办事处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联系人：杨欢</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西安市高陵区草王村老旧灌溉渠改造提升项目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标的名称：西安市高陵区草王村老旧灌溉渠改造提升项目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（一）工程内容：</w:t>
            </w:r>
            <w:r>
              <w:rPr>
                <w:rFonts w:ascii="仿宋_GB2312" w:hAnsi="仿宋_GB2312" w:cs="仿宋_GB2312" w:eastAsia="仿宋_GB2312"/>
                <w:sz w:val="24"/>
              </w:rPr>
              <w:t>项目位于西安市高陵区鹿苑街道办草王村。主要建设内容：改建D40U型渠6954米，改建渠系建筑物325座，其中：机耕桥77座，分水口212个，过路涵管36处。</w:t>
            </w:r>
          </w:p>
          <w:p>
            <w:pPr>
              <w:pStyle w:val="null3"/>
              <w:ind w:firstLine="480"/>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工程地点：</w:t>
            </w:r>
            <w:r>
              <w:rPr>
                <w:rFonts w:ascii="仿宋_GB2312" w:hAnsi="仿宋_GB2312" w:cs="仿宋_GB2312" w:eastAsia="仿宋_GB2312"/>
                <w:sz w:val="24"/>
              </w:rPr>
              <w:t>西安市高陵区草王村。</w:t>
            </w:r>
          </w:p>
          <w:p>
            <w:pPr>
              <w:pStyle w:val="null3"/>
              <w:ind w:firstLine="480"/>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计划工期：</w:t>
            </w:r>
            <w:r>
              <w:rPr>
                <w:rFonts w:ascii="仿宋_GB2312" w:hAnsi="仿宋_GB2312" w:cs="仿宋_GB2312" w:eastAsia="仿宋_GB2312"/>
                <w:sz w:val="24"/>
              </w:rPr>
              <w:t>自合同签订之日起90个日历日内竣工。</w:t>
            </w:r>
          </w:p>
          <w:p>
            <w:pPr>
              <w:pStyle w:val="null3"/>
              <w:ind w:firstLine="480"/>
            </w:pPr>
            <w:r>
              <w:rPr>
                <w:rFonts w:ascii="仿宋_GB2312" w:hAnsi="仿宋_GB2312" w:cs="仿宋_GB2312" w:eastAsia="仿宋_GB2312"/>
                <w:sz w:val="24"/>
              </w:rPr>
              <w:t>（四）缺陷责任期（与质保金的退还有关）：见</w:t>
            </w:r>
            <w:r>
              <w:rPr>
                <w:rFonts w:ascii="仿宋_GB2312" w:hAnsi="仿宋_GB2312" w:cs="仿宋_GB2312" w:eastAsia="仿宋_GB2312"/>
                <w:sz w:val="24"/>
              </w:rPr>
              <w:t>《建设工程质量保证金管理暂行办法》，一般不超过2年。</w:t>
            </w:r>
          </w:p>
          <w:p>
            <w:pPr>
              <w:pStyle w:val="null3"/>
              <w:ind w:firstLine="480"/>
            </w:pPr>
            <w:r>
              <w:rPr>
                <w:rFonts w:ascii="仿宋_GB2312" w:hAnsi="仿宋_GB2312" w:cs="仿宋_GB2312" w:eastAsia="仿宋_GB2312"/>
                <w:sz w:val="24"/>
              </w:rPr>
              <w:t>（五）</w:t>
            </w:r>
            <w:r>
              <w:rPr>
                <w:rFonts w:ascii="仿宋_GB2312" w:hAnsi="仿宋_GB2312" w:cs="仿宋_GB2312" w:eastAsia="仿宋_GB2312"/>
                <w:sz w:val="24"/>
              </w:rPr>
              <w:t>质量保修期</w:t>
            </w:r>
            <w:r>
              <w:rPr>
                <w:rFonts w:ascii="仿宋_GB2312" w:hAnsi="仿宋_GB2312" w:cs="仿宋_GB2312" w:eastAsia="仿宋_GB2312"/>
                <w:sz w:val="24"/>
              </w:rPr>
              <w:t>（与质保金的退还无关）：见</w:t>
            </w:r>
            <w:r>
              <w:rPr>
                <w:rFonts w:ascii="仿宋_GB2312" w:hAnsi="仿宋_GB2312" w:cs="仿宋_GB2312" w:eastAsia="仿宋_GB2312"/>
                <w:sz w:val="24"/>
              </w:rPr>
              <w:t>《建设工程质量管理条例》。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其他内容详见工程量清单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（1）企业名称：陕西迪诚项目管理有限公司 纳税登记号：91610132MA712KBG7Y 地址：陕西省西安市经济技术开发区凤城四路世融国际中心8层805室 开户行：中国建设银行股份有限公司西安世融嘉城支行 账号： 61050175540000000417 （2）中标（成交）供应商在开标结束后3个工作日内向代理机构提供纸质版响应文件，响应文件为正本一份，副本二份，电子U盘二个（U盘内容包括Word版本、签字盖章扫描后的PDF版本响应文件及广联达版本报价）。纸质响应文件均须A4纸打印，分别各自装订成册并编制目录和页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投标人须具备水利水电工程施工总承包三级及以上资质，且具备合格有效的安全生产许可证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拟派项目经理具备水利水电工程专业二级及以上注册建造师证、水行政主管部门颁发的安全生产考核合格证、无在建工程承诺书（复印件加盖公章）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（3）报价唯一：能有一个有效报价，不得提交选择性报价，且报价不超过采购预算； （4）第一次磋商报价：第一次磋商报价不超过采购预算。</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（2）拟提供服务响应程度；应满足采购文件提出的要求。不允许负偏离； （3）工期：应满足采购文件中要求； （4）地点：应满足采购文件中要求； （5）磋商有效期：应满足采购文件中的规定。</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资格证明材料.docx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提供针对本项目的施工方案，内容包括但不限于①施工准备：技术准备、材料准备、机械准备、机具准备、劳动力准备等。②施工方法及工艺；③重难点及解决方案；④应急方案。以上内容专门针对本项目且阐述明晰、全面、合理得20分，每缺一项内容扣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内容包括但不限于①质量目标管理体系；②施工质量的检验制度；③确保质量的技术组织措施；④施工质量控制措施。以上内容专门针对本项目且阐述明晰、全面、合理得12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提供针对本项目的工程进度计划与措施，内容包括但不限于①施工进度计划管理；②保证工程进度技术措施；③合理组织、科学管理工程项目施工等。以上内容专门针对本项目且阐述明晰、全面、合理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提供针对本项目的安全施工措施。内容包括但不限于①安全生产管理制度；②安全施工措施；③安全应急预案；④安全生产教育。以上内容专门针对本项目且阐述明晰、全面、合理得8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提供针对本项目的文明施工措施，内容包含但不限于①文明施工保证体系；②文明施工管理目标及技术措施；③文明施工现场管理（材料管理、防扰民措施）。以上内容专门针对本项目且阐述明晰、全面、合理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提供针对本项目的环境保护措施，内容包含但不限于①环境保护管理体系；②环保保护措施，包括污染物及废弃物处理的排放、噪音控制、防尘及扬尘的控制措施。以上内容专门针对本项目且阐述明晰、全面、合理得8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提供针对本项目组织机构，内容包含但不限于①管理机构的配备计划；②组织机构的岗位职责。以上内容专门针对本项目且阐述明晰、全面、合理得8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供应商2023年1月1日至今已完类似项目业绩，提供一个业绩得2分，满分6分。（以合同签订日期为准，证明材料为合同首页、双方签字盖章页以及能够反映合同内容的部分）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磋商响应文件，其磋商报价为有效磋商报价，并进行价格评审。满足磋商文件实质性要求且最终报价最低的供应商的价格为磋商基准价，其价格分为满分20分。磋商报价得分=（磋商基准价/最终磋商报价）×20的公式计算得分。磋商报价不完整的，不进入评标标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