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版本号：HRC-ZBDL-2026-0038820260401001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中国工商银行高陵数据中心项目清表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HRC-ZBDL-2026-00388</w:t>
      </w:r>
      <w:r>
        <w:br/>
      </w:r>
      <w:r>
        <w:br/>
      </w:r>
      <w:r>
        <w:br/>
      </w:r>
    </w:p>
    <w:p>
      <w:pPr>
        <w:pStyle w:val="null3"/>
        <w:jc w:val="center"/>
        <w:outlineLvl w:val="2"/>
      </w:pPr>
      <w:r>
        <w:rPr>
          <w:rFonts w:ascii="仿宋_GB2312" w:hAnsi="仿宋_GB2312" w:cs="仿宋_GB2312" w:eastAsia="仿宋_GB2312"/>
          <w:sz w:val="28"/>
          <w:b/>
        </w:rPr>
        <w:t>西安市高陵区通远街道办事处</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西安市高陵区通远街道办事处</w:t>
      </w:r>
      <w:r>
        <w:rPr>
          <w:rFonts w:ascii="仿宋_GB2312" w:hAnsi="仿宋_GB2312" w:cs="仿宋_GB2312" w:eastAsia="仿宋_GB2312"/>
        </w:rPr>
        <w:t>委托，拟对</w:t>
      </w:r>
      <w:r>
        <w:rPr>
          <w:rFonts w:ascii="仿宋_GB2312" w:hAnsi="仿宋_GB2312" w:cs="仿宋_GB2312" w:eastAsia="仿宋_GB2312"/>
        </w:rPr>
        <w:t>中国工商银行高陵数据中心项目清表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HRC-ZBDL-2026-00388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中国工商银行高陵数据中心项目清表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国工商银行高陵数据中心项目清表包含拆除土大棚、彩钢瓦、水泥地面（破损、清运）、U型渠、井房；2.5.6组清表地亩、水泥地面下挖50公分。主要功能或目标:为优质高效保障中国工商银行高陵数据中心项目顺利进场施工，本次采购事项主要为项目施工用地进行地面附着物清理提供全过程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采购包1（中国工商银行高陵数据中心项目清表）：属于专门面向中小企业采购。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1、供应商资质要求：供应商须具备建筑工程施工总承包三级及以上资质，同时具有合格有效的安全生产许可证。</w:t>
      </w:r>
    </w:p>
    <w:p>
      <w:pPr>
        <w:pStyle w:val="null3"/>
      </w:pPr>
      <w:r>
        <w:rPr>
          <w:rFonts w:ascii="仿宋_GB2312" w:hAnsi="仿宋_GB2312" w:cs="仿宋_GB2312" w:eastAsia="仿宋_GB2312"/>
        </w:rPr>
        <w:t>2、拟派项目负责人要求：拟派项目负责人具备建筑工程专业二级及以上注册建造师资格及安全考核合格证（B证）。在供应商单位注册且无在建项目，提供项目经理无在建承诺书。</w:t>
      </w:r>
    </w:p>
    <w:p>
      <w:pPr>
        <w:pStyle w:val="null3"/>
      </w:pPr>
      <w:r>
        <w:rPr>
          <w:rFonts w:ascii="仿宋_GB2312" w:hAnsi="仿宋_GB2312" w:cs="仿宋_GB2312" w:eastAsia="仿宋_GB2312"/>
        </w:rPr>
        <w:t>3、法定代表人授权书：法定代表人授权书（附法定代表人、被授权人身份证复印件）及被授权人身份证原件（法定代表人直接参加磋商，须提供法定代表人身份证明及身份证复印件）。</w:t>
      </w:r>
    </w:p>
    <w:p>
      <w:pPr>
        <w:pStyle w:val="null3"/>
      </w:pPr>
      <w:r>
        <w:rPr>
          <w:rFonts w:ascii="仿宋_GB2312" w:hAnsi="仿宋_GB2312" w:cs="仿宋_GB2312" w:eastAsia="仿宋_GB2312"/>
        </w:rPr>
        <w:t>4、供应商信誉要求：供应商不得为“信用中国”网站（www.creditchina.gov.cn）中列入失信被执行人（中国执行信息公开网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专门面向中小企业项目：本项目为专门面向中小企业项目，供应商应为中型企业、小型企业或微型企业或监狱企业或残疾人福利性单位。供应商为中小企业的，提供《中小企业声明函》，监狱企业或残疾人福利性单位视同小微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西安市高陵区通远街道办事处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西安市高陵区通远街道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西安市高陵区通远街道办事处经办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029-86080125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张静、朱媛媛、陈定彩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18829202250/029-85393806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采购包1：1,939,871.25元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改委关于降低部分建设项目收费标准规范收费行为等有关问题的通知（发改价格[2011]534号）、《国家发展改革委办公厅关于招标代理服务收费有关问题的通知》（发改价格[2003]857号）文件规定标准的80%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西安市高陵区通远街道办事处</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西安市高陵区通远街道办事处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西安市高陵区通远街道办事处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联系人：华睿诚项目管理有限公司</w:t>
      </w:r>
    </w:p>
    <w:p>
      <w:pPr>
        <w:pStyle w:val="null3"/>
      </w:pPr>
      <w:r>
        <w:rPr>
          <w:rFonts w:ascii="仿宋_GB2312" w:hAnsi="仿宋_GB2312" w:cs="仿宋_GB2312" w:eastAsia="仿宋_GB2312"/>
        </w:rPr>
        <w:t>联系电话：18829202250/029-85393806</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国工商银行高陵数据中心项目清表包含拆除土大棚、彩钢瓦、水泥地面（破损、清运）、U型渠、井房；2.5.6组清表地亩、水泥地面下挖50公分。主要功能或目标:为优质高效保障中国工商银行高陵数据中心项目顺利进场施工，本次采购事项主要为项目施工用地进行地面附着物清理提供全过程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1,939,871.25</w:t>
      </w:r>
    </w:p>
    <w:p>
      <w:pPr>
        <w:pStyle w:val="null3"/>
      </w:pPr>
      <w:r>
        <w:rPr>
          <w:rFonts w:ascii="仿宋_GB2312" w:hAnsi="仿宋_GB2312" w:cs="仿宋_GB2312" w:eastAsia="仿宋_GB2312"/>
        </w:rPr>
        <w:t>采购包最高限价（元）: 1,939,871.25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中国工商银行高陵数据中心项目清表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1,939,871.25</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标的名称：中国工商银行高陵数据中心项目清表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中国工商银行高陵数据中心项目清表</w:t>
            </w:r>
          </w:p>
          <w:p>
            <w:pPr>
              <w:pStyle w:val="null3"/>
              <w:jc w:val="center"/>
            </w:pPr>
            <w:r>
              <w:rPr>
                <w:rFonts w:ascii="仿宋_GB2312" w:hAnsi="仿宋_GB2312" w:cs="仿宋_GB2312" w:eastAsia="仿宋_GB2312"/>
                <w:sz w:val="24"/>
                <w:b/>
              </w:rPr>
              <w:t>采购内容及要求</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项目概况</w:t>
            </w:r>
          </w:p>
          <w:p>
            <w:pPr>
              <w:pStyle w:val="null3"/>
              <w:ind w:firstLine="480"/>
              <w:jc w:val="both"/>
            </w:pPr>
            <w:r>
              <w:rPr>
                <w:rFonts w:ascii="仿宋_GB2312" w:hAnsi="仿宋_GB2312" w:cs="仿宋_GB2312" w:eastAsia="仿宋_GB2312"/>
                <w:sz w:val="24"/>
              </w:rPr>
              <w:t>中国工商银行高陵数据中心项目清表包含拆除土大棚、彩钢瓦、水泥地面（破损、清运）、</w:t>
            </w:r>
            <w:r>
              <w:rPr>
                <w:rFonts w:ascii="仿宋_GB2312" w:hAnsi="仿宋_GB2312" w:cs="仿宋_GB2312" w:eastAsia="仿宋_GB2312"/>
                <w:sz w:val="24"/>
              </w:rPr>
              <w:t>U型渠、井房；2.5.6组清表地亩、水泥地面下挖50公分。主要功能或目标:为优质高效保障中国工商银行高陵数据中心项目顺利进场施工，本次采购事项主要为项目施工用地进行地面附着物清理提供全过程服务。</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项目</w:t>
            </w:r>
            <w:r>
              <w:rPr>
                <w:rFonts w:ascii="仿宋_GB2312" w:hAnsi="仿宋_GB2312" w:cs="仿宋_GB2312" w:eastAsia="仿宋_GB2312"/>
                <w:sz w:val="24"/>
              </w:rPr>
              <w:t>地点</w:t>
            </w:r>
          </w:p>
          <w:p>
            <w:pPr>
              <w:pStyle w:val="null3"/>
              <w:ind w:firstLine="480"/>
              <w:jc w:val="both"/>
            </w:pPr>
            <w:r>
              <w:rPr>
                <w:rFonts w:ascii="仿宋_GB2312" w:hAnsi="仿宋_GB2312" w:cs="仿宋_GB2312" w:eastAsia="仿宋_GB2312"/>
                <w:sz w:val="24"/>
              </w:rPr>
              <w:t>西安市高陵区中国工商银行高陵数据中心项目工程辖区。</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技术要求</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垃圾清运干净，现场无遗留物，达到实施条件。</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建筑垃圾要清运至正规建筑垃圾消纳场、回填点等，不扬尘、不撒漏、不随意倾倒垃圾，必须按有关规定及要求做好防尘降噪措施。</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清运中不能超载，做好蓬盖，破碎现场避免扬尘，落实好安全文明生产及治污减霾工作。</w:t>
            </w:r>
          </w:p>
          <w:p>
            <w:pPr>
              <w:pStyle w:val="null3"/>
              <w:ind w:firstLine="480"/>
              <w:jc w:val="both"/>
            </w:pPr>
            <w:r>
              <w:rPr>
                <w:rFonts w:ascii="仿宋_GB2312" w:hAnsi="仿宋_GB2312" w:cs="仿宋_GB2312" w:eastAsia="仿宋_GB2312"/>
                <w:sz w:val="24"/>
              </w:rPr>
              <w:t>4.在服务期间，中标供应商必须注意人员安全，加强安全措施，并对现场服务人员进行安全教育。</w:t>
            </w:r>
          </w:p>
          <w:p>
            <w:pPr>
              <w:pStyle w:val="null3"/>
              <w:ind w:firstLine="480"/>
              <w:jc w:val="both"/>
            </w:pPr>
            <w:r>
              <w:rPr>
                <w:rFonts w:ascii="仿宋_GB2312" w:hAnsi="仿宋_GB2312" w:cs="仿宋_GB2312" w:eastAsia="仿宋_GB2312"/>
                <w:sz w:val="24"/>
              </w:rPr>
              <w:t>5.服务单位要严格按照技术规范执行清表服务作业，必须在指定作业区域内作业，不得擅自变更作业地点，另自行协调与周边村庄关系。</w:t>
            </w:r>
          </w:p>
          <w:p>
            <w:pPr>
              <w:pStyle w:val="null3"/>
              <w:ind w:firstLine="480"/>
              <w:jc w:val="both"/>
            </w:pPr>
            <w:r>
              <w:rPr>
                <w:rFonts w:ascii="仿宋_GB2312" w:hAnsi="仿宋_GB2312" w:cs="仿宋_GB2312" w:eastAsia="仿宋_GB2312"/>
                <w:sz w:val="24"/>
              </w:rPr>
              <w:t>6.建筑物拆除技术要求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1）路面及设施拆除服务必须湿法作业、机械搭配人工拆除，同时，做好扬尘控制工作。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2）拆除至现有地坪，完成场地平整。需满足项目用地要求，符合交接条件。</w:t>
            </w:r>
          </w:p>
          <w:p>
            <w:pPr>
              <w:pStyle w:val="null3"/>
              <w:ind w:firstLine="480"/>
              <w:jc w:val="both"/>
            </w:pPr>
            <w:r>
              <w:rPr>
                <w:rFonts w:ascii="仿宋_GB2312" w:hAnsi="仿宋_GB2312" w:cs="仿宋_GB2312" w:eastAsia="仿宋_GB2312"/>
                <w:sz w:val="24"/>
              </w:rPr>
              <w:t>7.运距要求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1）该项目实施时如垃圾倾倒点改变中标供应商需有自行协调垃圾倾倒点的能力。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2）由垃圾倾倒点改变引起的运距增加不做调整。</w:t>
            </w:r>
          </w:p>
          <w:p>
            <w:pPr>
              <w:pStyle w:val="null3"/>
              <w:ind w:firstLine="480"/>
              <w:jc w:val="both"/>
            </w:pPr>
            <w:r>
              <w:rPr>
                <w:rFonts w:ascii="仿宋_GB2312" w:hAnsi="仿宋_GB2312" w:cs="仿宋_GB2312" w:eastAsia="仿宋_GB2312"/>
                <w:sz w:val="24"/>
              </w:rPr>
              <w:t>四、安全要求</w:t>
            </w:r>
          </w:p>
          <w:p>
            <w:pPr>
              <w:pStyle w:val="null3"/>
              <w:ind w:firstLine="480"/>
              <w:jc w:val="both"/>
            </w:pPr>
            <w:r>
              <w:rPr>
                <w:rFonts w:ascii="仿宋_GB2312" w:hAnsi="仿宋_GB2312" w:cs="仿宋_GB2312" w:eastAsia="仿宋_GB2312"/>
                <w:sz w:val="24"/>
              </w:rPr>
              <w:t>1.投标人应制定可靠的施工方案和安全事故应急救援方案，采取有效安全防护措施，确保无安全事故发生。</w:t>
            </w:r>
          </w:p>
          <w:p>
            <w:pPr>
              <w:pStyle w:val="null3"/>
              <w:ind w:firstLine="480"/>
              <w:jc w:val="both"/>
            </w:pPr>
            <w:r>
              <w:rPr>
                <w:rFonts w:ascii="仿宋_GB2312" w:hAnsi="仿宋_GB2312" w:cs="仿宋_GB2312" w:eastAsia="仿宋_GB2312"/>
                <w:sz w:val="24"/>
              </w:rPr>
              <w:t>2.按规定配备专职安全员。现场项目经理和专职安全员必须持有安全生产考核合格证。各作业班组长和施工作业人员必须经安全技术培训方可上岗。</w:t>
            </w:r>
          </w:p>
          <w:p>
            <w:pPr>
              <w:pStyle w:val="null3"/>
              <w:ind w:firstLine="480"/>
              <w:jc w:val="both"/>
            </w:pPr>
            <w:r>
              <w:rPr>
                <w:rFonts w:ascii="仿宋_GB2312" w:hAnsi="仿宋_GB2312" w:cs="仿宋_GB2312" w:eastAsia="仿宋_GB2312"/>
                <w:sz w:val="24"/>
              </w:rPr>
              <w:t>3.机械施工、运输严格遵守《建筑机械使用安全技术规程》，机械操作、驾驶人员必须持证上岗。</w:t>
            </w:r>
          </w:p>
          <w:p>
            <w:pPr>
              <w:pStyle w:val="null3"/>
              <w:ind w:firstLine="480"/>
              <w:jc w:val="both"/>
            </w:pPr>
            <w:r>
              <w:rPr>
                <w:rFonts w:ascii="仿宋_GB2312" w:hAnsi="仿宋_GB2312" w:cs="仿宋_GB2312" w:eastAsia="仿宋_GB2312"/>
                <w:sz w:val="24"/>
              </w:rPr>
              <w:t xml:space="preserve">4.运输车辆驾驶人员应严格遵守《道路交通安全法》及相关法规，确保安全运输。  </w:t>
            </w:r>
          </w:p>
          <w:p>
            <w:pPr>
              <w:pStyle w:val="null3"/>
              <w:ind w:firstLine="480"/>
              <w:jc w:val="both"/>
            </w:pPr>
            <w:r>
              <w:rPr>
                <w:rFonts w:ascii="仿宋_GB2312" w:hAnsi="仿宋_GB2312" w:cs="仿宋_GB2312" w:eastAsia="仿宋_GB2312"/>
                <w:sz w:val="24"/>
              </w:rPr>
              <w:t>五</w:t>
            </w:r>
            <w:r>
              <w:rPr>
                <w:rFonts w:ascii="仿宋_GB2312" w:hAnsi="仿宋_GB2312" w:cs="仿宋_GB2312" w:eastAsia="仿宋_GB2312"/>
                <w:sz w:val="24"/>
              </w:rPr>
              <w:t>、技术规范及要求</w:t>
            </w:r>
          </w:p>
          <w:p>
            <w:pPr>
              <w:pStyle w:val="null3"/>
              <w:ind w:firstLine="480"/>
              <w:jc w:val="both"/>
            </w:pPr>
            <w:r>
              <w:rPr>
                <w:rFonts w:ascii="仿宋_GB2312" w:hAnsi="仿宋_GB2312" w:cs="仿宋_GB2312" w:eastAsia="仿宋_GB2312"/>
                <w:sz w:val="24"/>
              </w:rPr>
              <w:t>执行的法律法规、技术规范包括但不限于以下规定、规范、标准：</w:t>
            </w:r>
            <w:r>
              <w:rPr>
                <w:rFonts w:ascii="仿宋_GB2312" w:hAnsi="仿宋_GB2312" w:cs="仿宋_GB2312" w:eastAsia="仿宋_GB2312"/>
                <w:sz w:val="24"/>
              </w:rPr>
              <w:t>《安全生产法》</w:t>
            </w:r>
            <w:r>
              <w:rPr>
                <w:rFonts w:ascii="仿宋_GB2312" w:hAnsi="仿宋_GB2312" w:cs="仿宋_GB2312" w:eastAsia="仿宋_GB2312"/>
                <w:sz w:val="24"/>
              </w:rPr>
              <w:t>、</w:t>
            </w:r>
            <w:r>
              <w:rPr>
                <w:rFonts w:ascii="仿宋_GB2312" w:hAnsi="仿宋_GB2312" w:cs="仿宋_GB2312" w:eastAsia="仿宋_GB2312"/>
                <w:sz w:val="24"/>
              </w:rPr>
              <w:t>《建设工程安全生产管理条例》</w:t>
            </w:r>
            <w:r>
              <w:rPr>
                <w:rFonts w:ascii="仿宋_GB2312" w:hAnsi="仿宋_GB2312" w:cs="仿宋_GB2312" w:eastAsia="仿宋_GB2312"/>
                <w:sz w:val="24"/>
              </w:rPr>
              <w:t>、</w:t>
            </w:r>
            <w:r>
              <w:rPr>
                <w:rFonts w:ascii="仿宋_GB2312" w:hAnsi="仿宋_GB2312" w:cs="仿宋_GB2312" w:eastAsia="仿宋_GB2312"/>
                <w:sz w:val="24"/>
              </w:rPr>
              <w:t>《西安市扬尘污染防治条例》</w:t>
            </w:r>
            <w:r>
              <w:rPr>
                <w:rFonts w:ascii="仿宋_GB2312" w:hAnsi="仿宋_GB2312" w:cs="仿宋_GB2312" w:eastAsia="仿宋_GB2312"/>
                <w:sz w:val="24"/>
              </w:rPr>
              <w:t>、</w:t>
            </w:r>
            <w:r>
              <w:rPr>
                <w:rFonts w:ascii="仿宋_GB2312" w:hAnsi="仿宋_GB2312" w:cs="仿宋_GB2312" w:eastAsia="仿宋_GB2312"/>
                <w:sz w:val="24"/>
              </w:rPr>
              <w:t>《西安市建筑垃圾管理办法》</w:t>
            </w:r>
            <w:r>
              <w:rPr>
                <w:rFonts w:ascii="仿宋_GB2312" w:hAnsi="仿宋_GB2312" w:cs="仿宋_GB2312" w:eastAsia="仿宋_GB2312"/>
                <w:sz w:val="24"/>
              </w:rPr>
              <w:t>等。</w:t>
            </w:r>
          </w:p>
          <w:p>
            <w:pPr>
              <w:pStyle w:val="null3"/>
              <w:ind w:firstLine="480"/>
              <w:jc w:val="both"/>
            </w:pPr>
            <w:r>
              <w:rPr>
                <w:rFonts w:ascii="仿宋_GB2312" w:hAnsi="仿宋_GB2312" w:cs="仿宋_GB2312" w:eastAsia="仿宋_GB2312"/>
                <w:sz w:val="24"/>
              </w:rPr>
              <w:t>六</w:t>
            </w:r>
            <w:r>
              <w:rPr>
                <w:rFonts w:ascii="仿宋_GB2312" w:hAnsi="仿宋_GB2312" w:cs="仿宋_GB2312" w:eastAsia="仿宋_GB2312"/>
                <w:sz w:val="24"/>
              </w:rPr>
              <w:t>、商务要求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w:t>
            </w:r>
            <w:r>
              <w:rPr>
                <w:rFonts w:ascii="仿宋_GB2312" w:hAnsi="仿宋_GB2312" w:cs="仿宋_GB2312" w:eastAsia="仿宋_GB2312"/>
                <w:sz w:val="24"/>
              </w:rPr>
              <w:t>期：自合同签订之日起</w:t>
            </w:r>
            <w:r>
              <w:rPr>
                <w:rFonts w:ascii="仿宋_GB2312" w:hAnsi="仿宋_GB2312" w:cs="仿宋_GB2312" w:eastAsia="仿宋_GB2312"/>
                <w:sz w:val="24"/>
              </w:rPr>
              <w:t>3</w:t>
            </w:r>
            <w:r>
              <w:rPr>
                <w:rFonts w:ascii="仿宋_GB2312" w:hAnsi="仿宋_GB2312" w:cs="仿宋_GB2312" w:eastAsia="仿宋_GB2312"/>
                <w:sz w:val="24"/>
              </w:rPr>
              <w:t>0个日历</w:t>
            </w:r>
            <w:r>
              <w:rPr>
                <w:rFonts w:ascii="仿宋_GB2312" w:hAnsi="仿宋_GB2312" w:cs="仿宋_GB2312" w:eastAsia="仿宋_GB2312"/>
                <w:sz w:val="24"/>
              </w:rPr>
              <w:t>日</w:t>
            </w:r>
            <w:r>
              <w:rPr>
                <w:rFonts w:ascii="仿宋_GB2312" w:hAnsi="仿宋_GB2312" w:cs="仿宋_GB2312" w:eastAsia="仿宋_GB2312"/>
                <w:sz w:val="24"/>
              </w:rPr>
              <w:t>内</w:t>
            </w:r>
            <w:r>
              <w:rPr>
                <w:rFonts w:ascii="仿宋_GB2312" w:hAnsi="仿宋_GB2312" w:cs="仿宋_GB2312" w:eastAsia="仿宋_GB2312"/>
                <w:sz w:val="24"/>
              </w:rPr>
              <w:t>完成。</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rPr>
              <w:t>2.质量要求：合格</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3.付款方式</w:t>
            </w:r>
            <w:r>
              <w:rPr>
                <w:rFonts w:ascii="仿宋_GB2312" w:hAnsi="仿宋_GB2312" w:cs="仿宋_GB2312" w:eastAsia="仿宋_GB2312"/>
                <w:sz w:val="24"/>
              </w:rPr>
              <w:t>：</w:t>
            </w:r>
            <w:r>
              <w:rPr>
                <w:rFonts w:ascii="仿宋_GB2312" w:hAnsi="仿宋_GB2312" w:cs="仿宋_GB2312" w:eastAsia="仿宋_GB2312"/>
                <w:sz w:val="24"/>
              </w:rPr>
              <w:t>合同签订后</w:t>
            </w:r>
            <w:r>
              <w:rPr>
                <w:rFonts w:ascii="仿宋_GB2312" w:hAnsi="仿宋_GB2312" w:cs="仿宋_GB2312" w:eastAsia="仿宋_GB2312"/>
                <w:sz w:val="24"/>
              </w:rPr>
              <w:t>15个工作日内采购人支付成交供应商合同价款的30%作为项目预付款，供应商提供同等金额增值税发票；待整体清表工作完成后，采购人支付供应商至合同价款的80%，供应商提供同等金额增值税发票；项目验收合格后成交供应商报送结算资料，结算资料经采购人审定后15个工作日内支付供应商剩余价款，供应商提供同等金额增值税发票。</w:t>
            </w:r>
          </w:p>
          <w:p>
            <w:pPr>
              <w:pStyle w:val="null3"/>
              <w:jc w:val="both"/>
            </w:pPr>
            <w:r>
              <w:rPr>
                <w:rFonts w:ascii="仿宋_GB2312" w:hAnsi="仿宋_GB2312" w:cs="仿宋_GB2312" w:eastAsia="仿宋_GB2312"/>
                <w:sz w:val="24"/>
              </w:rPr>
              <w:t>中国工商银行高陵数据中心项目清表上限控制价</w:t>
            </w:r>
          </w:p>
          <w:tbl>
            <w:tblPr>
              <w:tblBorders>
                <w:top w:val="none" w:color="000000" w:sz="4"/>
                <w:left w:val="none" w:color="000000" w:sz="4"/>
                <w:bottom w:val="none" w:color="000000" w:sz="4"/>
                <w:right w:val="none" w:color="000000" w:sz="4"/>
                <w:insideH w:val="none"/>
                <w:insideV w:val="none"/>
              </w:tblBorders>
            </w:tblPr>
            <w:tblGrid>
              <w:gridCol w:w="183"/>
              <w:gridCol w:w="667"/>
              <w:gridCol w:w="296"/>
              <w:gridCol w:w="374"/>
              <w:gridCol w:w="148"/>
              <w:gridCol w:w="222"/>
              <w:gridCol w:w="277"/>
              <w:gridCol w:w="366"/>
            </w:tblGrid>
            <w:tr>
              <w:tc>
                <w:tcPr>
                  <w:tcW w:type="dxa" w:w="1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6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名称</w:t>
                  </w:r>
                </w:p>
              </w:tc>
              <w:tc>
                <w:tcPr>
                  <w:tcW w:type="dxa" w:w="2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亩</w:t>
                  </w:r>
                </w:p>
              </w:tc>
              <w:tc>
                <w:tcPr>
                  <w:tcW w:type="dxa" w:w="3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平方米</w:t>
                  </w:r>
                </w:p>
              </w:tc>
              <w:tc>
                <w:tcPr>
                  <w:tcW w:type="dxa" w:w="1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米</w:t>
                  </w:r>
                </w:p>
              </w:tc>
              <w:tc>
                <w:tcPr>
                  <w:tcW w:type="dxa" w:w="2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立方米</w:t>
                  </w:r>
                </w:p>
              </w:tc>
              <w:tc>
                <w:tcPr>
                  <w:tcW w:type="dxa" w:w="2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单价</w:t>
                  </w:r>
                  <w:r>
                    <w:rPr>
                      <w:rFonts w:ascii="仿宋_GB2312" w:hAnsi="仿宋_GB2312" w:cs="仿宋_GB2312" w:eastAsia="仿宋_GB2312"/>
                      <w:sz w:val="24"/>
                    </w:rPr>
                    <w:t>(元)</w:t>
                  </w:r>
                </w:p>
              </w:tc>
              <w:tc>
                <w:tcPr>
                  <w:tcW w:type="dxa" w:w="3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合计（元）</w:t>
                  </w:r>
                </w:p>
              </w:tc>
            </w:tr>
            <w:tr>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6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土大棚</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3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19737.66</w:t>
                  </w:r>
                </w:p>
              </w:tc>
              <w:tc>
                <w:tcPr>
                  <w:tcW w:type="dxa" w:w="1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2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3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197376.6</w:t>
                  </w:r>
                </w:p>
              </w:tc>
            </w:tr>
            <w:tr>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6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彩钢瓦拆除</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3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77957.34</w:t>
                  </w:r>
                </w:p>
              </w:tc>
              <w:tc>
                <w:tcPr>
                  <w:tcW w:type="dxa" w:w="1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2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3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779573.4</w:t>
                  </w:r>
                </w:p>
              </w:tc>
            </w:tr>
            <w:tr>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6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水泥地面</w:t>
                  </w:r>
                  <w:r>
                    <w:rPr>
                      <w:rFonts w:ascii="仿宋_GB2312" w:hAnsi="仿宋_GB2312" w:cs="仿宋_GB2312" w:eastAsia="仿宋_GB2312"/>
                      <w:sz w:val="24"/>
                    </w:rPr>
                    <w:t>(破损、清运)</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3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6991.11</w:t>
                  </w:r>
                </w:p>
              </w:tc>
              <w:tc>
                <w:tcPr>
                  <w:tcW w:type="dxa" w:w="1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2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55</w:t>
                  </w:r>
                </w:p>
              </w:tc>
              <w:tc>
                <w:tcPr>
                  <w:tcW w:type="dxa" w:w="3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384511.05</w:t>
                  </w:r>
                </w:p>
              </w:tc>
            </w:tr>
            <w:tr>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6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U型渠</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3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1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792</w:t>
                  </w:r>
                </w:p>
              </w:tc>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2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55</w:t>
                  </w:r>
                </w:p>
              </w:tc>
              <w:tc>
                <w:tcPr>
                  <w:tcW w:type="dxa" w:w="3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43560</w:t>
                  </w:r>
                </w:p>
              </w:tc>
            </w:tr>
            <w:tr>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6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井房</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3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78.28</w:t>
                  </w:r>
                </w:p>
              </w:tc>
              <w:tc>
                <w:tcPr>
                  <w:tcW w:type="dxa" w:w="1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2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55</w:t>
                  </w:r>
                </w:p>
              </w:tc>
              <w:tc>
                <w:tcPr>
                  <w:tcW w:type="dxa" w:w="3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4305.4</w:t>
                  </w:r>
                </w:p>
              </w:tc>
            </w:tr>
            <w:tr>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6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2.5.6组清表地亩</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131.398</w:t>
                  </w:r>
                </w:p>
              </w:tc>
              <w:tc>
                <w:tcPr>
                  <w:tcW w:type="dxa" w:w="3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1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2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2600</w:t>
                  </w:r>
                </w:p>
              </w:tc>
              <w:tc>
                <w:tcPr>
                  <w:tcW w:type="dxa" w:w="3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341634.8</w:t>
                  </w:r>
                </w:p>
              </w:tc>
            </w:tr>
            <w:tr>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6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水泥地面下挖</w:t>
                  </w:r>
                  <w:r>
                    <w:rPr>
                      <w:rFonts w:ascii="仿宋_GB2312" w:hAnsi="仿宋_GB2312" w:cs="仿宋_GB2312" w:eastAsia="仿宋_GB2312"/>
                      <w:sz w:val="24"/>
                    </w:rPr>
                    <w:t>50公分</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3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1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w:t>
                  </w:r>
                </w:p>
              </w:tc>
              <w:tc>
                <w:tcPr>
                  <w:tcW w:type="dxa" w:w="2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12594</w:t>
                  </w:r>
                </w:p>
              </w:tc>
              <w:tc>
                <w:tcPr>
                  <w:tcW w:type="dxa" w:w="2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3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188910</w:t>
                  </w:r>
                </w:p>
              </w:tc>
            </w:tr>
            <w:tr>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98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合计</w:t>
                  </w:r>
                </w:p>
              </w:tc>
              <w:tc>
                <w:tcPr>
                  <w:tcW w:type="dxa" w:w="3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1939871.25</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详见评审标准。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西安市高陵区中国工商银行高陵数据中心项目工程辖区。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待整体清表工作完成后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项目验收合格后成交供应商报送结算资料，结算资料经采购人审定后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拟派项目负责人具备建筑工程专业二级及以上注册建造师资格及安全考核合格证（B证）。在供应商单位注册且无在建项目，提供项目经理无在建承诺书。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法定代表人授权书（附法定代表人、被授权人身份证复印件）及被授权人身份证原件（法定代表人直接参加磋商，须提供法定代表人身份证明及身份证复印件）。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专门面向中小企业项目</w:t>
            </w:r>
          </w:p>
        </w:tc>
        <w:tc>
          <w:tcPr>
            <w:tcW w:type="dxa" w:w="3322"/>
          </w:tcPr>
          <w:p>
            <w:pPr>
              <w:pStyle w:val="null3"/>
            </w:pPr>
            <w:r>
              <w:rPr>
                <w:rFonts w:ascii="仿宋_GB2312" w:hAnsi="仿宋_GB2312" w:cs="仿宋_GB2312" w:eastAsia="仿宋_GB2312"/>
              </w:rPr>
              <w:t>本项目为专门面向中小企业项目，供应商应为中型企业、小型企业或微型企业或监狱企业或残疾人福利性单位。供应商为中小企业的，提供《中小企业声明函》，监狱企业或残疾人福利性单位视同小微企业。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响应文件的签署经法定代表人或其委托代理人签字或盖章；响应文件盖章需由供应商进行电子签章。</w:t>
            </w:r>
          </w:p>
        </w:tc>
        <w:tc>
          <w:tcPr>
            <w:tcW w:type="dxa" w:w="1661"/>
          </w:tcPr>
          <w:p>
            <w:pPr>
              <w:pStyle w:val="null3"/>
            </w:pPr>
            <w:r>
              <w:rPr>
                <w:rFonts w:ascii="仿宋_GB2312" w:hAnsi="仿宋_GB2312" w:cs="仿宋_GB2312" w:eastAsia="仿宋_GB2312"/>
              </w:rPr>
              <w:t>响应文件封面 报价一览表 中小企业声明函 残疾人福利性单位声明函 技术方案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响应报价符合要求： 计量单位、报价货币均符合磋商文件要求； 未超出采购预算或磋商文件规定的最高限价。</w:t>
            </w:r>
          </w:p>
        </w:tc>
        <w:tc>
          <w:tcPr>
            <w:tcW w:type="dxa" w:w="1661"/>
          </w:tcPr>
          <w:p>
            <w:pPr>
              <w:pStyle w:val="null3"/>
            </w:pPr>
            <w:r>
              <w:rPr>
                <w:rFonts w:ascii="仿宋_GB2312" w:hAnsi="仿宋_GB2312" w:cs="仿宋_GB2312" w:eastAsia="仿宋_GB2312"/>
              </w:rPr>
              <w:t>报价一览表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报价一览表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清运方案</w:t>
            </w:r>
          </w:p>
        </w:tc>
        <w:tc>
          <w:tcPr>
            <w:tcW w:type="dxa" w:w="2492"/>
          </w:tcPr>
          <w:p>
            <w:pPr>
              <w:pStyle w:val="null3"/>
            </w:pPr>
            <w:r>
              <w:rPr>
                <w:rFonts w:ascii="仿宋_GB2312" w:hAnsi="仿宋_GB2312" w:cs="仿宋_GB2312" w:eastAsia="仿宋_GB2312"/>
              </w:rPr>
              <w:t>供应商提供清运方案，清运方案详细、科学，对垃圾清运流程、时间安排、人员设备配置有清晰规划，能充分满足采购需求，有效解决清运过程中的各类问题。提供具体详细可行的实施方案，方案总体思路清晰，涵盖内容全面，适合项目需求，对现状把握精准，流程可行、合理得[6-10]分；实施方案总体思路较清晰，涵盖内容较全面，基本符合项目需求的得[3-6）分；实施方案总体思路不清晰，涵盖内容不全面，不符合项目需求的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防尘降噪措施</w:t>
            </w:r>
          </w:p>
        </w:tc>
        <w:tc>
          <w:tcPr>
            <w:tcW w:type="dxa" w:w="2492"/>
          </w:tcPr>
          <w:p>
            <w:pPr>
              <w:pStyle w:val="null3"/>
            </w:pPr>
            <w:r>
              <w:rPr>
                <w:rFonts w:ascii="仿宋_GB2312" w:hAnsi="仿宋_GB2312" w:cs="仿宋_GB2312" w:eastAsia="仿宋_GB2312"/>
              </w:rPr>
              <w:t>供应商编制了完善的防尘降噪方案，措施具体、可行，配备先进的降尘设备，并编制了相关应急处理预案。有合理、可行的措施，措施科学合理，完全能保障充分项目完成得[6-10]分；措施比较合理，基本能保障项目完成得[3-6）分；措施不合理，不能充分保障项目完成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安全文明生产措施</w:t>
            </w:r>
          </w:p>
        </w:tc>
        <w:tc>
          <w:tcPr>
            <w:tcW w:type="dxa" w:w="2492"/>
          </w:tcPr>
          <w:p>
            <w:pPr>
              <w:pStyle w:val="null3"/>
            </w:pPr>
            <w:r>
              <w:rPr>
                <w:rFonts w:ascii="仿宋_GB2312" w:hAnsi="仿宋_GB2312" w:cs="仿宋_GB2312" w:eastAsia="仿宋_GB2312"/>
              </w:rPr>
              <w:t>供应商编制了全面的安全文明生产制度，对车辆安全、人员安全、现场作业规范等有明确规定，配备安全管理人员，定期开展安全培训。具有合理、可行的安全文明生产措施，措施科学合理得[6-10]分；措施比较合理得[3-6）分；措施不合理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现场围挡及覆盖措施</w:t>
            </w:r>
          </w:p>
        </w:tc>
        <w:tc>
          <w:tcPr>
            <w:tcW w:type="dxa" w:w="2492"/>
          </w:tcPr>
          <w:p>
            <w:pPr>
              <w:pStyle w:val="null3"/>
            </w:pPr>
            <w:r>
              <w:rPr>
                <w:rFonts w:ascii="仿宋_GB2312" w:hAnsi="仿宋_GB2312" w:cs="仿宋_GB2312" w:eastAsia="仿宋_GB2312"/>
              </w:rPr>
              <w:t>供应商编制了详细的现场围挡及覆盖方案，选用符合要求的围挡材料和覆盖材料，确保在垃圾清运过程中有效控制扬尘。有合理、可行的措施，措施科学合理，完全能保障充分项目完成得[6-10]分；措施比较合理，基本能保障项目完成得[3-6）分；措施不合理，不能充分保障项目完成得[0-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车辆配备方案</w:t>
            </w:r>
          </w:p>
        </w:tc>
        <w:tc>
          <w:tcPr>
            <w:tcW w:type="dxa" w:w="2492"/>
          </w:tcPr>
          <w:p>
            <w:pPr>
              <w:pStyle w:val="null3"/>
            </w:pPr>
            <w:r>
              <w:rPr>
                <w:rFonts w:ascii="仿宋_GB2312" w:hAnsi="仿宋_GB2312" w:cs="仿宋_GB2312" w:eastAsia="仿宋_GB2312"/>
              </w:rPr>
              <w:t>供应商编制了完善的车辆配备方案，方案内容完整、车辆配备全面，提供车辆产权证明、租赁合同、车辆保险等相关资料。根据供应商的车辆配备方案进行横向比较得[0-10]分。未提供不得分。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供应商编制了全面、详细的人员配备方案，配备足够数量的专业管理人员和清运人员，岗位职责清晰，具备相关人员管理制度。根据供应商拟投入人员数量、专业配备、分工、配置方案进行横向比较得[0-10]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日期为准）的类似项目业绩，投标文件中至少提供合同关键页（合同首页、服务内容页及双方签字盖章页）复印件并加盖供应商公章，提供1个得2分，满分10分，没有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满足竞争性磋商文件要求且投标价格最低的投标报价为评标基准价，其价格分为满分。其他供应商的价格分统一按照下列公式计算：投标报价得分=（评标基准价/投标报价）×价格权值×100 （小微企业、监狱企业或残疾人福利性单位用投标报价扣除后的价格参加评审。专门面向中小企业采购的项目不进行价格扣除。）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详见附件：合同条款及格式-清表.docx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