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1D0EE3">
      <w:pPr>
        <w:pStyle w:val="4"/>
        <w:rPr>
          <w:rFonts w:hint="eastAsia" w:ascii="仿宋" w:hAnsi="仿宋" w:eastAsia="仿宋" w:cs="仿宋"/>
          <w:b/>
          <w:color w:val="000000"/>
          <w:sz w:val="36"/>
          <w:szCs w:val="36"/>
          <w:lang w:eastAsia="zh-CN"/>
        </w:rPr>
      </w:pPr>
    </w:p>
    <w:p w14:paraId="550C07F4">
      <w:pPr>
        <w:pStyle w:val="4"/>
        <w:rPr>
          <w:rFonts w:hint="eastAsia" w:ascii="仿宋" w:hAnsi="仿宋" w:eastAsia="仿宋" w:cs="仿宋"/>
          <w:b/>
          <w:color w:val="000000"/>
          <w:sz w:val="36"/>
          <w:szCs w:val="36"/>
          <w:lang w:eastAsia="zh-CN"/>
        </w:rPr>
      </w:pPr>
    </w:p>
    <w:p w14:paraId="3A8519B8">
      <w:pPr>
        <w:pStyle w:val="4"/>
        <w:rPr>
          <w:rFonts w:hint="eastAsia" w:ascii="仿宋" w:hAnsi="仿宋" w:eastAsia="仿宋" w:cs="仿宋"/>
          <w:b/>
          <w:color w:val="000000"/>
          <w:sz w:val="36"/>
          <w:szCs w:val="36"/>
          <w:lang w:eastAsia="zh-CN"/>
        </w:rPr>
      </w:pPr>
    </w:p>
    <w:p w14:paraId="22688C11">
      <w:pPr>
        <w:pageBreakBefore w:val="0"/>
        <w:widowControl w:val="0"/>
        <w:kinsoku/>
        <w:wordWrap/>
        <w:overflowPunct/>
        <w:topLinePunct w:val="0"/>
        <w:bidi w:val="0"/>
        <w:snapToGrid/>
        <w:spacing w:line="360" w:lineRule="auto"/>
        <w:jc w:val="center"/>
        <w:textAlignment w:val="auto"/>
        <w:outlineLvl w:val="9"/>
        <w:rPr>
          <w:rFonts w:hint="eastAsia" w:ascii="仿宋" w:hAnsi="仿宋" w:eastAsia="仿宋"/>
          <w:b/>
          <w:sz w:val="36"/>
          <w:szCs w:val="36"/>
        </w:rPr>
      </w:pPr>
      <w:r>
        <w:rPr>
          <w:rFonts w:hint="eastAsia" w:ascii="仿宋" w:hAnsi="仿宋" w:eastAsia="仿宋"/>
          <w:b/>
          <w:sz w:val="36"/>
          <w:szCs w:val="36"/>
        </w:rPr>
        <w:t>西安市高陵区通远街道办事处</w:t>
      </w:r>
    </w:p>
    <w:p w14:paraId="7F08716D">
      <w:pPr>
        <w:pageBreakBefore w:val="0"/>
        <w:widowControl w:val="0"/>
        <w:kinsoku/>
        <w:wordWrap/>
        <w:overflowPunct/>
        <w:topLinePunct w:val="0"/>
        <w:bidi w:val="0"/>
        <w:snapToGrid/>
        <w:spacing w:line="360" w:lineRule="auto"/>
        <w:jc w:val="center"/>
        <w:textAlignment w:val="auto"/>
        <w:outlineLvl w:val="9"/>
        <w:rPr>
          <w:rFonts w:hint="eastAsia" w:ascii="仿宋" w:hAnsi="仿宋" w:eastAsia="仿宋" w:cs="仿宋"/>
          <w:b/>
          <w:color w:val="000000"/>
          <w:sz w:val="36"/>
          <w:szCs w:val="36"/>
          <w:lang w:eastAsia="zh-CN"/>
        </w:rPr>
      </w:pPr>
      <w:r>
        <w:rPr>
          <w:rFonts w:hint="eastAsia" w:ascii="仿宋" w:hAnsi="仿宋" w:eastAsia="仿宋"/>
          <w:b/>
          <w:sz w:val="36"/>
          <w:szCs w:val="36"/>
          <w:lang w:eastAsia="zh-CN"/>
        </w:rPr>
        <w:t>中国工商银行高陵数据中心项目清表</w:t>
      </w:r>
    </w:p>
    <w:p w14:paraId="0BCB7D01">
      <w:pPr>
        <w:pageBreakBefore w:val="0"/>
        <w:widowControl w:val="0"/>
        <w:kinsoku/>
        <w:wordWrap/>
        <w:overflowPunct/>
        <w:topLinePunct w:val="0"/>
        <w:bidi w:val="0"/>
        <w:snapToGrid/>
        <w:spacing w:line="360" w:lineRule="auto"/>
        <w:jc w:val="center"/>
        <w:textAlignment w:val="auto"/>
        <w:outlineLvl w:val="9"/>
        <w:rPr>
          <w:rFonts w:hint="eastAsia" w:ascii="仿宋" w:hAnsi="仿宋" w:eastAsia="仿宋" w:cs="仿宋"/>
          <w:b/>
          <w:color w:val="000000"/>
          <w:sz w:val="36"/>
          <w:szCs w:val="36"/>
          <w:lang w:eastAsia="zh-CN"/>
        </w:rPr>
      </w:pPr>
    </w:p>
    <w:p w14:paraId="06FB1B58">
      <w:pPr>
        <w:pageBreakBefore w:val="0"/>
        <w:widowControl w:val="0"/>
        <w:kinsoku/>
        <w:wordWrap/>
        <w:overflowPunct/>
        <w:topLinePunct w:val="0"/>
        <w:bidi w:val="0"/>
        <w:snapToGrid/>
        <w:spacing w:line="360" w:lineRule="auto"/>
        <w:jc w:val="center"/>
        <w:textAlignment w:val="auto"/>
        <w:outlineLvl w:val="9"/>
        <w:rPr>
          <w:rFonts w:hint="default" w:ascii="仿宋" w:hAnsi="仿宋" w:eastAsia="仿宋" w:cs="仿宋"/>
          <w:b/>
          <w:color w:val="000000"/>
          <w:sz w:val="36"/>
          <w:szCs w:val="36"/>
          <w:lang w:val="en-US" w:eastAsia="zh-CN"/>
        </w:rPr>
      </w:pPr>
    </w:p>
    <w:p w14:paraId="20010436">
      <w:pPr>
        <w:pStyle w:val="4"/>
        <w:rPr>
          <w:rFonts w:hint="eastAsia" w:ascii="仿宋" w:hAnsi="仿宋" w:eastAsia="仿宋" w:cs="仿宋"/>
          <w:b/>
          <w:color w:val="000000"/>
          <w:sz w:val="36"/>
          <w:szCs w:val="36"/>
          <w:lang w:eastAsia="zh-CN"/>
        </w:rPr>
      </w:pPr>
    </w:p>
    <w:p w14:paraId="3657EEE9">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b/>
          <w:color w:val="000000"/>
          <w:sz w:val="24"/>
          <w:szCs w:val="24"/>
          <w:lang w:eastAsia="zh-CN"/>
        </w:rPr>
      </w:pPr>
    </w:p>
    <w:p w14:paraId="3A5ACAFE">
      <w:pPr>
        <w:pageBreakBefore w:val="0"/>
        <w:widowControl w:val="0"/>
        <w:kinsoku/>
        <w:wordWrap/>
        <w:overflowPunct/>
        <w:topLinePunct w:val="0"/>
        <w:bidi w:val="0"/>
        <w:snapToGrid/>
        <w:spacing w:line="360" w:lineRule="auto"/>
        <w:textAlignment w:val="auto"/>
        <w:outlineLvl w:val="9"/>
        <w:rPr>
          <w:rFonts w:hint="eastAsia" w:ascii="仿宋" w:hAnsi="仿宋" w:eastAsia="仿宋" w:cs="仿宋"/>
          <w:b/>
          <w:color w:val="000000"/>
          <w:sz w:val="24"/>
          <w:szCs w:val="24"/>
          <w:lang w:eastAsia="zh-CN"/>
        </w:rPr>
      </w:pPr>
    </w:p>
    <w:p w14:paraId="2C0458E3">
      <w:pPr>
        <w:pStyle w:val="4"/>
        <w:rPr>
          <w:rFonts w:hint="eastAsia"/>
          <w:lang w:eastAsia="zh-CN"/>
        </w:rPr>
      </w:pPr>
    </w:p>
    <w:p w14:paraId="3FEB4729">
      <w:pPr>
        <w:pageBreakBefore w:val="0"/>
        <w:widowControl w:val="0"/>
        <w:kinsoku/>
        <w:wordWrap/>
        <w:overflowPunct/>
        <w:topLinePunct w:val="0"/>
        <w:bidi w:val="0"/>
        <w:snapToGrid/>
        <w:spacing w:line="360" w:lineRule="auto"/>
        <w:jc w:val="center"/>
        <w:textAlignment w:val="auto"/>
        <w:outlineLvl w:val="9"/>
        <w:rPr>
          <w:rFonts w:hint="eastAsia" w:ascii="仿宋" w:hAnsi="仿宋" w:eastAsia="仿宋" w:cs="仿宋"/>
          <w:b/>
          <w:color w:val="000000"/>
          <w:sz w:val="56"/>
          <w:szCs w:val="56"/>
          <w:lang w:eastAsia="zh-CN"/>
        </w:rPr>
      </w:pPr>
      <w:r>
        <w:rPr>
          <w:rFonts w:hint="eastAsia" w:ascii="仿宋" w:hAnsi="仿宋" w:eastAsia="仿宋" w:cs="仿宋"/>
          <w:b/>
          <w:color w:val="000000"/>
          <w:sz w:val="56"/>
          <w:szCs w:val="56"/>
          <w:lang w:eastAsia="zh-CN"/>
        </w:rPr>
        <w:t>合同协议书</w:t>
      </w:r>
    </w:p>
    <w:p w14:paraId="078366E9">
      <w:pPr>
        <w:rPr>
          <w:rFonts w:hint="eastAsia" w:ascii="仿宋" w:hAnsi="仿宋" w:eastAsia="仿宋" w:cs="仿宋"/>
          <w:color w:val="auto"/>
          <w:lang w:eastAsia="zh-CN"/>
        </w:rPr>
      </w:pPr>
    </w:p>
    <w:p w14:paraId="4C888CCA">
      <w:pPr>
        <w:pStyle w:val="4"/>
        <w:rPr>
          <w:rFonts w:hint="eastAsia" w:ascii="仿宋" w:hAnsi="仿宋" w:eastAsia="仿宋" w:cs="仿宋"/>
          <w:color w:val="auto"/>
          <w:lang w:eastAsia="zh-CN"/>
        </w:rPr>
      </w:pPr>
    </w:p>
    <w:p w14:paraId="1FC3F621">
      <w:pPr>
        <w:pStyle w:val="4"/>
        <w:rPr>
          <w:rFonts w:hint="eastAsia" w:ascii="仿宋" w:hAnsi="仿宋" w:eastAsia="仿宋" w:cs="仿宋"/>
          <w:color w:val="auto"/>
          <w:lang w:eastAsia="zh-CN"/>
        </w:rPr>
      </w:pPr>
    </w:p>
    <w:p w14:paraId="351E90CF">
      <w:pPr>
        <w:pStyle w:val="4"/>
        <w:ind w:left="0" w:leftChars="0" w:firstLine="0" w:firstLineChars="0"/>
        <w:rPr>
          <w:rFonts w:hint="eastAsia" w:ascii="仿宋" w:hAnsi="仿宋" w:eastAsia="仿宋" w:cs="仿宋"/>
          <w:color w:val="auto"/>
          <w:lang w:eastAsia="zh-CN"/>
        </w:rPr>
      </w:pPr>
    </w:p>
    <w:p w14:paraId="7E4F95E7">
      <w:pPr>
        <w:rPr>
          <w:rFonts w:hint="eastAsia" w:ascii="仿宋" w:hAnsi="仿宋" w:eastAsia="仿宋" w:cs="仿宋"/>
          <w:color w:val="auto"/>
          <w:lang w:eastAsia="zh-CN"/>
        </w:rPr>
      </w:pPr>
    </w:p>
    <w:p w14:paraId="6E92299C">
      <w:pPr>
        <w:pStyle w:val="4"/>
        <w:rPr>
          <w:rFonts w:hint="eastAsia"/>
          <w:lang w:eastAsia="zh-CN"/>
        </w:rPr>
      </w:pPr>
    </w:p>
    <w:p w14:paraId="482406DD">
      <w:pPr>
        <w:pStyle w:val="4"/>
        <w:rPr>
          <w:rFonts w:hint="eastAsia"/>
          <w:lang w:eastAsia="zh-CN"/>
        </w:rPr>
      </w:pPr>
    </w:p>
    <w:p w14:paraId="6A7480E0">
      <w:pPr>
        <w:pStyle w:val="4"/>
        <w:rPr>
          <w:rFonts w:hint="eastAsia"/>
          <w:lang w:eastAsia="zh-CN"/>
        </w:rPr>
      </w:pPr>
    </w:p>
    <w:p w14:paraId="2763F6D1">
      <w:pPr>
        <w:pStyle w:val="4"/>
        <w:rPr>
          <w:rFonts w:hint="eastAsia"/>
          <w:lang w:eastAsia="zh-CN"/>
        </w:rPr>
      </w:pPr>
    </w:p>
    <w:p w14:paraId="75450B9A">
      <w:pPr>
        <w:pStyle w:val="4"/>
        <w:rPr>
          <w:rFonts w:hint="eastAsia"/>
          <w:lang w:eastAsia="zh-CN"/>
        </w:rPr>
      </w:pPr>
    </w:p>
    <w:p w14:paraId="337FBEB8">
      <w:pPr>
        <w:rPr>
          <w:rFonts w:hint="eastAsia" w:ascii="仿宋" w:hAnsi="仿宋" w:eastAsia="仿宋" w:cs="仿宋"/>
          <w:color w:val="auto"/>
          <w:lang w:eastAsia="zh-CN"/>
        </w:rPr>
      </w:pPr>
    </w:p>
    <w:p w14:paraId="026552D8">
      <w:pPr>
        <w:pageBreakBefore w:val="0"/>
        <w:widowControl w:val="0"/>
        <w:kinsoku/>
        <w:wordWrap/>
        <w:overflowPunct/>
        <w:topLinePunct w:val="0"/>
        <w:bidi w:val="0"/>
        <w:snapToGrid/>
        <w:spacing w:line="360" w:lineRule="auto"/>
        <w:ind w:leftChars="800"/>
        <w:textAlignment w:val="auto"/>
        <w:outlineLvl w:val="9"/>
        <w:rPr>
          <w:rFonts w:hint="eastAsia" w:ascii="仿宋" w:hAnsi="仿宋" w:eastAsia="仿宋" w:cs="仿宋"/>
          <w:b/>
          <w:color w:val="000000"/>
          <w:sz w:val="28"/>
          <w:szCs w:val="28"/>
          <w:u w:val="single"/>
        </w:rPr>
      </w:pPr>
      <w:r>
        <w:rPr>
          <w:rFonts w:hint="eastAsia" w:ascii="仿宋" w:hAnsi="仿宋" w:eastAsia="仿宋" w:cs="仿宋"/>
          <w:b/>
          <w:color w:val="000000"/>
          <w:sz w:val="28"/>
          <w:szCs w:val="28"/>
        </w:rPr>
        <w:t>发包人：</w:t>
      </w:r>
      <w:r>
        <w:rPr>
          <w:rFonts w:hint="eastAsia" w:ascii="仿宋" w:hAnsi="仿宋" w:eastAsia="仿宋" w:cs="仿宋"/>
          <w:b/>
          <w:color w:val="000000"/>
          <w:sz w:val="28"/>
          <w:szCs w:val="28"/>
          <w:u w:val="single"/>
        </w:rPr>
        <w:t></w:t>
      </w:r>
      <w:r>
        <w:rPr>
          <w:rFonts w:hint="eastAsia" w:ascii="仿宋" w:hAnsi="仿宋" w:eastAsia="仿宋" w:cs="仿宋"/>
          <w:b/>
          <w:color w:val="000000"/>
          <w:sz w:val="28"/>
          <w:szCs w:val="28"/>
          <w:u w:val="single"/>
          <w:lang w:eastAsia="zh-CN"/>
        </w:rPr>
        <w:t>西安市高陵区通远街道办事处</w:t>
      </w:r>
      <w:r>
        <w:rPr>
          <w:rFonts w:hint="eastAsia" w:ascii="仿宋" w:hAnsi="仿宋" w:eastAsia="仿宋" w:cs="仿宋"/>
          <w:b/>
          <w:color w:val="000000"/>
          <w:sz w:val="28"/>
          <w:szCs w:val="28"/>
          <w:u w:val="single"/>
        </w:rPr>
        <w:t></w:t>
      </w:r>
    </w:p>
    <w:p w14:paraId="554C30E4">
      <w:pPr>
        <w:pageBreakBefore w:val="0"/>
        <w:widowControl w:val="0"/>
        <w:kinsoku/>
        <w:wordWrap/>
        <w:overflowPunct/>
        <w:topLinePunct w:val="0"/>
        <w:bidi w:val="0"/>
        <w:snapToGrid/>
        <w:spacing w:line="360" w:lineRule="auto"/>
        <w:ind w:leftChars="800"/>
        <w:textAlignment w:val="auto"/>
        <w:outlineLvl w:val="9"/>
        <w:rPr>
          <w:rFonts w:hint="eastAsia" w:ascii="仿宋" w:hAnsi="仿宋" w:eastAsia="仿宋" w:cs="仿宋"/>
          <w:b/>
          <w:color w:val="000000"/>
          <w:sz w:val="28"/>
          <w:szCs w:val="28"/>
          <w:u w:val="single"/>
        </w:rPr>
      </w:pPr>
      <w:r>
        <w:rPr>
          <w:rFonts w:hint="eastAsia" w:ascii="仿宋" w:hAnsi="仿宋" w:eastAsia="仿宋" w:cs="仿宋"/>
          <w:b/>
          <w:color w:val="000000"/>
          <w:sz w:val="28"/>
          <w:szCs w:val="28"/>
        </w:rPr>
        <w:t>承包人：</w:t>
      </w:r>
      <w:r>
        <w:rPr>
          <w:rFonts w:hint="eastAsia" w:ascii="仿宋" w:hAnsi="仿宋" w:eastAsia="仿宋" w:cs="仿宋"/>
          <w:b/>
          <w:color w:val="000000"/>
          <w:sz w:val="28"/>
          <w:szCs w:val="28"/>
          <w:u w:val="single"/>
        </w:rPr>
        <w:t xml:space="preserve">                </w:t>
      </w:r>
    </w:p>
    <w:p w14:paraId="549C59D3">
      <w:pPr>
        <w:rPr>
          <w:rFonts w:hint="eastAsia" w:ascii="仿宋" w:hAnsi="仿宋" w:eastAsia="仿宋" w:cs="仿宋"/>
          <w:color w:val="auto"/>
          <w:lang w:eastAsia="zh-CN"/>
        </w:rPr>
      </w:pPr>
    </w:p>
    <w:p w14:paraId="0A5A8B84">
      <w:pPr>
        <w:rPr>
          <w:rFonts w:hint="eastAsia" w:ascii="仿宋" w:hAnsi="仿宋" w:eastAsia="仿宋" w:cs="仿宋"/>
          <w:color w:val="auto"/>
          <w:lang w:eastAsia="zh-CN"/>
        </w:rPr>
      </w:pPr>
      <w:r>
        <w:rPr>
          <w:rFonts w:hint="eastAsia" w:ascii="仿宋" w:hAnsi="仿宋" w:eastAsia="仿宋" w:cs="仿宋"/>
          <w:color w:val="auto"/>
          <w:lang w:eastAsia="zh-CN"/>
        </w:rPr>
        <w:br w:type="page"/>
      </w:r>
    </w:p>
    <w:p w14:paraId="00440596">
      <w:pPr>
        <w:jc w:val="center"/>
        <w:rPr>
          <w:rFonts w:hint="eastAsia" w:ascii="宋体" w:hAnsi="宋体" w:eastAsia="宋体" w:cs="宋体"/>
          <w:b w:val="0"/>
          <w:bCs/>
          <w:sz w:val="32"/>
          <w:szCs w:val="32"/>
          <w:highlight w:val="none"/>
        </w:rPr>
      </w:pPr>
      <w:r>
        <w:rPr>
          <w:rFonts w:hint="eastAsia" w:ascii="宋体" w:hAnsi="宋体" w:eastAsia="宋体" w:cs="宋体"/>
          <w:b w:val="0"/>
          <w:bCs/>
          <w:sz w:val="32"/>
          <w:szCs w:val="32"/>
          <w:highlight w:val="none"/>
          <w:lang w:eastAsia="zh-CN"/>
        </w:rPr>
        <w:t>合同协议书</w:t>
      </w:r>
    </w:p>
    <w:p w14:paraId="48DD2754">
      <w:pPr>
        <w:spacing w:line="360" w:lineRule="auto"/>
        <w:rPr>
          <w:rFonts w:hint="default" w:ascii="宋体" w:hAnsi="宋体" w:eastAsia="宋体" w:cs="宋体"/>
          <w:b/>
          <w:sz w:val="24"/>
          <w:szCs w:val="24"/>
          <w:highlight w:val="none"/>
          <w:u w:val="single"/>
          <w:lang w:val="en-US" w:eastAsia="zh-CN"/>
        </w:rPr>
      </w:pPr>
      <w:r>
        <w:rPr>
          <w:rFonts w:hint="eastAsia" w:ascii="宋体" w:hAnsi="宋体" w:eastAsia="宋体" w:cs="宋体"/>
          <w:b/>
          <w:sz w:val="24"/>
          <w:szCs w:val="24"/>
          <w:highlight w:val="none"/>
        </w:rPr>
        <w:t>发包人(简称甲方)：</w:t>
      </w:r>
      <w:r>
        <w:rPr>
          <w:rFonts w:hint="eastAsia" w:ascii="宋体" w:hAnsi="宋体" w:eastAsia="宋体" w:cs="宋体"/>
          <w:b/>
          <w:sz w:val="24"/>
          <w:szCs w:val="24"/>
          <w:highlight w:val="none"/>
          <w:u w:val="single"/>
          <w:lang w:val="en-US" w:eastAsia="zh-CN"/>
        </w:rPr>
        <w:t xml:space="preserve">                           </w:t>
      </w:r>
    </w:p>
    <w:p w14:paraId="02E5A80E">
      <w:pPr>
        <w:spacing w:line="360" w:lineRule="auto"/>
        <w:ind w:left="3253" w:hanging="3253" w:hangingChars="1350"/>
        <w:rPr>
          <w:rFonts w:hint="eastAsia" w:ascii="宋体" w:hAnsi="宋体" w:eastAsia="宋体" w:cs="宋体"/>
          <w:b/>
          <w:sz w:val="24"/>
          <w:szCs w:val="24"/>
          <w:highlight w:val="none"/>
        </w:rPr>
      </w:pPr>
      <w:r>
        <w:rPr>
          <w:rFonts w:hint="eastAsia" w:ascii="宋体" w:hAnsi="宋体" w:eastAsia="宋体" w:cs="宋体"/>
          <w:b/>
          <w:sz w:val="24"/>
          <w:szCs w:val="24"/>
          <w:highlight w:val="none"/>
        </w:rPr>
        <w:t>承包人(简称乙方)：</w:t>
      </w:r>
      <w:r>
        <w:rPr>
          <w:rFonts w:hint="eastAsia" w:ascii="宋体" w:hAnsi="宋体" w:eastAsia="宋体" w:cs="宋体"/>
          <w:color w:val="000000"/>
          <w:sz w:val="24"/>
          <w:szCs w:val="24"/>
          <w:highlight w:val="none"/>
          <w:u w:val="single"/>
        </w:rPr>
        <w:t xml:space="preserve">                            </w:t>
      </w:r>
    </w:p>
    <w:p w14:paraId="58F6D6AF">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color w:val="FF0000"/>
          <w:sz w:val="24"/>
          <w:szCs w:val="24"/>
          <w:highlight w:val="none"/>
          <w:shd w:val="clear" w:color="FFFFFF" w:fill="D9D9D9"/>
        </w:rPr>
      </w:pPr>
      <w:r>
        <w:rPr>
          <w:rFonts w:hint="eastAsia" w:ascii="宋体" w:hAnsi="宋体" w:eastAsia="宋体" w:cs="宋体"/>
          <w:sz w:val="24"/>
          <w:szCs w:val="24"/>
          <w:highlight w:val="none"/>
        </w:rPr>
        <w:t>依照《中华人民共和国</w:t>
      </w:r>
      <w:r>
        <w:rPr>
          <w:rFonts w:hint="eastAsia" w:ascii="宋体" w:hAnsi="宋体" w:eastAsia="宋体" w:cs="宋体"/>
          <w:sz w:val="24"/>
          <w:szCs w:val="24"/>
          <w:highlight w:val="none"/>
          <w:lang w:val="en-US" w:eastAsia="zh-CN"/>
        </w:rPr>
        <w:t>民法典</w:t>
      </w:r>
      <w:r>
        <w:rPr>
          <w:rFonts w:hint="eastAsia" w:ascii="宋体" w:hAnsi="宋体" w:eastAsia="宋体" w:cs="宋体"/>
          <w:sz w:val="24"/>
          <w:szCs w:val="24"/>
          <w:highlight w:val="none"/>
        </w:rPr>
        <w:t>》、《中华人民共和国建筑法》等法律、行政法规，遵循平等、自愿、公平和诚实信用的原则，双方就</w:t>
      </w:r>
      <w:r>
        <w:rPr>
          <w:rFonts w:hint="eastAsia"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eastAsia="zh-CN"/>
        </w:rPr>
        <w:t>中国工商银行高陵数据中心项目清表</w:t>
      </w:r>
      <w:r>
        <w:rPr>
          <w:rFonts w:hint="eastAsia" w:eastAsia="宋体" w:cs="宋体"/>
          <w:sz w:val="24"/>
          <w:szCs w:val="24"/>
          <w:highlight w:val="none"/>
          <w:u w:val="single"/>
          <w:lang w:val="en-US" w:eastAsia="zh-CN"/>
        </w:rPr>
        <w:t xml:space="preserve"> </w:t>
      </w:r>
      <w:bookmarkStart w:id="0" w:name="_GoBack"/>
      <w:bookmarkEnd w:id="0"/>
      <w:r>
        <w:rPr>
          <w:rFonts w:hint="eastAsia" w:ascii="宋体" w:hAnsi="宋体" w:eastAsia="宋体" w:cs="宋体"/>
          <w:sz w:val="24"/>
          <w:szCs w:val="24"/>
          <w:highlight w:val="none"/>
        </w:rPr>
        <w:t>事项订立本合同：</w:t>
      </w:r>
    </w:p>
    <w:p w14:paraId="33FB79AA">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一、工程概况</w:t>
      </w:r>
    </w:p>
    <w:p w14:paraId="19825943">
      <w:pPr>
        <w:spacing w:line="360" w:lineRule="auto"/>
        <w:ind w:left="105" w:leftChars="50" w:firstLine="360" w:firstLineChars="150"/>
        <w:rPr>
          <w:rFonts w:hint="eastAsia" w:ascii="宋体" w:hAnsi="宋体" w:eastAsia="宋体" w:cs="宋体"/>
          <w:sz w:val="24"/>
          <w:szCs w:val="24"/>
          <w:lang w:val="en-US" w:eastAsia="zh-CN"/>
        </w:rPr>
      </w:pPr>
      <w:r>
        <w:rPr>
          <w:rFonts w:hint="eastAsia" w:ascii="宋体" w:hAnsi="宋体" w:eastAsia="宋体" w:cs="宋体"/>
          <w:sz w:val="24"/>
          <w:szCs w:val="24"/>
          <w:highlight w:val="none"/>
        </w:rPr>
        <w:t>（一）范围及规模：</w:t>
      </w:r>
      <w:r>
        <w:rPr>
          <w:rFonts w:hint="eastAsia" w:ascii="宋体" w:hAnsi="宋体" w:eastAsia="宋体" w:cs="宋体"/>
          <w:sz w:val="24"/>
          <w:szCs w:val="24"/>
          <w:lang w:val="en-US" w:eastAsia="zh-CN"/>
        </w:rPr>
        <w:t>中国工商银行高陵数据中心项目清表包含拆除土大棚、彩钢瓦、水泥地面（破损、清运）、U型渠、井房；2.5.6组清表地亩、水泥地面下挖50公分。主要功能或目标:为优质高效保障中国工商银行高陵数据中心项目顺利进场施工，本次采购事项主要为项目施工用地进行地面附着物清理提供全过程服务。</w:t>
      </w:r>
    </w:p>
    <w:p w14:paraId="2138F061">
      <w:pPr>
        <w:spacing w:line="360" w:lineRule="auto"/>
        <w:ind w:left="105" w:leftChars="50" w:firstLine="360" w:firstLineChars="15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（二）</w:t>
      </w:r>
      <w:r>
        <w:rPr>
          <w:rFonts w:hint="eastAsia" w:ascii="宋体" w:hAnsi="宋体" w:eastAsia="宋体" w:cs="宋体"/>
          <w:sz w:val="24"/>
          <w:szCs w:val="24"/>
          <w:highlight w:val="none"/>
          <w:lang w:eastAsia="zh-CN"/>
        </w:rPr>
        <w:t>服务期限</w:t>
      </w:r>
      <w:r>
        <w:rPr>
          <w:rFonts w:hint="eastAsia" w:ascii="宋体" w:hAnsi="宋体" w:eastAsia="宋体" w:cs="宋体"/>
          <w:sz w:val="24"/>
          <w:szCs w:val="24"/>
          <w:highlight w:val="none"/>
        </w:rPr>
        <w:t>：</w:t>
      </w:r>
      <w:r>
        <w:rPr>
          <w:rFonts w:hint="eastAsia" w:ascii="宋体" w:hAnsi="宋体" w:cs="宋体"/>
          <w:sz w:val="24"/>
          <w:szCs w:val="24"/>
          <w:highlight w:val="none"/>
          <w:lang w:eastAsia="zh-CN"/>
        </w:rPr>
        <w:t>自合同签订之日起</w:t>
      </w:r>
      <w:r>
        <w:rPr>
          <w:rFonts w:hint="eastAsia" w:ascii="宋体" w:hAnsi="宋体" w:cs="宋体"/>
          <w:sz w:val="24"/>
          <w:szCs w:val="24"/>
          <w:highlight w:val="none"/>
          <w:lang w:val="en-US" w:eastAsia="zh-CN"/>
        </w:rPr>
        <w:t>3</w:t>
      </w:r>
      <w:r>
        <w:rPr>
          <w:rFonts w:hint="eastAsia" w:ascii="宋体" w:hAnsi="宋体" w:cs="宋体"/>
          <w:sz w:val="24"/>
          <w:szCs w:val="24"/>
          <w:highlight w:val="none"/>
          <w:lang w:eastAsia="zh-CN"/>
        </w:rPr>
        <w:t>0个日历日（具体以项目开展后</w:t>
      </w:r>
      <w:r>
        <w:rPr>
          <w:rFonts w:hint="eastAsia" w:ascii="宋体" w:hAnsi="宋体" w:cs="宋体"/>
          <w:sz w:val="24"/>
          <w:szCs w:val="24"/>
          <w:highlight w:val="none"/>
          <w:lang w:val="en-US" w:eastAsia="zh-CN"/>
        </w:rPr>
        <w:t>发包</w:t>
      </w:r>
      <w:r>
        <w:rPr>
          <w:rFonts w:hint="eastAsia" w:ascii="宋体" w:hAnsi="宋体" w:cs="宋体"/>
          <w:sz w:val="24"/>
          <w:szCs w:val="24"/>
          <w:highlight w:val="none"/>
          <w:lang w:eastAsia="zh-CN"/>
        </w:rPr>
        <w:t>人要求为准）</w:t>
      </w:r>
      <w:r>
        <w:rPr>
          <w:rFonts w:hint="eastAsia" w:ascii="宋体" w:hAnsi="宋体" w:eastAsia="宋体" w:cs="宋体"/>
          <w:sz w:val="24"/>
          <w:szCs w:val="24"/>
          <w:highlight w:val="none"/>
        </w:rPr>
        <w:t>。</w:t>
      </w:r>
    </w:p>
    <w:p w14:paraId="7165AAC9">
      <w:pPr>
        <w:spacing w:line="360" w:lineRule="auto"/>
        <w:ind w:left="105" w:leftChars="50"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（三）质量标准</w:t>
      </w:r>
    </w:p>
    <w:p w14:paraId="7AFC70D8">
      <w:pPr>
        <w:spacing w:line="360" w:lineRule="auto"/>
        <w:ind w:left="105" w:leftChars="50"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质量符合</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rPr>
        <w:t>标准。</w:t>
      </w:r>
    </w:p>
    <w:p w14:paraId="3578D382">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lang w:val="en-US" w:eastAsia="zh-CN"/>
        </w:rPr>
        <w:t xml:space="preserve">清理渣土拉运严格执行西安人民政府及高陵区的相关规定、《西安市建筑垃圾管理条例》要求执行，清运至正规消纳地点进行倾倒或填埋,并承担处置费用和消纳 费用。禁止在道路、桥梁、公共场地、公共绿地、农田、河流、湖泊、供排水设施、水利设施以及其他非指定场地倾倒清运渣土。渣土拉运后应及时对清运地点进行收尾清理。 </w:t>
      </w:r>
    </w:p>
    <w:p w14:paraId="15DBE557">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lang w:val="en-US" w:eastAsia="zh-CN"/>
        </w:rPr>
        <w:t xml:space="preserve">在安全文明施工问题上，必须严格按照标准规范严格执行，在此期间所发生的一切事故应由乙方自行承担。 </w:t>
      </w:r>
    </w:p>
    <w:p w14:paraId="2744CA42">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lang w:val="en-US" w:eastAsia="zh-CN"/>
        </w:rPr>
        <w:t xml:space="preserve">项目实施过程中不与其他人员发生纠纷，在服务期间与其他人员产生的纠纷，均由乙方承担全部责任。 </w:t>
      </w:r>
    </w:p>
    <w:p w14:paraId="7FD8D290">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lang w:val="en-US" w:eastAsia="zh-CN"/>
        </w:rPr>
        <w:t>乙方在清运渣土前需按照市容执法部门的要求安装车辆冲洗设备及渣土覆盖绿网、防尘措施等。</w:t>
      </w:r>
    </w:p>
    <w:p w14:paraId="1E44E483">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lang w:val="en-US" w:eastAsia="zh-CN"/>
        </w:rPr>
        <w:t xml:space="preserve">乙方应当对渣土进行分类，不得将渣土与生活垃圾、危险废物混合处置。拉运前应设置符合相关技术规范的围蔽设施，出口道路硬化处理，设置车辆冲洗设备并有效使用，设置洗车槽和沉淀池并有效使用，采取措施避免扬尘。 </w:t>
      </w:r>
    </w:p>
    <w:p w14:paraId="0B280AA3">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lang w:val="en-US" w:eastAsia="zh-CN"/>
        </w:rPr>
        <w:t xml:space="preserve">乙方应当建立健全渣土运输车辆安全管理、驾驶人培训、车辆清运规范服务制度，加强车辆维修养护，保证运输安全规范。 </w:t>
      </w:r>
    </w:p>
    <w:p w14:paraId="77CFA417">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7、</w:t>
      </w:r>
      <w:r>
        <w:rPr>
          <w:rFonts w:hint="eastAsia" w:ascii="宋体" w:hAnsi="宋体" w:eastAsia="宋体" w:cs="宋体"/>
          <w:sz w:val="24"/>
          <w:szCs w:val="24"/>
          <w:highlight w:val="none"/>
          <w:lang w:val="en-US" w:eastAsia="zh-CN"/>
        </w:rPr>
        <w:t>运输过程中造成道路及环境污染的，乙方应当立即清除污染。</w:t>
      </w:r>
    </w:p>
    <w:p w14:paraId="3118FBAA">
      <w:pPr>
        <w:spacing w:line="360" w:lineRule="auto"/>
        <w:ind w:firstLine="482" w:firstLineChars="200"/>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二、合同的组成部分</w:t>
      </w:r>
    </w:p>
    <w:p w14:paraId="3A83236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（一）</w:t>
      </w:r>
      <w:r>
        <w:rPr>
          <w:rFonts w:hint="eastAsia" w:ascii="宋体" w:hAnsi="宋体" w:eastAsia="宋体" w:cs="宋体"/>
          <w:sz w:val="24"/>
          <w:szCs w:val="24"/>
          <w:highlight w:val="none"/>
          <w:lang w:eastAsia="zh-CN"/>
        </w:rPr>
        <w:t>采购</w:t>
      </w:r>
      <w:r>
        <w:rPr>
          <w:rFonts w:hint="eastAsia" w:ascii="宋体" w:hAnsi="宋体" w:eastAsia="宋体" w:cs="宋体"/>
          <w:sz w:val="24"/>
          <w:szCs w:val="24"/>
          <w:highlight w:val="none"/>
        </w:rPr>
        <w:t xml:space="preserve">文件及补充文件。 </w:t>
      </w:r>
    </w:p>
    <w:p w14:paraId="04FAA1C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（二）乙方中标的投标</w:t>
      </w:r>
      <w:r>
        <w:rPr>
          <w:rFonts w:hint="eastAsia" w:ascii="宋体" w:hAnsi="宋体" w:eastAsia="宋体" w:cs="宋体"/>
          <w:sz w:val="24"/>
          <w:szCs w:val="24"/>
          <w:highlight w:val="none"/>
          <w:lang w:eastAsia="zh-CN"/>
        </w:rPr>
        <w:t>（响应）</w:t>
      </w:r>
      <w:r>
        <w:rPr>
          <w:rFonts w:hint="eastAsia" w:ascii="宋体" w:hAnsi="宋体" w:eastAsia="宋体" w:cs="宋体"/>
          <w:sz w:val="24"/>
          <w:szCs w:val="24"/>
          <w:highlight w:val="none"/>
        </w:rPr>
        <w:t>文件。</w:t>
      </w:r>
    </w:p>
    <w:p w14:paraId="4DB635C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（三）标准、规范和有关技术资料。</w:t>
      </w:r>
    </w:p>
    <w:p w14:paraId="62442E1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（四）其他有关文件。</w:t>
      </w:r>
    </w:p>
    <w:p w14:paraId="35CE6E1C">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三、双方的权利及义务</w:t>
      </w:r>
    </w:p>
    <w:p w14:paraId="1DB3F429">
      <w:pPr>
        <w:pStyle w:val="5"/>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（一）甲方的权利和义务</w:t>
      </w:r>
    </w:p>
    <w:p w14:paraId="49312ADB">
      <w:pPr>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1、有对现场需</w:t>
      </w:r>
      <w:r>
        <w:rPr>
          <w:rFonts w:hint="eastAsia" w:ascii="宋体" w:hAnsi="宋体" w:eastAsia="宋体" w:cs="宋体"/>
          <w:sz w:val="24"/>
          <w:szCs w:val="24"/>
          <w:highlight w:val="none"/>
          <w:lang w:eastAsia="zh-CN"/>
        </w:rPr>
        <w:t>清理</w:t>
      </w:r>
      <w:r>
        <w:rPr>
          <w:rFonts w:hint="eastAsia" w:ascii="宋体" w:hAnsi="宋体" w:cs="宋体"/>
          <w:sz w:val="24"/>
          <w:szCs w:val="24"/>
          <w:highlight w:val="none"/>
          <w:lang w:val="en-US" w:eastAsia="zh-CN"/>
        </w:rPr>
        <w:t>范围</w:t>
      </w:r>
      <w:r>
        <w:rPr>
          <w:rFonts w:hint="eastAsia" w:ascii="宋体" w:hAnsi="宋体" w:eastAsia="宋体" w:cs="宋体"/>
          <w:sz w:val="24"/>
          <w:szCs w:val="24"/>
          <w:highlight w:val="none"/>
        </w:rPr>
        <w:t>的认定权，同时有权随时检查、监督拆除现场的工程进度、质量和安全</w:t>
      </w:r>
      <w:r>
        <w:rPr>
          <w:rFonts w:hint="eastAsia" w:ascii="宋体" w:hAnsi="宋体" w:eastAsia="宋体" w:cs="宋体"/>
          <w:sz w:val="24"/>
          <w:szCs w:val="24"/>
          <w:highlight w:val="none"/>
          <w:lang w:eastAsia="zh-CN"/>
        </w:rPr>
        <w:t>；</w:t>
      </w:r>
    </w:p>
    <w:p w14:paraId="7F83561F">
      <w:pPr>
        <w:spacing w:line="360" w:lineRule="auto"/>
        <w:ind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rPr>
        <w:t>、若乙方清运现场不符合治污减霾和防尘降噪的相关规定，甲方有权对乙方提出整改要求和处罚；乙方拒不整改或整改不到位的，甲方有权终止合同并将乙方清理出场；</w:t>
      </w:r>
    </w:p>
    <w:p w14:paraId="6D3C76E1">
      <w:pPr>
        <w:spacing w:line="360" w:lineRule="auto"/>
        <w:ind w:firstLine="480" w:firstLineChars="200"/>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3</w:t>
      </w:r>
      <w:r>
        <w:rPr>
          <w:rFonts w:hint="default" w:ascii="宋体" w:hAnsi="宋体" w:eastAsia="宋体" w:cs="宋体"/>
          <w:sz w:val="24"/>
          <w:szCs w:val="24"/>
          <w:highlight w:val="none"/>
          <w:lang w:val="en-US" w:eastAsia="zh-CN"/>
        </w:rPr>
        <w:t>、对工程进度、质量进行监督检查。</w:t>
      </w:r>
    </w:p>
    <w:p w14:paraId="7379F14E">
      <w:pPr>
        <w:spacing w:line="360" w:lineRule="auto"/>
        <w:ind w:firstLine="480" w:firstLineChars="200"/>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4</w:t>
      </w:r>
      <w:r>
        <w:rPr>
          <w:rFonts w:hint="default" w:ascii="宋体" w:hAnsi="宋体" w:eastAsia="宋体" w:cs="宋体"/>
          <w:sz w:val="24"/>
          <w:szCs w:val="24"/>
          <w:highlight w:val="none"/>
          <w:lang w:val="en-US" w:eastAsia="zh-CN"/>
        </w:rPr>
        <w:t>、组织对工程进行竣工验收。</w:t>
      </w:r>
    </w:p>
    <w:p w14:paraId="1ACB9DC1">
      <w:pPr>
        <w:pStyle w:val="5"/>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（二）乙方的权利和义务</w:t>
      </w:r>
    </w:p>
    <w:p w14:paraId="6341817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1、乙方按照合同的规定承担认定范围内的清运任务；</w:t>
      </w:r>
    </w:p>
    <w:p w14:paraId="7E18AD2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2、接受甲方、监理单位和各级主管部门的监督和管理；</w:t>
      </w:r>
    </w:p>
    <w:p w14:paraId="70C3B934">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3、乙方应做好清运过程中沿途的安全防护工作，在</w:t>
      </w:r>
      <w:r>
        <w:rPr>
          <w:rFonts w:hint="eastAsia" w:ascii="宋体" w:hAnsi="宋体" w:cs="宋体"/>
          <w:sz w:val="24"/>
          <w:szCs w:val="24"/>
          <w:highlight w:val="none"/>
          <w:lang w:eastAsia="zh-CN"/>
        </w:rPr>
        <w:t>清运</w:t>
      </w:r>
      <w:r>
        <w:rPr>
          <w:rFonts w:hint="eastAsia" w:ascii="宋体" w:hAnsi="宋体" w:eastAsia="宋体" w:cs="宋体"/>
          <w:sz w:val="24"/>
          <w:szCs w:val="24"/>
          <w:highlight w:val="none"/>
        </w:rPr>
        <w:t>过程中因防护不当而造成的塌方、滑坡等安全事故，如因此发生安全事故，一切损失和责任由乙方承担；乙方因履行本合同所发生的一切事故（包括的不限于，交通事故/工伤事故等）均由乙方自行承担，与甲方无关，若甲方因此承担赔偿责任的有权向乙方追偿。</w:t>
      </w:r>
    </w:p>
    <w:p w14:paraId="400E8EFC">
      <w:pPr>
        <w:pStyle w:val="2"/>
        <w:keepNext/>
        <w:keepLines/>
        <w:pageBreakBefore w:val="0"/>
        <w:widowControl w:val="0"/>
        <w:kinsoku/>
        <w:wordWrap/>
        <w:overflowPunct/>
        <w:topLinePunct w:val="0"/>
        <w:autoSpaceDE/>
        <w:autoSpaceDN/>
        <w:bidi w:val="0"/>
        <w:adjustRightInd/>
        <w:snapToGrid/>
        <w:spacing w:before="0" w:after="0" w:line="360" w:lineRule="auto"/>
        <w:ind w:firstLine="480" w:firstLineChars="200"/>
        <w:textAlignment w:val="auto"/>
        <w:rPr>
          <w:rFonts w:hint="default" w:ascii="宋体" w:hAnsi="宋体" w:eastAsia="宋体" w:cs="宋体"/>
          <w:b w:val="0"/>
          <w:bCs w:val="0"/>
          <w:kern w:val="2"/>
          <w:sz w:val="24"/>
          <w:szCs w:val="24"/>
          <w:highlight w:val="none"/>
          <w:lang w:val="en-US" w:eastAsia="zh-CN" w:bidi="ar-SA"/>
        </w:rPr>
      </w:pPr>
      <w:r>
        <w:rPr>
          <w:rFonts w:hint="default" w:ascii="宋体" w:hAnsi="宋体" w:eastAsia="宋体" w:cs="宋体"/>
          <w:b w:val="0"/>
          <w:bCs w:val="0"/>
          <w:kern w:val="2"/>
          <w:sz w:val="24"/>
          <w:szCs w:val="24"/>
          <w:highlight w:val="none"/>
          <w:lang w:val="en-US" w:eastAsia="zh-CN" w:bidi="ar-SA"/>
        </w:rPr>
        <w:t>4、严格按照施工说明书进行施工，确保工程质量按合同规定的时间如期完工和交付。</w:t>
      </w:r>
    </w:p>
    <w:p w14:paraId="6B688A4A">
      <w:pPr>
        <w:pStyle w:val="2"/>
        <w:keepNext/>
        <w:keepLines/>
        <w:pageBreakBefore w:val="0"/>
        <w:widowControl w:val="0"/>
        <w:kinsoku/>
        <w:wordWrap/>
        <w:overflowPunct/>
        <w:topLinePunct w:val="0"/>
        <w:autoSpaceDE/>
        <w:autoSpaceDN/>
        <w:bidi w:val="0"/>
        <w:adjustRightInd/>
        <w:snapToGrid/>
        <w:spacing w:before="0" w:after="0" w:line="360" w:lineRule="auto"/>
        <w:ind w:firstLine="480" w:firstLineChars="200"/>
        <w:textAlignment w:val="auto"/>
        <w:rPr>
          <w:rFonts w:hint="default" w:ascii="宋体" w:hAnsi="宋体" w:eastAsia="宋体" w:cs="宋体"/>
          <w:b w:val="0"/>
          <w:bCs w:val="0"/>
          <w:kern w:val="2"/>
          <w:sz w:val="24"/>
          <w:szCs w:val="24"/>
          <w:highlight w:val="none"/>
          <w:lang w:val="en-US" w:eastAsia="zh-CN" w:bidi="ar-SA"/>
        </w:rPr>
      </w:pPr>
      <w:r>
        <w:rPr>
          <w:rFonts w:hint="default" w:ascii="宋体" w:hAnsi="宋体" w:eastAsia="宋体" w:cs="宋体"/>
          <w:b w:val="0"/>
          <w:bCs w:val="0"/>
          <w:kern w:val="2"/>
          <w:sz w:val="24"/>
          <w:szCs w:val="24"/>
          <w:highlight w:val="none"/>
          <w:lang w:val="en-US" w:eastAsia="zh-CN" w:bidi="ar-SA"/>
        </w:rPr>
        <w:t>5、乙方有权按投标书中的承诺，在履约后获得约定的工程及服务费用。</w:t>
      </w:r>
    </w:p>
    <w:p w14:paraId="36A17B9F">
      <w:pPr>
        <w:pStyle w:val="2"/>
        <w:keepNext/>
        <w:keepLines/>
        <w:pageBreakBefore w:val="0"/>
        <w:widowControl w:val="0"/>
        <w:kinsoku/>
        <w:wordWrap/>
        <w:overflowPunct/>
        <w:topLinePunct w:val="0"/>
        <w:autoSpaceDE/>
        <w:autoSpaceDN/>
        <w:bidi w:val="0"/>
        <w:adjustRightInd/>
        <w:snapToGrid/>
        <w:spacing w:before="0" w:after="0" w:line="360" w:lineRule="auto"/>
        <w:ind w:firstLine="480" w:firstLineChars="200"/>
        <w:textAlignment w:val="auto"/>
        <w:rPr>
          <w:rFonts w:hint="default" w:ascii="宋体" w:hAnsi="宋体" w:eastAsia="宋体" w:cs="宋体"/>
          <w:b w:val="0"/>
          <w:bCs w:val="0"/>
          <w:kern w:val="2"/>
          <w:sz w:val="24"/>
          <w:szCs w:val="24"/>
          <w:highlight w:val="none"/>
          <w:lang w:val="en-US" w:eastAsia="zh-CN" w:bidi="ar-SA"/>
        </w:rPr>
      </w:pPr>
      <w:r>
        <w:rPr>
          <w:rFonts w:hint="default" w:ascii="宋体" w:hAnsi="宋体" w:eastAsia="宋体" w:cs="宋体"/>
          <w:b w:val="0"/>
          <w:bCs w:val="0"/>
          <w:kern w:val="2"/>
          <w:sz w:val="24"/>
          <w:szCs w:val="24"/>
          <w:highlight w:val="none"/>
          <w:lang w:val="en-US" w:eastAsia="zh-CN" w:bidi="ar-SA"/>
        </w:rPr>
        <w:t>6、乙方必须自行施工，不得转包，如确需分包个别子项时，须征得甲方同意；</w:t>
      </w:r>
    </w:p>
    <w:p w14:paraId="09D937FE">
      <w:pPr>
        <w:pStyle w:val="2"/>
        <w:keepNext/>
        <w:keepLines/>
        <w:pageBreakBefore w:val="0"/>
        <w:widowControl w:val="0"/>
        <w:kinsoku/>
        <w:wordWrap/>
        <w:overflowPunct/>
        <w:topLinePunct w:val="0"/>
        <w:autoSpaceDE/>
        <w:autoSpaceDN/>
        <w:bidi w:val="0"/>
        <w:adjustRightInd/>
        <w:snapToGrid/>
        <w:spacing w:before="0" w:after="0" w:line="360" w:lineRule="auto"/>
        <w:ind w:firstLine="480" w:firstLineChars="200"/>
        <w:textAlignment w:val="auto"/>
        <w:rPr>
          <w:rFonts w:hint="default" w:ascii="宋体" w:hAnsi="宋体" w:eastAsia="宋体" w:cs="宋体"/>
          <w:b w:val="0"/>
          <w:bCs w:val="0"/>
          <w:kern w:val="2"/>
          <w:sz w:val="24"/>
          <w:szCs w:val="24"/>
          <w:highlight w:val="none"/>
          <w:lang w:val="en-US" w:eastAsia="zh-CN" w:bidi="ar-SA"/>
        </w:rPr>
      </w:pPr>
      <w:r>
        <w:rPr>
          <w:rFonts w:hint="default" w:ascii="宋体" w:hAnsi="宋体" w:eastAsia="宋体" w:cs="宋体"/>
          <w:b w:val="0"/>
          <w:bCs w:val="0"/>
          <w:kern w:val="2"/>
          <w:sz w:val="24"/>
          <w:szCs w:val="24"/>
          <w:highlight w:val="none"/>
          <w:lang w:val="en-US" w:eastAsia="zh-CN" w:bidi="ar-SA"/>
        </w:rPr>
        <w:t>7、提供竣工验收技术数据及相关资料，办理工程竣工结算，参加工程竣工验收。结算审减成果费由乙方全额承担。</w:t>
      </w:r>
    </w:p>
    <w:p w14:paraId="72AE45AF">
      <w:pPr>
        <w:spacing w:line="360" w:lineRule="auto"/>
        <w:ind w:firstLine="482" w:firstLineChars="200"/>
        <w:rPr>
          <w:rFonts w:hint="eastAsia" w:ascii="宋体" w:hAnsi="宋体" w:eastAsia="宋体" w:cs="宋体"/>
          <w:sz w:val="24"/>
          <w:szCs w:val="24"/>
          <w:highlight w:val="none"/>
        </w:rPr>
      </w:pPr>
      <w:r>
        <w:rPr>
          <w:rFonts w:hint="eastAsia" w:ascii="宋体" w:hAnsi="宋体" w:eastAsia="宋体" w:cs="宋体"/>
          <w:b/>
          <w:bCs/>
          <w:sz w:val="24"/>
          <w:szCs w:val="24"/>
          <w:highlight w:val="none"/>
        </w:rPr>
        <w:t>四、</w:t>
      </w:r>
      <w:r>
        <w:rPr>
          <w:rFonts w:hint="eastAsia" w:ascii="宋体" w:hAnsi="宋体" w:eastAsia="宋体" w:cs="宋体"/>
          <w:b/>
          <w:bCs/>
          <w:sz w:val="24"/>
          <w:szCs w:val="24"/>
          <w:highlight w:val="none"/>
          <w:lang w:eastAsia="zh-CN"/>
        </w:rPr>
        <w:t>服务内容</w:t>
      </w:r>
      <w:r>
        <w:rPr>
          <w:rFonts w:hint="eastAsia" w:ascii="宋体" w:hAnsi="宋体" w:eastAsia="宋体" w:cs="宋体"/>
          <w:b/>
          <w:sz w:val="24"/>
          <w:szCs w:val="24"/>
          <w:highlight w:val="none"/>
        </w:rPr>
        <w:t>及</w:t>
      </w:r>
      <w:r>
        <w:rPr>
          <w:rFonts w:hint="eastAsia" w:ascii="宋体" w:hAnsi="宋体" w:eastAsia="宋体" w:cs="宋体"/>
          <w:b/>
          <w:sz w:val="24"/>
          <w:szCs w:val="24"/>
          <w:highlight w:val="none"/>
          <w:lang w:eastAsia="zh-CN"/>
        </w:rPr>
        <w:t>合同</w:t>
      </w:r>
      <w:r>
        <w:rPr>
          <w:rFonts w:hint="eastAsia" w:ascii="宋体" w:hAnsi="宋体" w:eastAsia="宋体" w:cs="宋体"/>
          <w:b/>
          <w:sz w:val="24"/>
          <w:szCs w:val="24"/>
          <w:highlight w:val="none"/>
        </w:rPr>
        <w:t>价款</w:t>
      </w:r>
    </w:p>
    <w:p w14:paraId="6FAD0100">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中国工商银行高陵数据中心项目清表包含拆除土大棚、彩钢瓦、水泥地面（破损、清运）、U型渠、井房；2.5.6组清表地亩、水泥地面下挖50公分。主要功能或目标：为优质高效保障中国工商银行高陵数据中心项目顺利进场施工，本次采购事项主要为项目施工用地进行地面附着物清理提供全过程服务。</w:t>
      </w:r>
    </w:p>
    <w:tbl>
      <w:tblPr>
        <w:tblStyle w:val="10"/>
        <w:tblW w:w="9615" w:type="dxa"/>
        <w:tblInd w:w="-70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8"/>
        <w:gridCol w:w="2382"/>
        <w:gridCol w:w="1164"/>
        <w:gridCol w:w="1421"/>
        <w:gridCol w:w="665"/>
        <w:gridCol w:w="820"/>
        <w:gridCol w:w="1140"/>
        <w:gridCol w:w="1305"/>
      </w:tblGrid>
      <w:tr w14:paraId="6B9E60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6" w:hRule="atLeast"/>
        </w:trPr>
        <w:tc>
          <w:tcPr>
            <w:tcW w:w="718" w:type="dxa"/>
            <w:vAlign w:val="center"/>
          </w:tcPr>
          <w:p w14:paraId="09419E22">
            <w:pPr>
              <w:jc w:val="center"/>
              <w:rPr>
                <w:rFonts w:hint="eastAsia"/>
                <w:lang w:val="en-US" w:eastAsia="zh-CN"/>
              </w:rPr>
            </w:pPr>
            <w:r>
              <w:rPr>
                <w:rFonts w:hint="eastAsia"/>
                <w:lang w:val="en-US" w:eastAsia="zh-CN"/>
              </w:rPr>
              <w:t>序号</w:t>
            </w:r>
          </w:p>
        </w:tc>
        <w:tc>
          <w:tcPr>
            <w:tcW w:w="2382" w:type="dxa"/>
            <w:vAlign w:val="center"/>
          </w:tcPr>
          <w:p w14:paraId="2697BF7B">
            <w:pPr>
              <w:jc w:val="center"/>
              <w:rPr>
                <w:rFonts w:hint="eastAsia"/>
                <w:lang w:val="en-US" w:eastAsia="zh-CN"/>
              </w:rPr>
            </w:pPr>
            <w:r>
              <w:rPr>
                <w:rFonts w:hint="eastAsia"/>
                <w:lang w:val="en-US" w:eastAsia="zh-CN"/>
              </w:rPr>
              <w:t>名称</w:t>
            </w:r>
          </w:p>
        </w:tc>
        <w:tc>
          <w:tcPr>
            <w:tcW w:w="1164" w:type="dxa"/>
            <w:vAlign w:val="center"/>
          </w:tcPr>
          <w:p w14:paraId="44930383">
            <w:pPr>
              <w:jc w:val="center"/>
              <w:rPr>
                <w:rFonts w:hint="eastAsia"/>
                <w:lang w:val="en-US" w:eastAsia="zh-CN"/>
              </w:rPr>
            </w:pPr>
            <w:r>
              <w:rPr>
                <w:rFonts w:hint="eastAsia"/>
                <w:lang w:val="en-US" w:eastAsia="zh-CN"/>
              </w:rPr>
              <w:t>亩</w:t>
            </w:r>
          </w:p>
        </w:tc>
        <w:tc>
          <w:tcPr>
            <w:tcW w:w="1421" w:type="dxa"/>
            <w:vAlign w:val="center"/>
          </w:tcPr>
          <w:p w14:paraId="5838EF45">
            <w:pPr>
              <w:jc w:val="center"/>
              <w:rPr>
                <w:rFonts w:hint="eastAsia"/>
                <w:lang w:val="en-US" w:eastAsia="zh-CN"/>
              </w:rPr>
            </w:pPr>
            <w:r>
              <w:rPr>
                <w:rFonts w:hint="eastAsia"/>
                <w:lang w:val="en-US" w:eastAsia="zh-CN"/>
              </w:rPr>
              <w:t>平方米</w:t>
            </w:r>
          </w:p>
        </w:tc>
        <w:tc>
          <w:tcPr>
            <w:tcW w:w="665" w:type="dxa"/>
            <w:vAlign w:val="center"/>
          </w:tcPr>
          <w:p w14:paraId="55BF5399">
            <w:pPr>
              <w:jc w:val="center"/>
              <w:rPr>
                <w:rFonts w:hint="eastAsia"/>
                <w:lang w:val="en-US" w:eastAsia="zh-CN"/>
              </w:rPr>
            </w:pPr>
            <w:r>
              <w:rPr>
                <w:rFonts w:hint="eastAsia"/>
                <w:lang w:val="en-US" w:eastAsia="zh-CN"/>
              </w:rPr>
              <w:t>米</w:t>
            </w:r>
          </w:p>
        </w:tc>
        <w:tc>
          <w:tcPr>
            <w:tcW w:w="820" w:type="dxa"/>
            <w:vAlign w:val="center"/>
          </w:tcPr>
          <w:p w14:paraId="2A761666">
            <w:pPr>
              <w:jc w:val="center"/>
              <w:rPr>
                <w:rFonts w:hint="eastAsia"/>
                <w:lang w:val="en-US" w:eastAsia="zh-CN"/>
              </w:rPr>
            </w:pPr>
            <w:r>
              <w:rPr>
                <w:rFonts w:hint="eastAsia"/>
                <w:lang w:val="en-US" w:eastAsia="zh-CN"/>
              </w:rPr>
              <w:t>立方米</w:t>
            </w:r>
          </w:p>
        </w:tc>
        <w:tc>
          <w:tcPr>
            <w:tcW w:w="1140" w:type="dxa"/>
            <w:vAlign w:val="center"/>
          </w:tcPr>
          <w:p w14:paraId="403CD530">
            <w:pPr>
              <w:jc w:val="center"/>
              <w:rPr>
                <w:rFonts w:hint="eastAsia"/>
                <w:lang w:val="en-US" w:eastAsia="zh-CN"/>
              </w:rPr>
            </w:pPr>
            <w:r>
              <w:rPr>
                <w:rFonts w:hint="eastAsia"/>
                <w:lang w:val="en-US" w:eastAsia="zh-CN"/>
              </w:rPr>
              <w:t>单价(元)</w:t>
            </w:r>
          </w:p>
        </w:tc>
        <w:tc>
          <w:tcPr>
            <w:tcW w:w="1305" w:type="dxa"/>
            <w:vAlign w:val="center"/>
          </w:tcPr>
          <w:p w14:paraId="4E85732C">
            <w:pPr>
              <w:jc w:val="center"/>
              <w:rPr>
                <w:rFonts w:hint="eastAsia"/>
                <w:lang w:val="en-US" w:eastAsia="zh-CN"/>
              </w:rPr>
            </w:pPr>
            <w:r>
              <w:rPr>
                <w:rFonts w:hint="eastAsia"/>
                <w:lang w:val="en-US" w:eastAsia="zh-CN"/>
              </w:rPr>
              <w:t>合计（元）</w:t>
            </w:r>
          </w:p>
        </w:tc>
      </w:tr>
      <w:tr w14:paraId="7362E6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2" w:hRule="atLeast"/>
        </w:trPr>
        <w:tc>
          <w:tcPr>
            <w:tcW w:w="718" w:type="dxa"/>
            <w:vAlign w:val="center"/>
          </w:tcPr>
          <w:p w14:paraId="6D145339">
            <w:pPr>
              <w:jc w:val="center"/>
              <w:rPr>
                <w:rFonts w:hint="eastAsia"/>
                <w:lang w:val="en-US" w:eastAsia="zh-CN"/>
              </w:rPr>
            </w:pPr>
            <w:r>
              <w:rPr>
                <w:rFonts w:hint="eastAsia"/>
                <w:lang w:val="en-US" w:eastAsia="zh-CN"/>
              </w:rPr>
              <w:t>1</w:t>
            </w:r>
          </w:p>
        </w:tc>
        <w:tc>
          <w:tcPr>
            <w:tcW w:w="2382" w:type="dxa"/>
            <w:vAlign w:val="center"/>
          </w:tcPr>
          <w:p w14:paraId="6B76D8E2">
            <w:pPr>
              <w:jc w:val="center"/>
              <w:rPr>
                <w:rFonts w:hint="eastAsia"/>
                <w:lang w:val="en-US" w:eastAsia="zh-CN"/>
              </w:rPr>
            </w:pPr>
            <w:r>
              <w:rPr>
                <w:rFonts w:hint="eastAsia"/>
                <w:lang w:val="en-US" w:eastAsia="zh-CN"/>
              </w:rPr>
              <w:t>土大棚</w:t>
            </w:r>
          </w:p>
        </w:tc>
        <w:tc>
          <w:tcPr>
            <w:tcW w:w="1164" w:type="dxa"/>
            <w:vAlign w:val="center"/>
          </w:tcPr>
          <w:p w14:paraId="4F3A27DD">
            <w:pPr>
              <w:jc w:val="center"/>
              <w:rPr>
                <w:rFonts w:hint="eastAsia"/>
                <w:lang w:val="en-US" w:eastAsia="zh-CN"/>
              </w:rPr>
            </w:pPr>
            <w:r>
              <w:rPr>
                <w:rFonts w:hint="eastAsia"/>
                <w:lang w:val="en-US" w:eastAsia="zh-CN"/>
              </w:rPr>
              <w:t>/</w:t>
            </w:r>
          </w:p>
        </w:tc>
        <w:tc>
          <w:tcPr>
            <w:tcW w:w="1421" w:type="dxa"/>
            <w:vAlign w:val="center"/>
          </w:tcPr>
          <w:p w14:paraId="061495F7">
            <w:pPr>
              <w:jc w:val="center"/>
              <w:rPr>
                <w:rFonts w:hint="eastAsia"/>
                <w:lang w:val="en-US" w:eastAsia="zh-CN"/>
              </w:rPr>
            </w:pPr>
            <w:r>
              <w:rPr>
                <w:rFonts w:hint="eastAsia"/>
                <w:lang w:val="en-US" w:eastAsia="zh-CN"/>
              </w:rPr>
              <w:t>19737.66</w:t>
            </w:r>
          </w:p>
        </w:tc>
        <w:tc>
          <w:tcPr>
            <w:tcW w:w="665" w:type="dxa"/>
            <w:vAlign w:val="center"/>
          </w:tcPr>
          <w:p w14:paraId="5A87FC7B">
            <w:pPr>
              <w:jc w:val="center"/>
              <w:rPr>
                <w:rFonts w:hint="eastAsia"/>
                <w:lang w:val="en-US" w:eastAsia="zh-CN"/>
              </w:rPr>
            </w:pPr>
            <w:r>
              <w:rPr>
                <w:rFonts w:hint="eastAsia"/>
                <w:lang w:val="en-US" w:eastAsia="zh-CN"/>
              </w:rPr>
              <w:t>/</w:t>
            </w:r>
          </w:p>
        </w:tc>
        <w:tc>
          <w:tcPr>
            <w:tcW w:w="820" w:type="dxa"/>
            <w:vAlign w:val="center"/>
          </w:tcPr>
          <w:p w14:paraId="19641C2B">
            <w:pPr>
              <w:jc w:val="center"/>
              <w:rPr>
                <w:rFonts w:hint="eastAsia"/>
                <w:lang w:val="en-US" w:eastAsia="zh-CN"/>
              </w:rPr>
            </w:pPr>
            <w:r>
              <w:rPr>
                <w:rFonts w:hint="eastAsia"/>
                <w:lang w:val="en-US" w:eastAsia="zh-CN"/>
              </w:rPr>
              <w:t>/</w:t>
            </w:r>
          </w:p>
        </w:tc>
        <w:tc>
          <w:tcPr>
            <w:tcW w:w="1140" w:type="dxa"/>
            <w:vAlign w:val="center"/>
          </w:tcPr>
          <w:p w14:paraId="5881A859">
            <w:pPr>
              <w:jc w:val="center"/>
              <w:rPr>
                <w:rFonts w:hint="eastAsia"/>
                <w:lang w:val="en-US" w:eastAsia="zh-CN"/>
              </w:rPr>
            </w:pPr>
          </w:p>
        </w:tc>
        <w:tc>
          <w:tcPr>
            <w:tcW w:w="1305" w:type="dxa"/>
            <w:vAlign w:val="center"/>
          </w:tcPr>
          <w:p w14:paraId="72D45D26">
            <w:pPr>
              <w:jc w:val="center"/>
              <w:rPr>
                <w:rFonts w:hint="eastAsia"/>
                <w:lang w:val="en-US" w:eastAsia="zh-CN"/>
              </w:rPr>
            </w:pPr>
          </w:p>
        </w:tc>
      </w:tr>
      <w:tr w14:paraId="1382F1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1" w:hRule="atLeast"/>
        </w:trPr>
        <w:tc>
          <w:tcPr>
            <w:tcW w:w="718" w:type="dxa"/>
            <w:vAlign w:val="center"/>
          </w:tcPr>
          <w:p w14:paraId="5FBD67E3">
            <w:pPr>
              <w:jc w:val="center"/>
              <w:rPr>
                <w:rFonts w:hint="eastAsia"/>
                <w:lang w:val="en-US" w:eastAsia="zh-CN"/>
              </w:rPr>
            </w:pPr>
            <w:r>
              <w:rPr>
                <w:rFonts w:hint="eastAsia"/>
                <w:lang w:val="en-US" w:eastAsia="zh-CN"/>
              </w:rPr>
              <w:t>2</w:t>
            </w:r>
          </w:p>
        </w:tc>
        <w:tc>
          <w:tcPr>
            <w:tcW w:w="2382" w:type="dxa"/>
            <w:vAlign w:val="center"/>
          </w:tcPr>
          <w:p w14:paraId="56A0F85E">
            <w:pPr>
              <w:jc w:val="center"/>
              <w:rPr>
                <w:rFonts w:hint="eastAsia"/>
                <w:lang w:val="en-US" w:eastAsia="zh-CN"/>
              </w:rPr>
            </w:pPr>
            <w:r>
              <w:rPr>
                <w:rFonts w:hint="eastAsia"/>
                <w:lang w:val="en-US" w:eastAsia="zh-CN"/>
              </w:rPr>
              <w:t>彩钢瓦拆除</w:t>
            </w:r>
          </w:p>
        </w:tc>
        <w:tc>
          <w:tcPr>
            <w:tcW w:w="1164" w:type="dxa"/>
            <w:vAlign w:val="center"/>
          </w:tcPr>
          <w:p w14:paraId="1155EFB7">
            <w:pPr>
              <w:jc w:val="center"/>
              <w:rPr>
                <w:rFonts w:hint="eastAsia"/>
                <w:lang w:val="en-US" w:eastAsia="zh-CN"/>
              </w:rPr>
            </w:pPr>
            <w:r>
              <w:rPr>
                <w:rFonts w:hint="eastAsia"/>
                <w:lang w:val="en-US" w:eastAsia="zh-CN"/>
              </w:rPr>
              <w:t>/</w:t>
            </w:r>
          </w:p>
        </w:tc>
        <w:tc>
          <w:tcPr>
            <w:tcW w:w="1421" w:type="dxa"/>
            <w:vAlign w:val="center"/>
          </w:tcPr>
          <w:p w14:paraId="47C93C9E">
            <w:pPr>
              <w:jc w:val="center"/>
              <w:rPr>
                <w:rFonts w:hint="eastAsia"/>
                <w:lang w:val="en-US" w:eastAsia="zh-CN"/>
              </w:rPr>
            </w:pPr>
            <w:r>
              <w:rPr>
                <w:rFonts w:hint="eastAsia"/>
                <w:lang w:val="en-US" w:eastAsia="zh-CN"/>
              </w:rPr>
              <w:t>77957.34</w:t>
            </w:r>
          </w:p>
        </w:tc>
        <w:tc>
          <w:tcPr>
            <w:tcW w:w="665" w:type="dxa"/>
            <w:vAlign w:val="center"/>
          </w:tcPr>
          <w:p w14:paraId="271712F4">
            <w:pPr>
              <w:jc w:val="center"/>
              <w:rPr>
                <w:rFonts w:hint="eastAsia"/>
                <w:lang w:val="en-US" w:eastAsia="zh-CN"/>
              </w:rPr>
            </w:pPr>
            <w:r>
              <w:rPr>
                <w:rFonts w:hint="eastAsia"/>
                <w:lang w:val="en-US" w:eastAsia="zh-CN"/>
              </w:rPr>
              <w:t>/</w:t>
            </w:r>
          </w:p>
        </w:tc>
        <w:tc>
          <w:tcPr>
            <w:tcW w:w="820" w:type="dxa"/>
            <w:vAlign w:val="center"/>
          </w:tcPr>
          <w:p w14:paraId="3767D0DA">
            <w:pPr>
              <w:jc w:val="center"/>
              <w:rPr>
                <w:rFonts w:hint="eastAsia"/>
                <w:lang w:val="en-US" w:eastAsia="zh-CN"/>
              </w:rPr>
            </w:pPr>
            <w:r>
              <w:rPr>
                <w:rFonts w:hint="eastAsia"/>
                <w:lang w:val="en-US" w:eastAsia="zh-CN"/>
              </w:rPr>
              <w:t>/</w:t>
            </w:r>
          </w:p>
        </w:tc>
        <w:tc>
          <w:tcPr>
            <w:tcW w:w="1140" w:type="dxa"/>
            <w:vAlign w:val="center"/>
          </w:tcPr>
          <w:p w14:paraId="01B21B6A">
            <w:pPr>
              <w:jc w:val="center"/>
              <w:rPr>
                <w:rFonts w:hint="eastAsia"/>
                <w:lang w:val="en-US" w:eastAsia="zh-CN"/>
              </w:rPr>
            </w:pPr>
          </w:p>
        </w:tc>
        <w:tc>
          <w:tcPr>
            <w:tcW w:w="1305" w:type="dxa"/>
            <w:vAlign w:val="center"/>
          </w:tcPr>
          <w:p w14:paraId="430A2A1D">
            <w:pPr>
              <w:jc w:val="center"/>
              <w:rPr>
                <w:rFonts w:hint="eastAsia"/>
                <w:lang w:val="en-US" w:eastAsia="zh-CN"/>
              </w:rPr>
            </w:pPr>
          </w:p>
        </w:tc>
      </w:tr>
      <w:tr w14:paraId="2B56B8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718" w:type="dxa"/>
            <w:vAlign w:val="center"/>
          </w:tcPr>
          <w:p w14:paraId="4BCBB36A">
            <w:pPr>
              <w:jc w:val="center"/>
              <w:rPr>
                <w:rFonts w:hint="eastAsia"/>
                <w:lang w:val="en-US" w:eastAsia="zh-CN"/>
              </w:rPr>
            </w:pPr>
            <w:r>
              <w:rPr>
                <w:rFonts w:hint="eastAsia"/>
                <w:lang w:val="en-US" w:eastAsia="zh-CN"/>
              </w:rPr>
              <w:t>3</w:t>
            </w:r>
          </w:p>
        </w:tc>
        <w:tc>
          <w:tcPr>
            <w:tcW w:w="2382" w:type="dxa"/>
            <w:vAlign w:val="center"/>
          </w:tcPr>
          <w:p w14:paraId="31809D9D">
            <w:pPr>
              <w:jc w:val="center"/>
              <w:rPr>
                <w:rFonts w:hint="eastAsia"/>
                <w:lang w:val="en-US" w:eastAsia="zh-CN"/>
              </w:rPr>
            </w:pPr>
            <w:r>
              <w:rPr>
                <w:rFonts w:hint="eastAsia"/>
                <w:lang w:val="en-US" w:eastAsia="zh-CN"/>
              </w:rPr>
              <w:t>水泥地面(破损、清运)</w:t>
            </w:r>
          </w:p>
        </w:tc>
        <w:tc>
          <w:tcPr>
            <w:tcW w:w="1164" w:type="dxa"/>
            <w:vAlign w:val="center"/>
          </w:tcPr>
          <w:p w14:paraId="676EAEB4">
            <w:pPr>
              <w:jc w:val="center"/>
              <w:rPr>
                <w:rFonts w:hint="eastAsia"/>
                <w:lang w:val="en-US" w:eastAsia="zh-CN"/>
              </w:rPr>
            </w:pPr>
            <w:r>
              <w:rPr>
                <w:rFonts w:hint="eastAsia"/>
                <w:lang w:val="en-US" w:eastAsia="zh-CN"/>
              </w:rPr>
              <w:t>/</w:t>
            </w:r>
          </w:p>
        </w:tc>
        <w:tc>
          <w:tcPr>
            <w:tcW w:w="1421" w:type="dxa"/>
            <w:vAlign w:val="center"/>
          </w:tcPr>
          <w:p w14:paraId="68694142">
            <w:pPr>
              <w:jc w:val="center"/>
              <w:rPr>
                <w:rFonts w:hint="eastAsia"/>
                <w:lang w:val="en-US" w:eastAsia="zh-CN"/>
              </w:rPr>
            </w:pPr>
            <w:r>
              <w:rPr>
                <w:rFonts w:hint="eastAsia"/>
                <w:lang w:val="en-US" w:eastAsia="zh-CN"/>
              </w:rPr>
              <w:t>6991.11</w:t>
            </w:r>
          </w:p>
        </w:tc>
        <w:tc>
          <w:tcPr>
            <w:tcW w:w="665" w:type="dxa"/>
            <w:vAlign w:val="center"/>
          </w:tcPr>
          <w:p w14:paraId="718F119E">
            <w:pPr>
              <w:jc w:val="center"/>
              <w:rPr>
                <w:rFonts w:hint="eastAsia"/>
                <w:lang w:val="en-US" w:eastAsia="zh-CN"/>
              </w:rPr>
            </w:pPr>
            <w:r>
              <w:rPr>
                <w:rFonts w:hint="eastAsia"/>
                <w:lang w:val="en-US" w:eastAsia="zh-CN"/>
              </w:rPr>
              <w:t>/</w:t>
            </w:r>
          </w:p>
        </w:tc>
        <w:tc>
          <w:tcPr>
            <w:tcW w:w="820" w:type="dxa"/>
            <w:vAlign w:val="center"/>
          </w:tcPr>
          <w:p w14:paraId="735E8728">
            <w:pPr>
              <w:jc w:val="center"/>
              <w:rPr>
                <w:rFonts w:hint="eastAsia"/>
                <w:lang w:val="en-US" w:eastAsia="zh-CN"/>
              </w:rPr>
            </w:pPr>
            <w:r>
              <w:rPr>
                <w:rFonts w:hint="eastAsia"/>
                <w:lang w:val="en-US" w:eastAsia="zh-CN"/>
              </w:rPr>
              <w:t>/</w:t>
            </w:r>
          </w:p>
        </w:tc>
        <w:tc>
          <w:tcPr>
            <w:tcW w:w="1140" w:type="dxa"/>
            <w:vAlign w:val="center"/>
          </w:tcPr>
          <w:p w14:paraId="3C2007DF">
            <w:pPr>
              <w:jc w:val="center"/>
              <w:rPr>
                <w:rFonts w:hint="eastAsia"/>
                <w:lang w:val="en-US" w:eastAsia="zh-CN"/>
              </w:rPr>
            </w:pPr>
          </w:p>
        </w:tc>
        <w:tc>
          <w:tcPr>
            <w:tcW w:w="1305" w:type="dxa"/>
            <w:vAlign w:val="center"/>
          </w:tcPr>
          <w:p w14:paraId="0090E874">
            <w:pPr>
              <w:jc w:val="center"/>
              <w:rPr>
                <w:rFonts w:hint="eastAsia"/>
                <w:lang w:val="en-US" w:eastAsia="zh-CN"/>
              </w:rPr>
            </w:pPr>
          </w:p>
        </w:tc>
      </w:tr>
      <w:tr w14:paraId="5F5019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718" w:type="dxa"/>
            <w:vAlign w:val="center"/>
          </w:tcPr>
          <w:p w14:paraId="32FE52AA">
            <w:pPr>
              <w:jc w:val="center"/>
              <w:rPr>
                <w:rFonts w:hint="eastAsia"/>
                <w:lang w:val="en-US" w:eastAsia="zh-CN"/>
              </w:rPr>
            </w:pPr>
            <w:r>
              <w:rPr>
                <w:rFonts w:hint="eastAsia"/>
                <w:lang w:val="en-US" w:eastAsia="zh-CN"/>
              </w:rPr>
              <w:t>4</w:t>
            </w:r>
          </w:p>
        </w:tc>
        <w:tc>
          <w:tcPr>
            <w:tcW w:w="2382" w:type="dxa"/>
            <w:vAlign w:val="center"/>
          </w:tcPr>
          <w:p w14:paraId="32EE83A6">
            <w:pPr>
              <w:jc w:val="center"/>
              <w:rPr>
                <w:rFonts w:hint="eastAsia"/>
                <w:lang w:val="en-US" w:eastAsia="zh-CN"/>
              </w:rPr>
            </w:pPr>
            <w:r>
              <w:rPr>
                <w:rFonts w:hint="eastAsia"/>
                <w:lang w:val="en-US" w:eastAsia="zh-CN"/>
              </w:rPr>
              <w:t>U型渠</w:t>
            </w:r>
          </w:p>
        </w:tc>
        <w:tc>
          <w:tcPr>
            <w:tcW w:w="1164" w:type="dxa"/>
            <w:vAlign w:val="center"/>
          </w:tcPr>
          <w:p w14:paraId="3FE2D4D9">
            <w:pPr>
              <w:jc w:val="center"/>
              <w:rPr>
                <w:rFonts w:hint="eastAsia"/>
                <w:lang w:val="en-US" w:eastAsia="zh-CN"/>
              </w:rPr>
            </w:pPr>
            <w:r>
              <w:rPr>
                <w:rFonts w:hint="eastAsia"/>
                <w:lang w:val="en-US" w:eastAsia="zh-CN"/>
              </w:rPr>
              <w:t>/</w:t>
            </w:r>
          </w:p>
        </w:tc>
        <w:tc>
          <w:tcPr>
            <w:tcW w:w="1421" w:type="dxa"/>
            <w:vAlign w:val="center"/>
          </w:tcPr>
          <w:p w14:paraId="549C76FC">
            <w:pPr>
              <w:jc w:val="center"/>
              <w:rPr>
                <w:rFonts w:hint="eastAsia"/>
                <w:lang w:val="en-US" w:eastAsia="zh-CN"/>
              </w:rPr>
            </w:pPr>
            <w:r>
              <w:rPr>
                <w:rFonts w:hint="eastAsia"/>
                <w:lang w:val="en-US" w:eastAsia="zh-CN"/>
              </w:rPr>
              <w:t>/</w:t>
            </w:r>
          </w:p>
        </w:tc>
        <w:tc>
          <w:tcPr>
            <w:tcW w:w="665" w:type="dxa"/>
            <w:vAlign w:val="center"/>
          </w:tcPr>
          <w:p w14:paraId="462F5044">
            <w:pPr>
              <w:jc w:val="center"/>
              <w:rPr>
                <w:rFonts w:hint="eastAsia"/>
                <w:lang w:val="en-US" w:eastAsia="zh-CN"/>
              </w:rPr>
            </w:pPr>
            <w:r>
              <w:rPr>
                <w:rFonts w:hint="eastAsia"/>
                <w:lang w:val="en-US" w:eastAsia="zh-CN"/>
              </w:rPr>
              <w:t>792</w:t>
            </w:r>
          </w:p>
        </w:tc>
        <w:tc>
          <w:tcPr>
            <w:tcW w:w="820" w:type="dxa"/>
            <w:vAlign w:val="center"/>
          </w:tcPr>
          <w:p w14:paraId="4FBBD2CA">
            <w:pPr>
              <w:jc w:val="center"/>
              <w:rPr>
                <w:rFonts w:hint="eastAsia"/>
                <w:lang w:val="en-US" w:eastAsia="zh-CN"/>
              </w:rPr>
            </w:pPr>
            <w:r>
              <w:rPr>
                <w:rFonts w:hint="eastAsia"/>
                <w:lang w:val="en-US" w:eastAsia="zh-CN"/>
              </w:rPr>
              <w:t>/</w:t>
            </w:r>
          </w:p>
        </w:tc>
        <w:tc>
          <w:tcPr>
            <w:tcW w:w="1140" w:type="dxa"/>
            <w:vAlign w:val="center"/>
          </w:tcPr>
          <w:p w14:paraId="115263ED">
            <w:pPr>
              <w:jc w:val="center"/>
              <w:rPr>
                <w:rFonts w:hint="eastAsia"/>
                <w:lang w:val="en-US" w:eastAsia="zh-CN"/>
              </w:rPr>
            </w:pPr>
          </w:p>
        </w:tc>
        <w:tc>
          <w:tcPr>
            <w:tcW w:w="1305" w:type="dxa"/>
            <w:vAlign w:val="center"/>
          </w:tcPr>
          <w:p w14:paraId="798CB9A4">
            <w:pPr>
              <w:jc w:val="center"/>
              <w:rPr>
                <w:rFonts w:hint="eastAsia"/>
                <w:lang w:val="en-US" w:eastAsia="zh-CN"/>
              </w:rPr>
            </w:pPr>
          </w:p>
        </w:tc>
      </w:tr>
      <w:tr w14:paraId="0206E1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718" w:type="dxa"/>
            <w:vAlign w:val="center"/>
          </w:tcPr>
          <w:p w14:paraId="0E503884">
            <w:pPr>
              <w:jc w:val="center"/>
              <w:rPr>
                <w:rFonts w:hint="eastAsia"/>
                <w:lang w:val="en-US" w:eastAsia="zh-CN"/>
              </w:rPr>
            </w:pPr>
            <w:r>
              <w:rPr>
                <w:rFonts w:hint="eastAsia"/>
                <w:lang w:val="en-US" w:eastAsia="zh-CN"/>
              </w:rPr>
              <w:t>5</w:t>
            </w:r>
          </w:p>
        </w:tc>
        <w:tc>
          <w:tcPr>
            <w:tcW w:w="2382" w:type="dxa"/>
            <w:vAlign w:val="center"/>
          </w:tcPr>
          <w:p w14:paraId="26BEAA8C">
            <w:pPr>
              <w:jc w:val="center"/>
              <w:rPr>
                <w:rFonts w:hint="eastAsia"/>
                <w:lang w:val="en-US" w:eastAsia="zh-CN"/>
              </w:rPr>
            </w:pPr>
            <w:r>
              <w:rPr>
                <w:rFonts w:hint="eastAsia"/>
                <w:lang w:val="en-US" w:eastAsia="zh-CN"/>
              </w:rPr>
              <w:t>井房</w:t>
            </w:r>
          </w:p>
        </w:tc>
        <w:tc>
          <w:tcPr>
            <w:tcW w:w="1164" w:type="dxa"/>
            <w:vAlign w:val="center"/>
          </w:tcPr>
          <w:p w14:paraId="6B8D0935">
            <w:pPr>
              <w:jc w:val="center"/>
              <w:rPr>
                <w:rFonts w:hint="eastAsia"/>
                <w:lang w:val="en-US" w:eastAsia="zh-CN"/>
              </w:rPr>
            </w:pPr>
            <w:r>
              <w:rPr>
                <w:rFonts w:hint="eastAsia"/>
                <w:lang w:val="en-US" w:eastAsia="zh-CN"/>
              </w:rPr>
              <w:t>/</w:t>
            </w:r>
          </w:p>
        </w:tc>
        <w:tc>
          <w:tcPr>
            <w:tcW w:w="1421" w:type="dxa"/>
            <w:vAlign w:val="center"/>
          </w:tcPr>
          <w:p w14:paraId="3FF25BFF">
            <w:pPr>
              <w:jc w:val="center"/>
              <w:rPr>
                <w:rFonts w:hint="eastAsia"/>
                <w:lang w:val="en-US" w:eastAsia="zh-CN"/>
              </w:rPr>
            </w:pPr>
            <w:r>
              <w:rPr>
                <w:rFonts w:hint="eastAsia"/>
                <w:lang w:val="en-US" w:eastAsia="zh-CN"/>
              </w:rPr>
              <w:t>78.28</w:t>
            </w:r>
          </w:p>
        </w:tc>
        <w:tc>
          <w:tcPr>
            <w:tcW w:w="665" w:type="dxa"/>
            <w:vAlign w:val="center"/>
          </w:tcPr>
          <w:p w14:paraId="079FFE3B">
            <w:pPr>
              <w:jc w:val="center"/>
              <w:rPr>
                <w:rFonts w:hint="eastAsia"/>
                <w:lang w:val="en-US" w:eastAsia="zh-CN"/>
              </w:rPr>
            </w:pPr>
            <w:r>
              <w:rPr>
                <w:rFonts w:hint="eastAsia"/>
                <w:lang w:val="en-US" w:eastAsia="zh-CN"/>
              </w:rPr>
              <w:t>/</w:t>
            </w:r>
          </w:p>
        </w:tc>
        <w:tc>
          <w:tcPr>
            <w:tcW w:w="820" w:type="dxa"/>
            <w:vAlign w:val="center"/>
          </w:tcPr>
          <w:p w14:paraId="405C2A37">
            <w:pPr>
              <w:jc w:val="center"/>
              <w:rPr>
                <w:rFonts w:hint="eastAsia"/>
                <w:lang w:val="en-US" w:eastAsia="zh-CN"/>
              </w:rPr>
            </w:pPr>
            <w:r>
              <w:rPr>
                <w:rFonts w:hint="eastAsia"/>
                <w:lang w:val="en-US" w:eastAsia="zh-CN"/>
              </w:rPr>
              <w:t>/</w:t>
            </w:r>
          </w:p>
        </w:tc>
        <w:tc>
          <w:tcPr>
            <w:tcW w:w="1140" w:type="dxa"/>
            <w:vAlign w:val="center"/>
          </w:tcPr>
          <w:p w14:paraId="214AC7DA">
            <w:pPr>
              <w:jc w:val="center"/>
              <w:rPr>
                <w:rFonts w:hint="eastAsia"/>
                <w:lang w:val="en-US" w:eastAsia="zh-CN"/>
              </w:rPr>
            </w:pPr>
          </w:p>
        </w:tc>
        <w:tc>
          <w:tcPr>
            <w:tcW w:w="1305" w:type="dxa"/>
            <w:vAlign w:val="center"/>
          </w:tcPr>
          <w:p w14:paraId="4ACD16FC">
            <w:pPr>
              <w:jc w:val="center"/>
              <w:rPr>
                <w:rFonts w:hint="eastAsia"/>
                <w:lang w:val="en-US" w:eastAsia="zh-CN"/>
              </w:rPr>
            </w:pPr>
          </w:p>
        </w:tc>
      </w:tr>
      <w:tr w14:paraId="28A72E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718" w:type="dxa"/>
            <w:vAlign w:val="center"/>
          </w:tcPr>
          <w:p w14:paraId="6EC6EB18">
            <w:pPr>
              <w:jc w:val="center"/>
              <w:rPr>
                <w:rFonts w:hint="eastAsia"/>
                <w:lang w:val="en-US" w:eastAsia="zh-CN"/>
              </w:rPr>
            </w:pPr>
            <w:r>
              <w:rPr>
                <w:rFonts w:hint="eastAsia"/>
                <w:lang w:val="en-US" w:eastAsia="zh-CN"/>
              </w:rPr>
              <w:t>6</w:t>
            </w:r>
          </w:p>
        </w:tc>
        <w:tc>
          <w:tcPr>
            <w:tcW w:w="2382" w:type="dxa"/>
            <w:vAlign w:val="center"/>
          </w:tcPr>
          <w:p w14:paraId="19D61123">
            <w:pPr>
              <w:jc w:val="center"/>
              <w:rPr>
                <w:rFonts w:hint="eastAsia"/>
                <w:lang w:val="en-US" w:eastAsia="zh-CN"/>
              </w:rPr>
            </w:pPr>
            <w:r>
              <w:rPr>
                <w:rFonts w:hint="eastAsia"/>
                <w:lang w:val="en-US" w:eastAsia="zh-CN"/>
              </w:rPr>
              <w:t>2.5.6组清表地亩</w:t>
            </w:r>
          </w:p>
        </w:tc>
        <w:tc>
          <w:tcPr>
            <w:tcW w:w="1164" w:type="dxa"/>
            <w:vAlign w:val="center"/>
          </w:tcPr>
          <w:p w14:paraId="0D903569">
            <w:pPr>
              <w:jc w:val="center"/>
              <w:rPr>
                <w:rFonts w:hint="eastAsia"/>
                <w:lang w:val="en-US" w:eastAsia="zh-CN"/>
              </w:rPr>
            </w:pPr>
            <w:r>
              <w:rPr>
                <w:rFonts w:hint="eastAsia"/>
                <w:lang w:val="en-US" w:eastAsia="zh-CN"/>
              </w:rPr>
              <w:t>131.398</w:t>
            </w:r>
          </w:p>
        </w:tc>
        <w:tc>
          <w:tcPr>
            <w:tcW w:w="1421" w:type="dxa"/>
            <w:vAlign w:val="center"/>
          </w:tcPr>
          <w:p w14:paraId="45820902">
            <w:pPr>
              <w:jc w:val="center"/>
              <w:rPr>
                <w:rFonts w:hint="eastAsia"/>
                <w:lang w:val="en-US" w:eastAsia="zh-CN"/>
              </w:rPr>
            </w:pPr>
            <w:r>
              <w:rPr>
                <w:rFonts w:hint="eastAsia"/>
                <w:lang w:val="en-US" w:eastAsia="zh-CN"/>
              </w:rPr>
              <w:t>/</w:t>
            </w:r>
          </w:p>
        </w:tc>
        <w:tc>
          <w:tcPr>
            <w:tcW w:w="665" w:type="dxa"/>
            <w:vAlign w:val="center"/>
          </w:tcPr>
          <w:p w14:paraId="776FB5A0">
            <w:pPr>
              <w:jc w:val="center"/>
              <w:rPr>
                <w:rFonts w:hint="eastAsia"/>
                <w:lang w:val="en-US" w:eastAsia="zh-CN"/>
              </w:rPr>
            </w:pPr>
            <w:r>
              <w:rPr>
                <w:rFonts w:hint="eastAsia"/>
                <w:lang w:val="en-US" w:eastAsia="zh-CN"/>
              </w:rPr>
              <w:t>/</w:t>
            </w:r>
          </w:p>
        </w:tc>
        <w:tc>
          <w:tcPr>
            <w:tcW w:w="820" w:type="dxa"/>
            <w:vAlign w:val="center"/>
          </w:tcPr>
          <w:p w14:paraId="36177A8B">
            <w:pPr>
              <w:jc w:val="center"/>
              <w:rPr>
                <w:rFonts w:hint="eastAsia"/>
                <w:lang w:val="en-US" w:eastAsia="zh-CN"/>
              </w:rPr>
            </w:pPr>
            <w:r>
              <w:rPr>
                <w:rFonts w:hint="eastAsia"/>
                <w:lang w:val="en-US" w:eastAsia="zh-CN"/>
              </w:rPr>
              <w:t>/</w:t>
            </w:r>
          </w:p>
        </w:tc>
        <w:tc>
          <w:tcPr>
            <w:tcW w:w="1140" w:type="dxa"/>
            <w:vAlign w:val="center"/>
          </w:tcPr>
          <w:p w14:paraId="06AE43FA">
            <w:pPr>
              <w:jc w:val="center"/>
              <w:rPr>
                <w:rFonts w:hint="eastAsia"/>
                <w:lang w:val="en-US" w:eastAsia="zh-CN"/>
              </w:rPr>
            </w:pPr>
          </w:p>
        </w:tc>
        <w:tc>
          <w:tcPr>
            <w:tcW w:w="1305" w:type="dxa"/>
            <w:vAlign w:val="center"/>
          </w:tcPr>
          <w:p w14:paraId="56AD30AC">
            <w:pPr>
              <w:jc w:val="center"/>
              <w:rPr>
                <w:rFonts w:hint="eastAsia"/>
                <w:lang w:val="en-US" w:eastAsia="zh-CN"/>
              </w:rPr>
            </w:pPr>
          </w:p>
        </w:tc>
      </w:tr>
      <w:tr w14:paraId="24B560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718" w:type="dxa"/>
            <w:vAlign w:val="center"/>
          </w:tcPr>
          <w:p w14:paraId="3B6D2312">
            <w:pPr>
              <w:jc w:val="center"/>
              <w:rPr>
                <w:rFonts w:hint="eastAsia"/>
                <w:lang w:val="en-US" w:eastAsia="zh-CN"/>
              </w:rPr>
            </w:pPr>
            <w:r>
              <w:rPr>
                <w:rFonts w:hint="eastAsia"/>
                <w:lang w:val="en-US" w:eastAsia="zh-CN"/>
              </w:rPr>
              <w:t>7</w:t>
            </w:r>
          </w:p>
        </w:tc>
        <w:tc>
          <w:tcPr>
            <w:tcW w:w="2382" w:type="dxa"/>
            <w:vAlign w:val="center"/>
          </w:tcPr>
          <w:p w14:paraId="596B0608">
            <w:pPr>
              <w:jc w:val="center"/>
              <w:rPr>
                <w:rFonts w:hint="eastAsia"/>
                <w:lang w:val="en-US" w:eastAsia="zh-CN"/>
              </w:rPr>
            </w:pPr>
            <w:r>
              <w:rPr>
                <w:rFonts w:hint="eastAsia"/>
                <w:lang w:val="en-US" w:eastAsia="zh-CN"/>
              </w:rPr>
              <w:t>水泥地面下挖50公分</w:t>
            </w:r>
          </w:p>
        </w:tc>
        <w:tc>
          <w:tcPr>
            <w:tcW w:w="1164" w:type="dxa"/>
            <w:vAlign w:val="center"/>
          </w:tcPr>
          <w:p w14:paraId="3034ABE7">
            <w:pPr>
              <w:jc w:val="center"/>
              <w:rPr>
                <w:rFonts w:hint="eastAsia"/>
                <w:lang w:val="en-US" w:eastAsia="zh-CN"/>
              </w:rPr>
            </w:pPr>
            <w:r>
              <w:rPr>
                <w:rFonts w:hint="eastAsia"/>
                <w:lang w:val="en-US" w:eastAsia="zh-CN"/>
              </w:rPr>
              <w:t>/</w:t>
            </w:r>
          </w:p>
        </w:tc>
        <w:tc>
          <w:tcPr>
            <w:tcW w:w="1421" w:type="dxa"/>
            <w:vAlign w:val="center"/>
          </w:tcPr>
          <w:p w14:paraId="691F0426">
            <w:pPr>
              <w:jc w:val="center"/>
              <w:rPr>
                <w:rFonts w:hint="eastAsia"/>
                <w:lang w:val="en-US" w:eastAsia="zh-CN"/>
              </w:rPr>
            </w:pPr>
            <w:r>
              <w:rPr>
                <w:rFonts w:hint="eastAsia"/>
                <w:lang w:val="en-US" w:eastAsia="zh-CN"/>
              </w:rPr>
              <w:t>/</w:t>
            </w:r>
          </w:p>
        </w:tc>
        <w:tc>
          <w:tcPr>
            <w:tcW w:w="665" w:type="dxa"/>
            <w:vAlign w:val="center"/>
          </w:tcPr>
          <w:p w14:paraId="276D5416">
            <w:pPr>
              <w:jc w:val="center"/>
              <w:rPr>
                <w:rFonts w:hint="eastAsia"/>
                <w:lang w:val="en-US" w:eastAsia="zh-CN"/>
              </w:rPr>
            </w:pPr>
            <w:r>
              <w:rPr>
                <w:rFonts w:hint="eastAsia"/>
                <w:lang w:val="en-US" w:eastAsia="zh-CN"/>
              </w:rPr>
              <w:t>/</w:t>
            </w:r>
          </w:p>
        </w:tc>
        <w:tc>
          <w:tcPr>
            <w:tcW w:w="820" w:type="dxa"/>
            <w:vAlign w:val="center"/>
          </w:tcPr>
          <w:p w14:paraId="031C95EC">
            <w:pPr>
              <w:jc w:val="center"/>
              <w:rPr>
                <w:rFonts w:hint="eastAsia"/>
                <w:lang w:val="en-US" w:eastAsia="zh-CN"/>
              </w:rPr>
            </w:pPr>
            <w:r>
              <w:rPr>
                <w:rFonts w:hint="eastAsia"/>
                <w:lang w:val="en-US" w:eastAsia="zh-CN"/>
              </w:rPr>
              <w:t>12594</w:t>
            </w:r>
          </w:p>
        </w:tc>
        <w:tc>
          <w:tcPr>
            <w:tcW w:w="1140" w:type="dxa"/>
            <w:vAlign w:val="center"/>
          </w:tcPr>
          <w:p w14:paraId="7999833D">
            <w:pPr>
              <w:jc w:val="center"/>
              <w:rPr>
                <w:rFonts w:hint="eastAsia"/>
                <w:lang w:val="en-US" w:eastAsia="zh-CN"/>
              </w:rPr>
            </w:pPr>
          </w:p>
        </w:tc>
        <w:tc>
          <w:tcPr>
            <w:tcW w:w="1305" w:type="dxa"/>
            <w:vAlign w:val="center"/>
          </w:tcPr>
          <w:p w14:paraId="326E5310">
            <w:pPr>
              <w:jc w:val="center"/>
              <w:rPr>
                <w:rFonts w:hint="eastAsia"/>
                <w:lang w:val="en-US" w:eastAsia="zh-CN"/>
              </w:rPr>
            </w:pPr>
          </w:p>
        </w:tc>
      </w:tr>
      <w:tr w14:paraId="2F6EA2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trPr>
        <w:tc>
          <w:tcPr>
            <w:tcW w:w="718" w:type="dxa"/>
            <w:vAlign w:val="center"/>
          </w:tcPr>
          <w:p w14:paraId="64C784C9">
            <w:pPr>
              <w:jc w:val="center"/>
              <w:rPr>
                <w:rFonts w:hint="eastAsia"/>
                <w:lang w:val="en-US" w:eastAsia="zh-CN"/>
              </w:rPr>
            </w:pPr>
            <w:r>
              <w:rPr>
                <w:rFonts w:hint="eastAsia"/>
                <w:lang w:val="en-US" w:eastAsia="zh-CN"/>
              </w:rPr>
              <w:t>8</w:t>
            </w:r>
          </w:p>
        </w:tc>
        <w:tc>
          <w:tcPr>
            <w:tcW w:w="7592" w:type="dxa"/>
            <w:gridSpan w:val="6"/>
            <w:vAlign w:val="center"/>
          </w:tcPr>
          <w:p w14:paraId="27060759">
            <w:pPr>
              <w:jc w:val="center"/>
              <w:rPr>
                <w:rFonts w:hint="eastAsia"/>
                <w:lang w:val="en-US" w:eastAsia="zh-CN"/>
              </w:rPr>
            </w:pPr>
            <w:r>
              <w:rPr>
                <w:rFonts w:hint="eastAsia"/>
                <w:lang w:val="en-US" w:eastAsia="zh-CN"/>
              </w:rPr>
              <w:t>合计</w:t>
            </w:r>
          </w:p>
        </w:tc>
        <w:tc>
          <w:tcPr>
            <w:tcW w:w="1305" w:type="dxa"/>
            <w:vAlign w:val="center"/>
          </w:tcPr>
          <w:p w14:paraId="4F2E0A87">
            <w:pPr>
              <w:jc w:val="center"/>
              <w:rPr>
                <w:rFonts w:hint="eastAsia"/>
                <w:lang w:val="en-US" w:eastAsia="zh-CN"/>
              </w:rPr>
            </w:pPr>
          </w:p>
        </w:tc>
      </w:tr>
    </w:tbl>
    <w:p w14:paraId="144D1B71">
      <w:pPr>
        <w:rPr>
          <w:rFonts w:hint="eastAsia"/>
        </w:rPr>
      </w:pPr>
    </w:p>
    <w:p w14:paraId="28E337F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合同总价为：</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元（人民币大写：</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151F9A7C">
      <w:pPr>
        <w:numPr>
          <w:ilvl w:val="0"/>
          <w:numId w:val="1"/>
        </w:numPr>
        <w:spacing w:line="360" w:lineRule="auto"/>
        <w:ind w:left="-60" w:leftChars="0" w:firstLine="480" w:firstLineChars="0"/>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此费用为本项目全部费用，费用包含拆除、开挖、装载、垃圾清理、地块内倒运及外运、倾倒、消纳处置、环保、管理费、规费、增值税等。</w:t>
      </w:r>
    </w:p>
    <w:p w14:paraId="0CB0E53A">
      <w:pPr>
        <w:pStyle w:val="5"/>
        <w:spacing w:line="360" w:lineRule="auto"/>
        <w:ind w:firstLine="472" w:firstLineChars="196"/>
        <w:rPr>
          <w:rFonts w:hint="eastAsia" w:ascii="宋体" w:hAnsi="宋体" w:eastAsia="宋体" w:cs="宋体"/>
          <w:b/>
          <w:sz w:val="24"/>
          <w:szCs w:val="24"/>
          <w:highlight w:val="none"/>
        </w:rPr>
      </w:pPr>
      <w:r>
        <w:rPr>
          <w:rFonts w:hint="eastAsia" w:ascii="宋体" w:hAnsi="宋体" w:eastAsia="宋体" w:cs="宋体"/>
          <w:b/>
          <w:sz w:val="24"/>
          <w:szCs w:val="24"/>
          <w:highlight w:val="none"/>
        </w:rPr>
        <w:t>五、付款方式</w:t>
      </w:r>
    </w:p>
    <w:p w14:paraId="13C7FFF6">
      <w:pPr>
        <w:numPr>
          <w:ilvl w:val="0"/>
          <w:numId w:val="0"/>
        </w:num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合同签订后15个工作日内采购人支付成交供应商合同价款的30%作为项目预付款，供应商提供同等金额增值税发票；待整体清表工作完成后，采购人支付供应商至合同价款的80%，供应商提供同等金额增值税发票；项目验收合格后成交供应商报送结算资料，结算资料经采购人审定后15个工作日内支付供应商剩余价款，供应商提供同等金额增值税发票。</w:t>
      </w:r>
    </w:p>
    <w:p w14:paraId="36A40338">
      <w:pPr>
        <w:keepNext w:val="0"/>
        <w:keepLines w:val="0"/>
        <w:pageBreakBefore w:val="0"/>
        <w:widowControl w:val="0"/>
        <w:kinsoku/>
        <w:wordWrap/>
        <w:overflowPunct/>
        <w:topLinePunct w:val="0"/>
        <w:autoSpaceDE/>
        <w:autoSpaceDN/>
        <w:bidi w:val="0"/>
        <w:adjustRightInd/>
        <w:snapToGrid/>
        <w:spacing w:line="430" w:lineRule="exact"/>
        <w:ind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rPr>
        <w:t>六、违约责任</w:t>
      </w:r>
    </w:p>
    <w:p w14:paraId="798F31BA">
      <w:pPr>
        <w:keepNext w:val="0"/>
        <w:keepLines w:val="0"/>
        <w:pageBreakBefore w:val="0"/>
        <w:widowControl w:val="0"/>
        <w:kinsoku/>
        <w:wordWrap/>
        <w:overflowPunct/>
        <w:topLinePunct w:val="0"/>
        <w:autoSpaceDE/>
        <w:autoSpaceDN/>
        <w:bidi w:val="0"/>
        <w:adjustRightInd/>
        <w:snapToGrid/>
        <w:spacing w:line="43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（一）</w:t>
      </w:r>
      <w:r>
        <w:rPr>
          <w:rFonts w:hint="eastAsia" w:ascii="宋体" w:hAnsi="宋体" w:eastAsia="宋体" w:cs="宋体"/>
          <w:sz w:val="24"/>
          <w:szCs w:val="24"/>
          <w:highlight w:val="none"/>
          <w:lang w:val="en-US" w:eastAsia="zh-CN"/>
        </w:rPr>
        <w:t>如遇以下情况之一，甲方有权对乙方进行处罚：</w:t>
      </w:r>
    </w:p>
    <w:p w14:paraId="047F11AD">
      <w:pPr>
        <w:keepNext w:val="0"/>
        <w:keepLines w:val="0"/>
        <w:pageBreakBefore w:val="0"/>
        <w:widowControl w:val="0"/>
        <w:kinsoku/>
        <w:wordWrap/>
        <w:overflowPunct/>
        <w:topLinePunct w:val="0"/>
        <w:autoSpaceDE/>
        <w:autoSpaceDN/>
        <w:bidi w:val="0"/>
        <w:adjustRightInd/>
        <w:snapToGrid/>
        <w:spacing w:line="43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1、未按发包人要求的质量、标准完成</w:t>
      </w:r>
      <w:r>
        <w:rPr>
          <w:rFonts w:hint="eastAsia" w:ascii="宋体" w:hAnsi="宋体" w:cs="宋体"/>
          <w:sz w:val="24"/>
          <w:szCs w:val="24"/>
          <w:highlight w:val="none"/>
          <w:lang w:val="en-US" w:eastAsia="zh-CN"/>
        </w:rPr>
        <w:t>清表、土地平整及</w:t>
      </w:r>
      <w:r>
        <w:rPr>
          <w:rFonts w:hint="eastAsia" w:ascii="宋体" w:hAnsi="宋体" w:eastAsia="宋体" w:cs="宋体"/>
          <w:sz w:val="24"/>
          <w:szCs w:val="24"/>
          <w:highlight w:val="none"/>
          <w:lang w:val="en-US" w:eastAsia="zh-CN"/>
        </w:rPr>
        <w:t>渣土拉运任务的；</w:t>
      </w:r>
    </w:p>
    <w:p w14:paraId="4988303D">
      <w:pPr>
        <w:keepNext w:val="0"/>
        <w:keepLines w:val="0"/>
        <w:pageBreakBefore w:val="0"/>
        <w:widowControl w:val="0"/>
        <w:kinsoku/>
        <w:wordWrap/>
        <w:overflowPunct/>
        <w:topLinePunct w:val="0"/>
        <w:autoSpaceDE/>
        <w:autoSpaceDN/>
        <w:bidi w:val="0"/>
        <w:adjustRightInd/>
        <w:snapToGrid/>
        <w:spacing w:line="43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w:t>
      </w:r>
      <w:r>
        <w:rPr>
          <w:rFonts w:hint="eastAsia" w:ascii="宋体" w:hAnsi="宋体" w:cs="宋体"/>
          <w:sz w:val="24"/>
          <w:szCs w:val="24"/>
          <w:highlight w:val="none"/>
          <w:lang w:val="en-US" w:eastAsia="zh-CN"/>
        </w:rPr>
        <w:t>清表</w:t>
      </w:r>
      <w:r>
        <w:rPr>
          <w:rFonts w:hint="eastAsia" w:ascii="宋体" w:hAnsi="宋体" w:cs="宋体"/>
          <w:sz w:val="24"/>
          <w:szCs w:val="24"/>
          <w:highlight w:val="none"/>
          <w:lang w:val="en-US" w:eastAsia="zh-CN"/>
        </w:rPr>
        <w:t>、土地平整及</w:t>
      </w:r>
      <w:r>
        <w:rPr>
          <w:rFonts w:hint="eastAsia" w:ascii="宋体" w:hAnsi="宋体" w:eastAsia="宋体" w:cs="宋体"/>
          <w:sz w:val="24"/>
          <w:szCs w:val="24"/>
          <w:highlight w:val="none"/>
          <w:lang w:val="en-US" w:eastAsia="zh-CN"/>
        </w:rPr>
        <w:t>渣土拉运过程中出现安全事故的；</w:t>
      </w:r>
    </w:p>
    <w:p w14:paraId="73DCA818">
      <w:pPr>
        <w:keepNext w:val="0"/>
        <w:keepLines w:val="0"/>
        <w:pageBreakBefore w:val="0"/>
        <w:widowControl w:val="0"/>
        <w:kinsoku/>
        <w:wordWrap/>
        <w:overflowPunct/>
        <w:topLinePunct w:val="0"/>
        <w:autoSpaceDE/>
        <w:autoSpaceDN/>
        <w:bidi w:val="0"/>
        <w:adjustRightInd/>
        <w:snapToGrid/>
        <w:spacing w:line="43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w:t>
      </w:r>
      <w:r>
        <w:rPr>
          <w:rFonts w:hint="eastAsia" w:ascii="宋体" w:hAnsi="宋体" w:cs="宋体"/>
          <w:sz w:val="24"/>
          <w:szCs w:val="24"/>
          <w:highlight w:val="none"/>
          <w:lang w:val="en-US" w:eastAsia="zh-CN"/>
        </w:rPr>
        <w:t>清表</w:t>
      </w:r>
      <w:r>
        <w:rPr>
          <w:rFonts w:hint="eastAsia" w:ascii="宋体" w:hAnsi="宋体" w:cs="宋体"/>
          <w:sz w:val="24"/>
          <w:szCs w:val="24"/>
          <w:highlight w:val="none"/>
          <w:lang w:val="en-US" w:eastAsia="zh-CN"/>
        </w:rPr>
        <w:t>、土地平整及</w:t>
      </w:r>
      <w:r>
        <w:rPr>
          <w:rFonts w:hint="eastAsia" w:ascii="宋体" w:hAnsi="宋体" w:eastAsia="宋体" w:cs="宋体"/>
          <w:sz w:val="24"/>
          <w:szCs w:val="24"/>
          <w:highlight w:val="none"/>
          <w:lang w:val="en-US" w:eastAsia="zh-CN"/>
        </w:rPr>
        <w:t>渣土拉运过程中出现污染环境的；</w:t>
      </w:r>
    </w:p>
    <w:p w14:paraId="7156BCCF">
      <w:pPr>
        <w:keepNext w:val="0"/>
        <w:keepLines w:val="0"/>
        <w:pageBreakBefore w:val="0"/>
        <w:widowControl w:val="0"/>
        <w:kinsoku/>
        <w:wordWrap/>
        <w:overflowPunct/>
        <w:topLinePunct w:val="0"/>
        <w:autoSpaceDE/>
        <w:autoSpaceDN/>
        <w:bidi w:val="0"/>
        <w:adjustRightInd/>
        <w:snapToGrid/>
        <w:spacing w:line="43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4、违反管理部门命令、规定和要求的。</w:t>
      </w:r>
    </w:p>
    <w:p w14:paraId="50A97D04">
      <w:pPr>
        <w:keepNext w:val="0"/>
        <w:keepLines w:val="0"/>
        <w:pageBreakBefore w:val="0"/>
        <w:widowControl w:val="0"/>
        <w:kinsoku/>
        <w:wordWrap/>
        <w:overflowPunct/>
        <w:topLinePunct w:val="0"/>
        <w:autoSpaceDE/>
        <w:autoSpaceDN/>
        <w:bidi w:val="0"/>
        <w:adjustRightInd/>
        <w:snapToGrid/>
        <w:spacing w:line="43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（二）</w:t>
      </w:r>
      <w:r>
        <w:rPr>
          <w:rFonts w:hint="eastAsia" w:ascii="宋体" w:hAnsi="宋体" w:eastAsia="宋体" w:cs="宋体"/>
          <w:sz w:val="24"/>
          <w:szCs w:val="24"/>
          <w:highlight w:val="none"/>
          <w:lang w:val="en-US" w:eastAsia="zh-CN"/>
        </w:rPr>
        <w:t>乙方工期每推迟一天应向甲方支付合同总价万分之五的违约金；迟延超过30天的，甲方有权解除合同，乙方无权要求甲方支付剩余款项并应向甲方支付合同总价5%的违约金；因客观因素造成停工的，根据停工时间，合同期限自动顺延。</w:t>
      </w:r>
    </w:p>
    <w:p w14:paraId="1ABCB412">
      <w:pPr>
        <w:keepNext w:val="0"/>
        <w:keepLines w:val="0"/>
        <w:pageBreakBefore w:val="0"/>
        <w:widowControl w:val="0"/>
        <w:kinsoku/>
        <w:wordWrap/>
        <w:overflowPunct/>
        <w:topLinePunct w:val="0"/>
        <w:autoSpaceDE/>
        <w:autoSpaceDN/>
        <w:bidi w:val="0"/>
        <w:adjustRightInd/>
        <w:snapToGrid/>
        <w:spacing w:line="43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三）若乙方未按照治污减霾和防尘降噪的相关规定，做好现场管理，经上级部门检查后予以通报批评或被相关媒体报道，累计三次以上，甲方有权解除合同且对已完成部分不予以结算，同时乙方应赔偿甲方因此产生的全部损失。</w:t>
      </w:r>
    </w:p>
    <w:p w14:paraId="32A6F602">
      <w:pPr>
        <w:keepNext w:val="0"/>
        <w:keepLines w:val="0"/>
        <w:pageBreakBefore w:val="0"/>
        <w:widowControl w:val="0"/>
        <w:kinsoku/>
        <w:wordWrap/>
        <w:overflowPunct/>
        <w:topLinePunct w:val="0"/>
        <w:autoSpaceDE/>
        <w:autoSpaceDN/>
        <w:bidi w:val="0"/>
        <w:adjustRightInd/>
        <w:snapToGrid/>
        <w:spacing w:line="430" w:lineRule="exact"/>
        <w:ind w:firstLine="480" w:firstLineChars="20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（四）清理渣土拉运必须运至</w:t>
      </w:r>
      <w:r>
        <w:rPr>
          <w:rFonts w:hint="eastAsia" w:ascii="宋体" w:hAnsi="宋体" w:cs="宋体"/>
          <w:sz w:val="24"/>
          <w:szCs w:val="24"/>
          <w:highlight w:val="none"/>
          <w:lang w:eastAsia="zh-CN"/>
        </w:rPr>
        <w:t>西安市高陵区</w:t>
      </w:r>
      <w:r>
        <w:rPr>
          <w:rFonts w:hint="eastAsia" w:ascii="宋体" w:hAnsi="宋体" w:eastAsia="宋体" w:cs="宋体"/>
          <w:sz w:val="24"/>
          <w:szCs w:val="24"/>
          <w:highlight w:val="none"/>
        </w:rPr>
        <w:t>有关部门指定的建筑垃圾消纳场地。</w:t>
      </w:r>
      <w:r>
        <w:rPr>
          <w:rFonts w:hint="eastAsia" w:ascii="宋体" w:hAnsi="宋体" w:cs="宋体"/>
          <w:sz w:val="24"/>
          <w:szCs w:val="24"/>
          <w:highlight w:val="none"/>
          <w:lang w:val="en-US" w:eastAsia="zh-CN"/>
        </w:rPr>
        <w:t>未按要求拉运至指定消纳场所，被相关部门处罚的，相关法律和经济责任均由乙方自行承担。</w:t>
      </w:r>
    </w:p>
    <w:p w14:paraId="32B85C43">
      <w:pPr>
        <w:keepNext w:val="0"/>
        <w:keepLines w:val="0"/>
        <w:pageBreakBefore w:val="0"/>
        <w:widowControl w:val="0"/>
        <w:kinsoku/>
        <w:wordWrap/>
        <w:overflowPunct/>
        <w:topLinePunct w:val="0"/>
        <w:autoSpaceDE/>
        <w:autoSpaceDN/>
        <w:bidi w:val="0"/>
        <w:adjustRightInd/>
        <w:snapToGrid/>
        <w:spacing w:line="43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（五）未能完全履行合同义务的，情况严重的，乙方</w:t>
      </w:r>
      <w:r>
        <w:rPr>
          <w:rFonts w:hint="eastAsia" w:ascii="宋体" w:hAnsi="宋体" w:cs="宋体"/>
          <w:sz w:val="24"/>
          <w:szCs w:val="24"/>
          <w:highlight w:val="none"/>
          <w:lang w:val="en-US" w:eastAsia="zh-CN"/>
        </w:rPr>
        <w:t>应按合同总价的20%</w:t>
      </w:r>
      <w:r>
        <w:rPr>
          <w:rFonts w:hint="eastAsia" w:ascii="宋体" w:hAnsi="宋体" w:eastAsia="宋体" w:cs="宋体"/>
          <w:sz w:val="24"/>
          <w:szCs w:val="24"/>
          <w:highlight w:val="none"/>
        </w:rPr>
        <w:t>承担违约责任，甲方有权解除合同。</w:t>
      </w:r>
    </w:p>
    <w:p w14:paraId="7CAF5F1D">
      <w:pPr>
        <w:keepNext w:val="0"/>
        <w:keepLines w:val="0"/>
        <w:pageBreakBefore w:val="0"/>
        <w:widowControl w:val="0"/>
        <w:kinsoku/>
        <w:wordWrap/>
        <w:overflowPunct/>
        <w:topLinePunct w:val="0"/>
        <w:autoSpaceDE/>
        <w:autoSpaceDN/>
        <w:bidi w:val="0"/>
        <w:adjustRightInd/>
        <w:snapToGrid/>
        <w:spacing w:line="43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（六）甲方应按时向乙方支付工程款，逾期应按国家规定承担违约责任。</w:t>
      </w:r>
    </w:p>
    <w:p w14:paraId="273CC4A4">
      <w:pPr>
        <w:pStyle w:val="5"/>
        <w:keepNext w:val="0"/>
        <w:keepLines w:val="0"/>
        <w:pageBreakBefore w:val="0"/>
        <w:widowControl w:val="0"/>
        <w:kinsoku/>
        <w:wordWrap/>
        <w:overflowPunct/>
        <w:topLinePunct w:val="0"/>
        <w:autoSpaceDE/>
        <w:autoSpaceDN/>
        <w:bidi w:val="0"/>
        <w:adjustRightInd/>
        <w:snapToGrid/>
        <w:spacing w:line="430" w:lineRule="exact"/>
        <w:ind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七、其他约定</w:t>
      </w:r>
    </w:p>
    <w:p w14:paraId="6762E261">
      <w:pPr>
        <w:keepNext w:val="0"/>
        <w:keepLines w:val="0"/>
        <w:pageBreakBefore w:val="0"/>
        <w:widowControl w:val="0"/>
        <w:kinsoku/>
        <w:wordWrap/>
        <w:overflowPunct/>
        <w:topLinePunct w:val="0"/>
        <w:autoSpaceDE/>
        <w:autoSpaceDN/>
        <w:bidi w:val="0"/>
        <w:adjustRightInd/>
        <w:snapToGrid/>
        <w:spacing w:line="430" w:lineRule="exact"/>
        <w:ind w:firstLine="480" w:firstLineChars="200"/>
        <w:textAlignment w:val="auto"/>
        <w:rPr>
          <w:rFonts w:hint="eastAsia" w:ascii="宋体" w:hAnsi="宋体" w:eastAsia="宋体" w:cs="宋体"/>
          <w:i/>
          <w:sz w:val="24"/>
          <w:szCs w:val="24"/>
          <w:highlight w:val="none"/>
          <w:u w:val="single"/>
        </w:rPr>
      </w:pPr>
      <w:r>
        <w:rPr>
          <w:rFonts w:hint="eastAsia" w:ascii="宋体" w:hAnsi="宋体" w:eastAsia="宋体" w:cs="宋体"/>
          <w:i/>
          <w:sz w:val="24"/>
          <w:szCs w:val="24"/>
          <w:highlight w:val="none"/>
        </w:rPr>
        <w:t xml:space="preserve">  </w:t>
      </w:r>
      <w:r>
        <w:rPr>
          <w:rFonts w:hint="eastAsia" w:ascii="宋体" w:hAnsi="宋体" w:eastAsia="宋体" w:cs="宋体"/>
          <w:i/>
          <w:sz w:val="24"/>
          <w:szCs w:val="24"/>
          <w:highlight w:val="none"/>
          <w:u w:val="single"/>
        </w:rPr>
        <w:t xml:space="preserve">                                                         </w:t>
      </w:r>
    </w:p>
    <w:p w14:paraId="2149DE5E">
      <w:pPr>
        <w:pStyle w:val="5"/>
        <w:keepNext w:val="0"/>
        <w:keepLines w:val="0"/>
        <w:pageBreakBefore w:val="0"/>
        <w:widowControl w:val="0"/>
        <w:kinsoku/>
        <w:wordWrap/>
        <w:overflowPunct/>
        <w:topLinePunct w:val="0"/>
        <w:autoSpaceDE/>
        <w:autoSpaceDN/>
        <w:bidi w:val="0"/>
        <w:adjustRightInd/>
        <w:snapToGrid/>
        <w:spacing w:line="430" w:lineRule="exact"/>
        <w:ind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八、争议</w:t>
      </w:r>
    </w:p>
    <w:p w14:paraId="63157BD8">
      <w:pPr>
        <w:keepNext w:val="0"/>
        <w:keepLines w:val="0"/>
        <w:pageBreakBefore w:val="0"/>
        <w:widowControl w:val="0"/>
        <w:kinsoku/>
        <w:wordWrap/>
        <w:overflowPunct/>
        <w:topLinePunct w:val="0"/>
        <w:autoSpaceDE/>
        <w:autoSpaceDN/>
        <w:bidi w:val="0"/>
        <w:adjustRightInd/>
        <w:snapToGrid/>
        <w:spacing w:line="43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本合同履行过程中若发生争议，双方应友好协商解决。协商不成的，提交甲方所在地有管辖权的法院诉讼解决。</w:t>
      </w:r>
    </w:p>
    <w:p w14:paraId="0595B779">
      <w:pPr>
        <w:pStyle w:val="5"/>
        <w:keepNext w:val="0"/>
        <w:keepLines w:val="0"/>
        <w:pageBreakBefore w:val="0"/>
        <w:widowControl w:val="0"/>
        <w:kinsoku/>
        <w:wordWrap/>
        <w:overflowPunct/>
        <w:topLinePunct w:val="0"/>
        <w:autoSpaceDE/>
        <w:autoSpaceDN/>
        <w:bidi w:val="0"/>
        <w:adjustRightInd/>
        <w:snapToGrid/>
        <w:spacing w:line="430" w:lineRule="exact"/>
        <w:ind w:firstLine="482" w:firstLineChars="200"/>
        <w:textAlignment w:val="auto"/>
        <w:rPr>
          <w:rFonts w:hint="eastAsia" w:ascii="宋体" w:hAnsi="宋体" w:eastAsia="宋体" w:cs="宋体"/>
          <w:color w:val="000000"/>
          <w:sz w:val="24"/>
          <w:szCs w:val="24"/>
          <w:highlight w:val="none"/>
          <w:shd w:val="clear" w:color="FFFFFF" w:fill="D9D9D9"/>
        </w:rPr>
      </w:pPr>
      <w:r>
        <w:rPr>
          <w:rFonts w:hint="eastAsia" w:ascii="宋体" w:hAnsi="宋体" w:eastAsia="宋体" w:cs="宋体"/>
          <w:b/>
          <w:sz w:val="24"/>
          <w:szCs w:val="24"/>
          <w:highlight w:val="none"/>
        </w:rPr>
        <w:t>九、</w:t>
      </w:r>
      <w:r>
        <w:rPr>
          <w:rFonts w:hint="eastAsia" w:ascii="宋体" w:hAnsi="宋体" w:eastAsia="宋体" w:cs="宋体"/>
          <w:color w:val="000000"/>
          <w:sz w:val="24"/>
          <w:szCs w:val="24"/>
          <w:highlight w:val="none"/>
        </w:rPr>
        <w:t>本合</w:t>
      </w:r>
      <w:r>
        <w:rPr>
          <w:rFonts w:hint="eastAsia" w:ascii="宋体" w:hAnsi="宋体" w:eastAsia="宋体" w:cs="宋体"/>
          <w:sz w:val="24"/>
          <w:szCs w:val="24"/>
          <w:highlight w:val="none"/>
        </w:rPr>
        <w:t>同经双方签</w:t>
      </w:r>
      <w:r>
        <w:rPr>
          <w:rFonts w:hint="eastAsia" w:ascii="宋体" w:hAnsi="宋体" w:eastAsia="宋体" w:cs="宋体"/>
          <w:color w:val="000000"/>
          <w:sz w:val="24"/>
          <w:szCs w:val="24"/>
          <w:highlight w:val="none"/>
        </w:rPr>
        <w:t>字盖章后生效</w:t>
      </w:r>
      <w:r>
        <w:rPr>
          <w:rFonts w:hint="eastAsia" w:ascii="宋体" w:hAnsi="宋体" w:eastAsia="宋体" w:cs="宋体"/>
          <w:sz w:val="24"/>
          <w:szCs w:val="24"/>
          <w:highlight w:val="none"/>
        </w:rPr>
        <w:t>，一式陆份，甲方执肆份，乙方执贰份</w:t>
      </w:r>
      <w:r>
        <w:rPr>
          <w:rFonts w:hint="eastAsia" w:ascii="宋体" w:hAnsi="宋体" w:eastAsia="宋体" w:cs="宋体"/>
          <w:bCs/>
          <w:color w:val="000000"/>
          <w:sz w:val="24"/>
          <w:szCs w:val="24"/>
          <w:highlight w:val="none"/>
        </w:rPr>
        <w:t>，</w:t>
      </w:r>
      <w:r>
        <w:rPr>
          <w:rFonts w:hint="eastAsia" w:ascii="宋体" w:hAnsi="宋体" w:eastAsia="宋体" w:cs="宋体"/>
          <w:color w:val="000000"/>
          <w:sz w:val="24"/>
          <w:szCs w:val="24"/>
          <w:highlight w:val="none"/>
        </w:rPr>
        <w:t>具有同等法律效力。</w:t>
      </w:r>
    </w:p>
    <w:p w14:paraId="7A3C81F8">
      <w:pPr>
        <w:pStyle w:val="5"/>
        <w:keepNext w:val="0"/>
        <w:keepLines w:val="0"/>
        <w:pageBreakBefore w:val="0"/>
        <w:widowControl w:val="0"/>
        <w:kinsoku/>
        <w:wordWrap/>
        <w:overflowPunct/>
        <w:topLinePunct w:val="0"/>
        <w:autoSpaceDE/>
        <w:autoSpaceDN/>
        <w:bidi w:val="0"/>
        <w:adjustRightInd/>
        <w:snapToGrid/>
        <w:spacing w:line="430" w:lineRule="exact"/>
        <w:ind w:firstLine="482" w:firstLineChars="200"/>
        <w:textAlignment w:val="auto"/>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rPr>
        <w:t>十、</w:t>
      </w:r>
      <w:r>
        <w:rPr>
          <w:rFonts w:hint="eastAsia" w:ascii="宋体" w:hAnsi="宋体" w:eastAsia="宋体" w:cs="宋体"/>
          <w:color w:val="000000"/>
          <w:sz w:val="24"/>
          <w:szCs w:val="24"/>
          <w:highlight w:val="none"/>
        </w:rPr>
        <w:t>本合同中未尽事宜双方另行协商解决。</w:t>
      </w:r>
    </w:p>
    <w:p w14:paraId="2443B932">
      <w:pPr>
        <w:pStyle w:val="5"/>
        <w:keepNext w:val="0"/>
        <w:keepLines w:val="0"/>
        <w:pageBreakBefore w:val="0"/>
        <w:widowControl w:val="0"/>
        <w:kinsoku/>
        <w:wordWrap/>
        <w:overflowPunct/>
        <w:topLinePunct w:val="0"/>
        <w:autoSpaceDE/>
        <w:autoSpaceDN/>
        <w:bidi w:val="0"/>
        <w:adjustRightInd/>
        <w:snapToGrid/>
        <w:spacing w:line="430" w:lineRule="exact"/>
        <w:ind w:firstLine="480" w:firstLineChars="200"/>
        <w:textAlignment w:val="auto"/>
        <w:rPr>
          <w:rFonts w:hint="eastAsia" w:ascii="宋体" w:hAnsi="宋体" w:eastAsia="宋体" w:cs="宋体"/>
          <w:sz w:val="24"/>
          <w:szCs w:val="24"/>
          <w:highlight w:val="none"/>
        </w:rPr>
      </w:pPr>
    </w:p>
    <w:p w14:paraId="16180AC7">
      <w:pPr>
        <w:pStyle w:val="5"/>
        <w:keepNext w:val="0"/>
        <w:keepLines w:val="0"/>
        <w:pageBreakBefore w:val="0"/>
        <w:widowControl w:val="0"/>
        <w:kinsoku/>
        <w:wordWrap/>
        <w:overflowPunct/>
        <w:topLinePunct w:val="0"/>
        <w:autoSpaceDE/>
        <w:autoSpaceDN/>
        <w:bidi w:val="0"/>
        <w:adjustRightInd/>
        <w:snapToGrid/>
        <w:spacing w:line="430" w:lineRule="exact"/>
        <w:ind w:firstLine="480" w:firstLineChars="200"/>
        <w:textAlignment w:val="auto"/>
        <w:rPr>
          <w:rFonts w:hint="eastAsia" w:ascii="宋体" w:hAnsi="宋体" w:eastAsia="宋体" w:cs="宋体"/>
          <w:sz w:val="24"/>
          <w:szCs w:val="24"/>
          <w:highlight w:val="none"/>
        </w:rPr>
      </w:pPr>
    </w:p>
    <w:p w14:paraId="44561A89">
      <w:pPr>
        <w:pStyle w:val="5"/>
        <w:keepNext w:val="0"/>
        <w:keepLines w:val="0"/>
        <w:pageBreakBefore w:val="0"/>
        <w:widowControl w:val="0"/>
        <w:kinsoku/>
        <w:wordWrap/>
        <w:overflowPunct/>
        <w:topLinePunct w:val="0"/>
        <w:autoSpaceDE/>
        <w:autoSpaceDN/>
        <w:bidi w:val="0"/>
        <w:adjustRightInd/>
        <w:snapToGrid/>
        <w:spacing w:line="43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（以下无正文）</w:t>
      </w:r>
    </w:p>
    <w:p w14:paraId="233E152F">
      <w:pPr>
        <w:spacing w:line="360" w:lineRule="auto"/>
        <w:ind w:firstLine="480" w:firstLineChars="200"/>
        <w:rPr>
          <w:rFonts w:hint="eastAsia" w:ascii="宋体" w:hAnsi="宋体" w:eastAsia="宋体" w:cs="宋体"/>
          <w:sz w:val="24"/>
          <w:szCs w:val="24"/>
          <w:highlight w:val="none"/>
        </w:rPr>
      </w:pPr>
    </w:p>
    <w:p w14:paraId="52833AF4">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甲  方:（盖章）                乙  方:（盖章）</w:t>
      </w:r>
    </w:p>
    <w:p w14:paraId="1C4A3E00">
      <w:pPr>
        <w:spacing w:before="100" w:beforeAutospacing="1" w:after="100" w:afterAutospacing="1"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                   法定代表人或</w:t>
      </w:r>
    </w:p>
    <w:p w14:paraId="4E42417F">
      <w:pPr>
        <w:spacing w:before="100" w:beforeAutospacing="1" w:after="100" w:afterAutospacing="1"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委托代理人：（签章）            委托代理人：（签章）             </w:t>
      </w:r>
    </w:p>
    <w:p w14:paraId="47AF5E65">
      <w:pPr>
        <w:rPr>
          <w:rFonts w:hint="eastAsia" w:ascii="宋体" w:hAnsi="宋体" w:eastAsia="宋体" w:cs="宋体"/>
          <w:sz w:val="24"/>
          <w:highlight w:val="none"/>
        </w:rPr>
      </w:pPr>
      <w:r>
        <w:rPr>
          <w:rFonts w:hint="eastAsia" w:ascii="宋体" w:hAnsi="宋体" w:eastAsia="宋体" w:cs="宋体"/>
          <w:sz w:val="24"/>
          <w:szCs w:val="24"/>
          <w:highlight w:val="none"/>
        </w:rPr>
        <w:t xml:space="preserve"> </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rPr>
        <w:t xml:space="preserve">签定日期：      年    月   </w:t>
      </w:r>
      <w:r>
        <w:rPr>
          <w:rFonts w:hint="eastAsia" w:ascii="宋体" w:hAnsi="宋体" w:eastAsia="宋体" w:cs="宋体"/>
          <w:sz w:val="24"/>
          <w:szCs w:val="24"/>
          <w:highlight w:val="none"/>
          <w:lang w:eastAsia="zh-CN"/>
        </w:rPr>
        <w:t>日</w:t>
      </w:r>
    </w:p>
    <w:p w14:paraId="39282791"/>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90ED87"/>
    <w:multiLevelType w:val="singleLevel"/>
    <w:tmpl w:val="D390ED87"/>
    <w:lvl w:ilvl="0" w:tentative="0">
      <w:start w:val="2"/>
      <w:numFmt w:val="decimal"/>
      <w:suff w:val="nothing"/>
      <w:lvlText w:val="%1、"/>
      <w:lvlJc w:val="left"/>
      <w:pPr>
        <w:ind w:left="-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E31DE1"/>
    <w:rsid w:val="7BE31D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4"/>
    <w:basedOn w:val="1"/>
    <w:next w:val="1"/>
    <w:qFormat/>
    <w:uiPriority w:val="0"/>
    <w:pPr>
      <w:keepNext/>
      <w:keepLines/>
      <w:spacing w:before="280" w:beforeLines="0" w:after="290" w:afterLines="0" w:line="372" w:lineRule="auto"/>
      <w:outlineLvl w:val="3"/>
    </w:pPr>
    <w:rPr>
      <w:rFonts w:ascii="Cambria" w:hAnsi="Cambria"/>
      <w:b/>
      <w:bCs/>
      <w:sz w:val="28"/>
      <w:szCs w:val="28"/>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spacing w:line="300" w:lineRule="auto"/>
      <w:ind w:firstLine="420" w:firstLineChars="200"/>
    </w:pPr>
    <w:rPr>
      <w:rFonts w:ascii="Times New Roman"/>
      <w:kern w:val="2"/>
      <w:sz w:val="21"/>
      <w:szCs w:val="24"/>
    </w:rPr>
  </w:style>
  <w:style w:type="paragraph" w:styleId="4">
    <w:name w:val="Body Text Indent"/>
    <w:basedOn w:val="1"/>
    <w:qFormat/>
    <w:uiPriority w:val="0"/>
    <w:pPr>
      <w:spacing w:after="120"/>
      <w:ind w:left="420" w:leftChars="200"/>
    </w:pPr>
  </w:style>
  <w:style w:type="paragraph" w:styleId="5">
    <w:name w:val="Plain Text"/>
    <w:basedOn w:val="1"/>
    <w:qFormat/>
    <w:uiPriority w:val="99"/>
    <w:rPr>
      <w:rFonts w:ascii="宋体" w:hAnsi="Courier New"/>
      <w:szCs w:val="20"/>
    </w:rPr>
  </w:style>
  <w:style w:type="paragraph" w:styleId="6">
    <w:name w:val="Normal (Web)"/>
    <w:basedOn w:val="1"/>
    <w:qFormat/>
    <w:uiPriority w:val="99"/>
    <w:pPr>
      <w:widowControl/>
      <w:spacing w:before="100" w:beforeLines="0" w:beforeAutospacing="1" w:after="100" w:afterLines="0" w:afterAutospacing="1"/>
      <w:jc w:val="left"/>
    </w:pPr>
    <w:rPr>
      <w:rFonts w:ascii="宋体" w:hAnsi="宋体" w:cs="宋体"/>
      <w:kern w:val="0"/>
      <w:sz w:val="24"/>
      <w:szCs w:val="24"/>
    </w:rPr>
  </w:style>
  <w:style w:type="paragraph" w:styleId="7">
    <w:name w:val="Body Text First Indent 2"/>
    <w:basedOn w:val="4"/>
    <w:qFormat/>
    <w:uiPriority w:val="0"/>
    <w:pPr>
      <w:ind w:firstLine="420" w:firstLineChars="200"/>
    </w:pPr>
  </w:style>
  <w:style w:type="table" w:customStyle="1" w:styleId="1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5</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2026-04-01T06:07:00Z</dcterms:created>
  <dc:creator>张静</dc:creator>
  <cp:lastModifiedBy>张静</cp:lastModifiedBy>
  <dcterms:modified xsi:type="dcterms:W3CDTF">2026-04-01T06:21:52Z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C178D689C60F4A73892F44310A50F326_11</vt:lpwstr>
  </property>
  <property fmtid="{D5CDD505-2E9C-101B-9397-08002B2CF9AE}" pid="4" name="KSOTemplateDocerSaveRecord">
    <vt:lpwstr>eyJoZGlkIjoiODY2ZThkZTliODc0YjU1NTA5M2UzMTIxMzdkY2QwMDkiLCJ1c2VySWQiOiIyNTg0OTc0MDcifQ==</vt:lpwstr>
  </property>
</Properties>
</file>