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版本号：YCZB-2026108C20260331001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西安市高陵区职业技术教育中心食堂、供水路改造工程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YCZB-2026108C</w:t>
      </w:r>
      <w:r>
        <w:br/>
      </w:r>
      <w:r>
        <w:br/>
      </w:r>
      <w:r>
        <w:br/>
      </w:r>
    </w:p>
    <w:p>
      <w:pPr>
        <w:pStyle w:val="null3"/>
        <w:jc w:val="center"/>
        <w:outlineLvl w:val="2"/>
      </w:pPr>
      <w:r>
        <w:rPr>
          <w:rFonts w:ascii="仿宋_GB2312" w:hAnsi="仿宋_GB2312" w:cs="仿宋_GB2312" w:eastAsia="仿宋_GB2312"/>
          <w:sz w:val="28"/>
          <w:b/>
        </w:rPr>
        <w:t>西安市高陵区教育局</w:t>
      </w:r>
    </w:p>
    <w:p>
      <w:pPr>
        <w:pStyle w:val="null3"/>
        <w:jc w:val="center"/>
        <w:outlineLvl w:val="2"/>
      </w:pPr>
      <w:r>
        <w:rPr>
          <w:rFonts w:ascii="仿宋_GB2312" w:hAnsi="仿宋_GB2312" w:cs="仿宋_GB2312" w:eastAsia="仿宋_GB2312"/>
          <w:sz w:val="28"/>
          <w:b/>
        </w:rPr>
        <w:t>远创项目管理有限公司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远创项目管理有限公司</w:t>
      </w:r>
      <w:r>
        <w:rPr>
          <w:rFonts w:ascii="仿宋_GB2312" w:hAnsi="仿宋_GB2312" w:cs="仿宋_GB2312" w:eastAsia="仿宋_GB2312"/>
        </w:rPr>
        <w:t>（以下简称“代理机构”）受</w:t>
      </w:r>
      <w:r>
        <w:rPr>
          <w:rFonts w:ascii="仿宋_GB2312" w:hAnsi="仿宋_GB2312" w:cs="仿宋_GB2312" w:eastAsia="仿宋_GB2312"/>
        </w:rPr>
        <w:t>西安市高陵区教育局</w:t>
      </w:r>
      <w:r>
        <w:rPr>
          <w:rFonts w:ascii="仿宋_GB2312" w:hAnsi="仿宋_GB2312" w:cs="仿宋_GB2312" w:eastAsia="仿宋_GB2312"/>
        </w:rPr>
        <w:t>委托，拟对</w:t>
      </w:r>
      <w:r>
        <w:rPr>
          <w:rFonts w:ascii="仿宋_GB2312" w:hAnsi="仿宋_GB2312" w:cs="仿宋_GB2312" w:eastAsia="仿宋_GB2312"/>
        </w:rPr>
        <w:t>西安市高陵区职业技术教育中心食堂、供水路改造工程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YCZB-2026108C</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西安市高陵区职业技术教育中心食堂、供水路改造工程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高陵区职业技术教育中心食堂、供水路改造工程，主要包含职业技术教育中心食堂室内室外土建改造、室内给排水、室内电气改造；通远中学食堂室内、水泵房土建改造、室内给排水、室内电气改造等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采购包1（西安市高陵区职业技术教育中心食堂、供水路改造工程）：属于专门面向中小企业采购。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 ：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2、身份证明文件 ：供应商应授权合法的人员参加磋商全过程，其中法定代表人直接参加磋商的，须出具法人身份证，并与营业执照上信息一致。法定代表人授权代表参加磋商的，须出具法定代表人授权书及授权代表身份证；</w:t>
      </w:r>
    </w:p>
    <w:p>
      <w:pPr>
        <w:pStyle w:val="null3"/>
      </w:pPr>
      <w:r>
        <w:rPr>
          <w:rFonts w:ascii="仿宋_GB2312" w:hAnsi="仿宋_GB2312" w:cs="仿宋_GB2312" w:eastAsia="仿宋_GB2312"/>
        </w:rPr>
        <w:t>3、企业资质 ： 供应商须具备建设行政主管部门颁发合法有效的建筑装修装饰工程专业承包二级及以上，且具备合法有效的安全生产许可证；</w:t>
      </w:r>
    </w:p>
    <w:p>
      <w:pPr>
        <w:pStyle w:val="null3"/>
      </w:pPr>
      <w:r>
        <w:rPr>
          <w:rFonts w:ascii="仿宋_GB2312" w:hAnsi="仿宋_GB2312" w:cs="仿宋_GB2312" w:eastAsia="仿宋_GB2312"/>
        </w:rPr>
        <w:t>4、拟派项目负责人资质及专业要求 ：拟委派项目负责人须具有建筑工程专业二级及以上注册建造师资格并具有安全生产考核合格证，在本单位注册且无在建工程；</w:t>
      </w:r>
    </w:p>
    <w:p>
      <w:pPr>
        <w:pStyle w:val="null3"/>
      </w:pPr>
      <w:r>
        <w:rPr>
          <w:rFonts w:ascii="仿宋_GB2312" w:hAnsi="仿宋_GB2312" w:cs="仿宋_GB2312" w:eastAsia="仿宋_GB2312"/>
        </w:rPr>
        <w:t>5、财务状况报告 ：提供注册会计师行业统一监管平台(网址http://acc.mof.gov.cn)赋码可查询的2024年度或2025年度审计报告（成立时间至提交响应文件截止时间不足一年的可提供成立后任意时段的资产负债表)，或开标前6个月内其开户银行出具的资信证明，或信用担保机构出具的投标担保函（以上三种形式的资料提供任何一种即可)；</w:t>
      </w:r>
    </w:p>
    <w:p>
      <w:pPr>
        <w:pStyle w:val="null3"/>
      </w:pPr>
      <w:r>
        <w:rPr>
          <w:rFonts w:ascii="仿宋_GB2312" w:hAnsi="仿宋_GB2312" w:cs="仿宋_GB2312" w:eastAsia="仿宋_GB2312"/>
        </w:rPr>
        <w:t>6、税收缴纳证明 ：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p>
      <w:pPr>
        <w:pStyle w:val="null3"/>
      </w:pPr>
      <w:r>
        <w:rPr>
          <w:rFonts w:ascii="仿宋_GB2312" w:hAnsi="仿宋_GB2312" w:cs="仿宋_GB2312" w:eastAsia="仿宋_GB2312"/>
        </w:rPr>
        <w:t>7、社会保障资金缴纳证明 ：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8、企业信誉 ：参加本次政府采购活动前3年内在经营活动中没有重大违纪，以及未被列入失信被执行人、重大税收违法失信主体、政府采购严重违法失信行为记录名单的书面声明；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9、履约能力 ：提供具有履行本合同所必需的设备和专业技术能力的声明；</w:t>
      </w:r>
    </w:p>
    <w:p>
      <w:pPr>
        <w:pStyle w:val="null3"/>
      </w:pPr>
      <w:r>
        <w:rPr>
          <w:rFonts w:ascii="仿宋_GB2312" w:hAnsi="仿宋_GB2312" w:cs="仿宋_GB2312" w:eastAsia="仿宋_GB2312"/>
        </w:rPr>
        <w:t>10、供应商关联关系 ：供应商单位负责人不得为同一人或者存在控股、管理关系；</w:t>
      </w:r>
    </w:p>
    <w:p>
      <w:pPr>
        <w:pStyle w:val="null3"/>
      </w:pPr>
      <w:r>
        <w:rPr>
          <w:rFonts w:ascii="仿宋_GB2312" w:hAnsi="仿宋_GB2312" w:cs="仿宋_GB2312" w:eastAsia="仿宋_GB2312"/>
        </w:rPr>
        <w:t>11、中小企业声明函 ：本项目为专门面向中小企业项目，供应商须为中型企业或者小型、微型企业或监狱企业或残疾人福利性单位。</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西安市高陵区教育局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高陵区文卫路892号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029-86921342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远创项目管理有限公司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陕西省西安市雁塔区雁翔路111号赛格中京坊公寓A座2单元3401户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19191808021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西安市高陵区采购管理科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药咪</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86919290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采购包1：3,153,919.69元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招标代理服务收费管理暂行办法》的通知（计价格[2002]1980号）文件、发改价格[2011]534号文件及国家发改委印发的《关于进一步放开建设项目专业服务价格的通知》[2015]299号文件的收取标准计取；工程造价咨询服务费依据陕价行发[2014]88号。按相关标准计算后，招标代理服务费及工程造价咨询服务费由成交单位在领取成交通知书前一次性支付.</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西安市高陵区教育局</w:t>
      </w:r>
      <w:r>
        <w:rPr>
          <w:rFonts w:ascii="仿宋_GB2312" w:hAnsi="仿宋_GB2312" w:cs="仿宋_GB2312" w:eastAsia="仿宋_GB2312"/>
        </w:rPr>
        <w:t>和</w:t>
      </w:r>
      <w:r>
        <w:rPr>
          <w:rFonts w:ascii="仿宋_GB2312" w:hAnsi="仿宋_GB2312" w:cs="仿宋_GB2312" w:eastAsia="仿宋_GB2312"/>
        </w:rPr>
        <w:t>远创项目管理有限公司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西安市高陵区教育局</w:t>
      </w:r>
      <w:r>
        <w:rPr>
          <w:rFonts w:ascii="仿宋_GB2312" w:hAnsi="仿宋_GB2312" w:cs="仿宋_GB2312" w:eastAsia="仿宋_GB2312"/>
        </w:rPr>
        <w:t>负责解释。除上述磋商文件内容，其他内容由</w:t>
      </w:r>
      <w:r>
        <w:rPr>
          <w:rFonts w:ascii="仿宋_GB2312" w:hAnsi="仿宋_GB2312" w:cs="仿宋_GB2312" w:eastAsia="仿宋_GB2312"/>
        </w:rPr>
        <w:t>远创项目管理有限公司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西安市高陵区教育局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远创项目管理有限公司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远创项目管理有限公司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远创项目管理有限公司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远创项目管理有限公司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联系人：张博</w:t>
      </w:r>
    </w:p>
    <w:p>
      <w:pPr>
        <w:pStyle w:val="null3"/>
      </w:pPr>
      <w:r>
        <w:rPr>
          <w:rFonts w:ascii="仿宋_GB2312" w:hAnsi="仿宋_GB2312" w:cs="仿宋_GB2312" w:eastAsia="仿宋_GB2312"/>
        </w:rPr>
        <w:t>联系电话：19191808021</w:t>
      </w:r>
    </w:p>
    <w:p>
      <w:pPr>
        <w:pStyle w:val="null3"/>
      </w:pPr>
      <w:r>
        <w:rPr>
          <w:rFonts w:ascii="仿宋_GB2312" w:hAnsi="仿宋_GB2312" w:cs="仿宋_GB2312" w:eastAsia="仿宋_GB2312"/>
        </w:rPr>
        <w:t>地址：陕西省西安市雁塔区雁翔路111号赛格中京坊公寓A座2单元3401户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3,153,919.69</w:t>
      </w:r>
    </w:p>
    <w:p>
      <w:pPr>
        <w:pStyle w:val="null3"/>
      </w:pPr>
      <w:r>
        <w:rPr>
          <w:rFonts w:ascii="仿宋_GB2312" w:hAnsi="仿宋_GB2312" w:cs="仿宋_GB2312" w:eastAsia="仿宋_GB2312"/>
        </w:rPr>
        <w:t>采购包最高限价（元）: 3,153,919.69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主要包含职业技术教育中心和通远中学的食堂及供水路改造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3,153,919.69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标的名称：主要包含职业技术教育中心和通远中学的食堂及供水路改造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工程内容：</w:t>
            </w:r>
            <w:r>
              <w:rPr>
                <w:rFonts w:ascii="仿宋_GB2312" w:hAnsi="仿宋_GB2312" w:cs="仿宋_GB2312" w:eastAsia="仿宋_GB2312"/>
                <w:sz w:val="21"/>
              </w:rPr>
              <w:t>西安市高陵区职业技术教育中心食堂、供水路改造工程，主要包含职业技术教育中心食堂室内室外土建改造、室内给排水、室内电气改造；通远中学食堂室内、水泵房土建改造、室内给排水、室内电气改造等工程</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工期：合同签订后</w:t>
            </w:r>
            <w:r>
              <w:rPr>
                <w:rFonts w:ascii="仿宋_GB2312" w:hAnsi="仿宋_GB2312" w:cs="仿宋_GB2312" w:eastAsia="仿宋_GB2312"/>
                <w:sz w:val="21"/>
              </w:rPr>
              <w:t>120日历天</w:t>
            </w:r>
          </w:p>
          <w:p>
            <w:pPr>
              <w:pStyle w:val="null3"/>
            </w:pPr>
            <w:r>
              <w:rPr>
                <w:rFonts w:ascii="仿宋_GB2312" w:hAnsi="仿宋_GB2312" w:cs="仿宋_GB2312" w:eastAsia="仿宋_GB2312"/>
                <w:sz w:val="21"/>
              </w:rPr>
              <w:t>工程地点：西安市高陵区</w:t>
            </w:r>
          </w:p>
          <w:p>
            <w:pPr>
              <w:pStyle w:val="null3"/>
            </w:pPr>
            <w:r>
              <w:rPr>
                <w:rFonts w:ascii="仿宋_GB2312" w:hAnsi="仿宋_GB2312" w:cs="仿宋_GB2312" w:eastAsia="仿宋_GB2312"/>
                <w:sz w:val="21"/>
              </w:rPr>
              <w:t>质量标准：达到国家现行施工验收规范“合格”标准</w:t>
            </w:r>
          </w:p>
          <w:p>
            <w:pPr>
              <w:pStyle w:val="null3"/>
            </w:pPr>
            <w:r>
              <w:rPr>
                <w:rFonts w:ascii="仿宋_GB2312" w:hAnsi="仿宋_GB2312" w:cs="仿宋_GB2312" w:eastAsia="仿宋_GB2312"/>
                <w:sz w:val="21"/>
              </w:rPr>
              <w:t>质量保修期：屋面防水工程为5年，其他项目保修期为2年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 xml:space="preserve"> 本项目采用电子化投标与纸质投标并行的方式，供应商需于磋商响应文件递交截止时间前在线提交电子响应文件，同时线下提交一正一副纸质版响应文件，纸质响应文件双面打印胶装，电子响应文件与纸质响应文件不一致的，以电子版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供应商应授权合法的人员参加磋商全过程，其中法定代表人直接参加磋商的，须出具法人身份证，并与营业执照上信息一致。法定代表人授权代表参加磋商的，须出具法定代表人授权书及授权代表身份证；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 xml:space="preserve"> 供应商须具备建设行政主管部门颁发合法有效的建筑装修装饰工程专业承包二级及以上，且具备合法有效的安全生产许可证；</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拟委派项目负责人须具有建筑工程专业二级及以上注册建造师资格并具有安全生产考核合格证，在本单位注册且无在建工程；</w:t>
            </w:r>
          </w:p>
        </w:tc>
        <w:tc>
          <w:tcPr>
            <w:tcW w:type="dxa" w:w="1661"/>
          </w:tcPr>
          <w:p>
            <w:pPr>
              <w:pStyle w:val="null3"/>
            </w:pPr>
            <w:r>
              <w:rPr>
                <w:rFonts w:ascii="仿宋_GB2312" w:hAnsi="仿宋_GB2312" w:cs="仿宋_GB2312" w:eastAsia="仿宋_GB2312"/>
              </w:rPr>
              <w:t>项目管理机构组成表 响应函 主要人员简历表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成立时间至提交响应文件截止时间不足一年的可提供成立后任意时段的资产负债表)，或开标前6个月内其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供应商关联关系</w:t>
            </w:r>
          </w:p>
        </w:tc>
        <w:tc>
          <w:tcPr>
            <w:tcW w:type="dxa" w:w="3322"/>
          </w:tcPr>
          <w:p>
            <w:pPr>
              <w:pStyle w:val="null3"/>
            </w:pPr>
            <w:r>
              <w:rPr>
                <w:rFonts w:ascii="仿宋_GB2312" w:hAnsi="仿宋_GB2312" w:cs="仿宋_GB2312" w:eastAsia="仿宋_GB2312"/>
              </w:rPr>
              <w:t>供应商单位负责人不得为同一人或者存在控股、管理关系；</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本项目为专门面向中小企业项目，供应商须为中型企业或者小型、微型企业或监狱企业或残疾人福利性单位。</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响应文件封面 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在磋商响应文件中指定落款处，按文件要求盖章或签字</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符合磋商文件的格式要求无重大偏离</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响应（投标）内容</w:t>
            </w:r>
          </w:p>
        </w:tc>
        <w:tc>
          <w:tcPr>
            <w:tcW w:type="dxa" w:w="3322"/>
          </w:tcPr>
          <w:p>
            <w:pPr>
              <w:pStyle w:val="null3"/>
            </w:pPr>
            <w:r>
              <w:rPr>
                <w:rFonts w:ascii="仿宋_GB2312" w:hAnsi="仿宋_GB2312" w:cs="仿宋_GB2312" w:eastAsia="仿宋_GB2312"/>
              </w:rPr>
              <w:t>与磋商内容一致，无重大偏离</w:t>
            </w:r>
          </w:p>
        </w:tc>
        <w:tc>
          <w:tcPr>
            <w:tcW w:type="dxa" w:w="1661"/>
          </w:tcPr>
          <w:p>
            <w:pPr>
              <w:pStyle w:val="null3"/>
            </w:pPr>
            <w:r>
              <w:rPr>
                <w:rFonts w:ascii="仿宋_GB2312" w:hAnsi="仿宋_GB2312" w:cs="仿宋_GB2312" w:eastAsia="仿宋_GB2312"/>
              </w:rPr>
              <w:t>响应文件封面 陕西省政府采购供应商拒绝政府采购领域商业贿赂承诺书.docx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从提交首次响应文件截止之日起，不少于90天。</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未超过磋商最高限价</w:t>
            </w:r>
          </w:p>
        </w:tc>
        <w:tc>
          <w:tcPr>
            <w:tcW w:type="dxa" w:w="1661"/>
          </w:tcPr>
          <w:p>
            <w:pPr>
              <w:pStyle w:val="null3"/>
            </w:pPr>
            <w:r>
              <w:rPr>
                <w:rFonts w:ascii="仿宋_GB2312" w:hAnsi="仿宋_GB2312" w:cs="仿宋_GB2312" w:eastAsia="仿宋_GB2312"/>
              </w:rPr>
              <w:t>响应文件封面 已标价工程量清单 报价函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质量保修期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方案专门针对本项目编制，符合项目实际情况及实施要求，内容详尽且涵盖角度全面，合理性和可行性强，能够保障项目顺利实施的，得9分; 方案能够针对本项目编制，符合项目实际情况及实施要求，内容详尽且涵盖角度基本全面，有一定的合理性和可行性的，得7分; 方案基本能够针对本项目编制，基本符合项目实际情况及实施要求，内容较宽泛，涵盖角度不够全面，内容基本合理可行的，得5分; 具有方案内容但内容未贴合本项目，内容涵盖角度不够全面且实施有难度的，得3分; 具有方案内容但内容未针对本项目，内容空洞宽泛，基本不具有可实施性，得1分;未提供方案内容不得分。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措施内容专门针对本项目编制，符合项目实际情况及实施要求，内容详尽且涵盖角度全面，合理性和可行性强，能够保障项目顺利实施的，得8分; 措施内容能够针对本项目编制，符合项目实际情况及实施要求，内容详尽且涵盖角度基本全面，有一定的合理性和可行性的，得6分; 措施内容基本能够针对本项目编制，基本符合项目实际情况及实施要求，内容较详细，涵盖角度较全面，基本合理可行的，得4分;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项目安全保证措施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投入计划专门针对本项目编制，符合项目实际情况及实施要求，内容详尽且涵盖角度全面，合理性和可行性强，能够保障项目顺利实施的，得5分; 投入计划基本针对本项目编制，符合项目实际情况及实施要求，内容详尽且涵盖角度基本全面，有一定的合理性和可行性的，得4分; 投入计划能够针对本项目编制，基本符合项目实际情况及实施要求，内容较详细，涵盖角度较全面但略有不完善，基本合理可行的，得3分;提供投入计划，但内容涵盖角度不够全面且实施具有一定难度，得2分; 投入计划内容简单笼统，实施难度大的，得1分;未提供投入计划内容不得分。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项目部组成</w:t>
            </w:r>
          </w:p>
        </w:tc>
        <w:tc>
          <w:tcPr>
            <w:tcW w:type="dxa" w:w="2492"/>
          </w:tcPr>
          <w:p>
            <w:pPr>
              <w:pStyle w:val="null3"/>
            </w:pPr>
            <w:r>
              <w:rPr>
                <w:rFonts w:ascii="仿宋_GB2312" w:hAnsi="仿宋_GB2312" w:cs="仿宋_GB2312" w:eastAsia="仿宋_GB2312"/>
              </w:rPr>
              <w:t>项目部组成科学合理、人员表配置充足，有详细的人员配置清单，针对性强，能够很好的满足项目需求，得5分；项目部组成基本合理、人员表配置基本齐全，具有人员配置清单，有一定的针对性，能够满足项目需求，得4分；提供项目部组成情况，配置基本合理但组成不全面得3分；项目部组成人员缺乏科学合理性，无人员配置清单，无法满足项目需求，得2分； 项目部组成内容简单笼统得1分。未提供项目部组成不得分。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安排计划科学全面、内容具体、针对性强计3分； 安排计划基本全面、针对性一般计2分； 提供安排计划，内容不够全面，实施性不强计1分；未提供安排计划不计分。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施工进度网络图或施工进度表</w:t>
            </w:r>
          </w:p>
        </w:tc>
        <w:tc>
          <w:tcPr>
            <w:tcW w:type="dxa" w:w="2492"/>
          </w:tcPr>
          <w:p>
            <w:pPr>
              <w:pStyle w:val="null3"/>
            </w:pPr>
            <w:r>
              <w:rPr>
                <w:rFonts w:ascii="仿宋_GB2312" w:hAnsi="仿宋_GB2312" w:cs="仿宋_GB2312" w:eastAsia="仿宋_GB2312"/>
              </w:rPr>
              <w:t>网络图或进度表内容详尽、安排合理且实施性强计3分； 提供网络图或进度表内容、安排基本合理实施性缺乏计2分； 提供网络图或进度表，内容不够全面，实施性不强计1分； 未提供网络图或进度表不得分。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施工现场扬尘污染防治措施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后续服务措施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应用的技术、产品、工艺、材料等先进科学、可行性高计3分； 应用的技术、产品、工艺、材料等科学性、可行性缺乏计2分； 应用的技术、产品、工艺、材料等科学性描述脱离实际计1分；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工程质量和质量保修承诺</w:t>
            </w:r>
          </w:p>
        </w:tc>
        <w:tc>
          <w:tcPr>
            <w:tcW w:type="dxa" w:w="2492"/>
          </w:tcPr>
          <w:p>
            <w:pPr>
              <w:pStyle w:val="null3"/>
            </w:pPr>
            <w:r>
              <w:rPr>
                <w:rFonts w:ascii="仿宋_GB2312" w:hAnsi="仿宋_GB2312" w:cs="仿宋_GB2312" w:eastAsia="仿宋_GB2312"/>
              </w:rPr>
              <w:t>承诺方案专门针对本项目编制，符合项目实际情况及实施要求，内容详尽且涵盖角度全面，合理性和可行性强，保障充分，得5分; 承诺方案能够针对本项目编制，符合项目实际情况及实施要求，内容详尽且涵盖角度基本全面，有一定的合理性和可行性的，得4分；承诺方案内容基本能够针对本项目编制，基本符合项目实际情况及实施要求，内容较详细，涵盖角度较全面，基本合理可行的，得3分; 具有承诺内容但内容未贴合本项目，承诺内容涵盖角度不全面且实施有难度的，得2分; 具有承诺内容但内容未针对本项目，内容空洞宽泛，可实施性不强，得1分;未提供承诺内容不得分。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2023年1月1日以来承接过类似项目的合同证明（以合同的签订日期为准）（每提供一个得1分，满分4分）（合同内容须清晰可辨认，无涂改，否则视为无效合同）</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详见附件：技术部分.docx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 草案条款.docx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