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版本号：RKZB-2026-010520260307002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高陵区循环产业园生态屏障项目设计采购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RKZB-2026-0105</w:t>
      </w:r>
      <w:r>
        <w:br/>
      </w:r>
      <w:r>
        <w:br/>
      </w:r>
      <w:r>
        <w:br/>
      </w:r>
    </w:p>
    <w:p>
      <w:pPr>
        <w:pStyle w:val="null3"/>
        <w:jc w:val="center"/>
        <w:outlineLvl w:val="2"/>
      </w:pPr>
      <w:r>
        <w:rPr>
          <w:rFonts w:ascii="仿宋_GB2312" w:hAnsi="仿宋_GB2312" w:cs="仿宋_GB2312" w:eastAsia="仿宋_GB2312"/>
          <w:sz w:val="28"/>
          <w:b/>
        </w:rPr>
        <w:t>西安市高陵区交通工程管理所</w:t>
      </w:r>
    </w:p>
    <w:p>
      <w:pPr>
        <w:pStyle w:val="null3"/>
        <w:jc w:val="center"/>
        <w:outlineLvl w:val="2"/>
      </w:pPr>
      <w:r>
        <w:rPr>
          <w:rFonts w:ascii="仿宋_GB2312" w:hAnsi="仿宋_GB2312" w:cs="仿宋_GB2312" w:eastAsia="仿宋_GB2312"/>
          <w:sz w:val="28"/>
          <w:b/>
        </w:rPr>
        <w:t>瑞科项目管理有限公司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瑞科项目管理有限公司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西安市高陵区交通工程管理所</w:t>
      </w:r>
      <w:r>
        <w:rPr>
          <w:rFonts w:ascii="仿宋_GB2312" w:hAnsi="仿宋_GB2312" w:cs="仿宋_GB2312" w:eastAsia="仿宋_GB2312"/>
        </w:rPr>
        <w:t>委托，拟对</w:t>
      </w:r>
      <w:r>
        <w:rPr>
          <w:rFonts w:ascii="仿宋_GB2312" w:hAnsi="仿宋_GB2312" w:cs="仿宋_GB2312" w:eastAsia="仿宋_GB2312"/>
        </w:rPr>
        <w:t>高陵区循环产业园生态屏障项目设计采购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RKZB-2026-0105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高陵区循环产业园生态屏障项目设计采购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建设内容为高陵区循环产业园区周边道路的绿化现状提升优化，分为一期、二期建设，全线长约10.84公里，总面积约34.05万m²。一期建设分别为京昆高速（高油路-渭阳九路），道路长度3.34km，绿化面积75000m²；西韩大道（310国道-徐船路)，道路长度1.5km，绿化面积5000m²；徐船路（鹿苑大道-京昆高速），道路长度2.5km，绿化面积138500m²。二期建设分别为渭阳四路（泾惠五路-西韩大道-环高东路），道路长度1.5km，绿化面积10000m²；泾惠五路（渭阳四路-徐船路），道路长度0.5km，绿化面积25000m²；环高东路（310国道-徐船路)，道路长度1.5km，绿化面积87000m²。通过改善片区内生态环境，形成多样化、立体化、美观性较强的生态屏障，为循环产业园的发展提供良好的生态环境。本次设计采购仅涉及高陵区循环产业园生态屏障项目一期建设的设计内容，此次项目一期建设分两阶段施工设计，包含初步设计及初步设计概算编制、施工图设计及后续施工服务配合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采购包1（高陵区循环产业园生态屏障项目设计采购）：属于专门面向中小企业采购。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2、信用记录：供应商不得为“信用中国” 网站（www.creditchina.gov.cn）中列入失信被执行人（中国执行信息公开网http://zxgk.court.gov.cn）和重大税收违法失信主体的供应商,不得为中国政府采购网（www.ccgp.gov.cn）政府采购严重违法失信行为记录名单 中被财政部门禁止参加政府采购活动的供应商。根据财库【2019】38号文规定，此项由采购代理机构在响应截止日当天在“信用中国”网站和中国政府采购网站进行查询，截图留档；如网站无供应商信息的，供应商须提供相关证明资料或书面声明，并加盖单位公章。</w:t>
      </w:r>
    </w:p>
    <w:p>
      <w:pPr>
        <w:pStyle w:val="null3"/>
      </w:pPr>
      <w:r>
        <w:rPr>
          <w:rFonts w:ascii="仿宋_GB2312" w:hAnsi="仿宋_GB2312" w:cs="仿宋_GB2312" w:eastAsia="仿宋_GB2312"/>
        </w:rPr>
        <w:t>3、非联合体磋商：本项目不接受联合体磋商。</w:t>
      </w:r>
    </w:p>
    <w:p>
      <w:pPr>
        <w:pStyle w:val="null3"/>
      </w:pPr>
      <w:r>
        <w:rPr>
          <w:rFonts w:ascii="仿宋_GB2312" w:hAnsi="仿宋_GB2312" w:cs="仿宋_GB2312" w:eastAsia="仿宋_GB2312"/>
        </w:rPr>
        <w:t>4、供应商资质要求：供应商具备建设行政主管部门核发的工程设计综合甲级资质或风景园林工程设计专项资质甲级。</w:t>
      </w:r>
    </w:p>
    <w:p>
      <w:pPr>
        <w:pStyle w:val="null3"/>
      </w:pPr>
      <w:r>
        <w:rPr>
          <w:rFonts w:ascii="仿宋_GB2312" w:hAnsi="仿宋_GB2312" w:cs="仿宋_GB2312" w:eastAsia="仿宋_GB2312"/>
        </w:rPr>
        <w:t>5、拟派项目负责人资格要求：拟派项目负责人须具备风景园林相关专业高级工程师及以上职称证书。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西安市高陵区交通工程管理所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西安市高陵区高交路口向东800米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029-86919335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瑞科项目管理有限公司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陕西省西安市经济技术开发区未央路303号保利中达广场2207室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王博霖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15691975288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王泽群</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采购包1：801,400.00元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发改价格〔2015〕299号文，结合国家计委颁发的《招标代理服务收费暂行办法》（计价格【2002】1980号）、发改价格〔2011〕534号文件规定标准下浮20%计算。由成交供应商在领取成交通知书前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西安市高陵区交通工程管理所</w:t>
      </w:r>
      <w:r>
        <w:rPr>
          <w:rFonts w:ascii="仿宋_GB2312" w:hAnsi="仿宋_GB2312" w:cs="仿宋_GB2312" w:eastAsia="仿宋_GB2312"/>
        </w:rPr>
        <w:t>和</w:t>
      </w:r>
      <w:r>
        <w:rPr>
          <w:rFonts w:ascii="仿宋_GB2312" w:hAnsi="仿宋_GB2312" w:cs="仿宋_GB2312" w:eastAsia="仿宋_GB2312"/>
        </w:rPr>
        <w:t>瑞科项目管理有限公司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西安市高陵区交通工程管理所</w:t>
      </w:r>
      <w:r>
        <w:rPr>
          <w:rFonts w:ascii="仿宋_GB2312" w:hAnsi="仿宋_GB2312" w:cs="仿宋_GB2312" w:eastAsia="仿宋_GB2312"/>
        </w:rPr>
        <w:t>负责解释。除上述磋商文件内容，其他内容由</w:t>
      </w:r>
      <w:r>
        <w:rPr>
          <w:rFonts w:ascii="仿宋_GB2312" w:hAnsi="仿宋_GB2312" w:cs="仿宋_GB2312" w:eastAsia="仿宋_GB2312"/>
        </w:rPr>
        <w:t>瑞科项目管理有限公司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西安市高陵区交通工程管理所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瑞科项目管理有限公司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的设计过程和成果必须符合国家有关园林绿化工程项目规范标准强制性条文、国务院或建设部关于设计方面现行的标准、规范、规程、定额、办法、示例以及陕西省关于工程设计方面的文件、规定。还需满足行业主管部门项目审批要求及采购人需求。 设计单位在设计工作中使用或参考上述标准、规范以外的技术标准、规范时，应征得采购人或采购人的指定代表人的同意。在设计过程中，如果国家或有关部门颁布了新的技术标准或规范，则设计单位应采用新的标准或规范进行设计和我省发布的设计技术要求进行设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瑞科项目管理有限公司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瑞科项目管理有限公司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瑞科项目管理有限公司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联系人：王博霖</w:t>
      </w:r>
    </w:p>
    <w:p>
      <w:pPr>
        <w:pStyle w:val="null3"/>
      </w:pPr>
      <w:r>
        <w:rPr>
          <w:rFonts w:ascii="仿宋_GB2312" w:hAnsi="仿宋_GB2312" w:cs="仿宋_GB2312" w:eastAsia="仿宋_GB2312"/>
        </w:rPr>
        <w:t>联系电话：15691975288</w:t>
      </w:r>
    </w:p>
    <w:p>
      <w:pPr>
        <w:pStyle w:val="null3"/>
      </w:pPr>
      <w:r>
        <w:rPr>
          <w:rFonts w:ascii="仿宋_GB2312" w:hAnsi="仿宋_GB2312" w:cs="仿宋_GB2312" w:eastAsia="仿宋_GB2312"/>
        </w:rPr>
        <w:t>地址：陕西省西安市经济技术开发区未央路303号保利中达广场2207室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建设内容为高陵区循环产业园区周边道路的绿化现状提升优化，分为一期、二期建设，全线长约10.84公里，总面积约34.05万m²。一期建设分别为京昆高速（高油路-渭阳九路），道路长度3.34km，绿化面积75000m²；西韩大道（310国道-徐船路)，道路长度1.5km，绿化面积5000m²；徐船路（鹿苑大道-京昆高速），道路长度2.5km，绿化面积138500m²。二期建设分别为渭阳四路（泾惠五路-西韩大道-环高东路），道路长度1.5km，绿化面积10000m²；泾惠五路（渭阳四路-徐船路），道路长度0.5km，绿化面积25000m²；环高东路（310国道-徐船路)，道路长度1.5km，绿化面积87000m²。通过改善片区内生态环境，形成多样化、立体化、美观性较强的生态屏障，为循环产业园的发展提供良好的生态环境。本次设计采购仅涉及高陵区循环产业园生态屏障项目一期建设的设计内容，此次项目一期建设分两阶段施工设计，包含初步设计及初步设计概算编制、施工图设计及后续施工服务配合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801,400.00</w:t>
      </w:r>
    </w:p>
    <w:p>
      <w:pPr>
        <w:pStyle w:val="null3"/>
      </w:pPr>
      <w:r>
        <w:rPr>
          <w:rFonts w:ascii="仿宋_GB2312" w:hAnsi="仿宋_GB2312" w:cs="仿宋_GB2312" w:eastAsia="仿宋_GB2312"/>
        </w:rPr>
        <w:t>采购包最高限价（元）: 801,400.00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高陵区循环产业园生态屏障项目设计采购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801,400.00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标的名称：高陵区循环产业园生态屏障项目设计采购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w:t>
            </w:r>
          </w:p>
          <w:p>
            <w:pPr>
              <w:pStyle w:val="null3"/>
              <w:jc w:val="both"/>
            </w:pPr>
            <w:r>
              <w:rPr>
                <w:rFonts w:ascii="仿宋_GB2312" w:hAnsi="仿宋_GB2312" w:cs="仿宋_GB2312" w:eastAsia="仿宋_GB2312"/>
                <w:sz w:val="21"/>
              </w:rPr>
              <w:t xml:space="preserve">   本次设计采购仅涉及高陵区循环产业园生态屏障项目一期建设的设计内容，此次项目一期建设分两阶段施工设计，包含初步设计及初步设计概算编制、施工图设计及后续施工服务配合等工作。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（二）技术要求：</w:t>
            </w:r>
          </w:p>
          <w:p>
            <w:pPr>
              <w:pStyle w:val="null3"/>
              <w:ind w:firstLine="400"/>
              <w:jc w:val="both"/>
            </w:pPr>
            <w:r>
              <w:rPr>
                <w:rFonts w:ascii="仿宋_GB2312" w:hAnsi="仿宋_GB2312" w:cs="仿宋_GB2312" w:eastAsia="仿宋_GB2312"/>
                <w:sz w:val="21"/>
              </w:rPr>
              <w:t>总体建设目标：打造高大、密厚、乡土的生态林带。</w:t>
            </w:r>
          </w:p>
          <w:p>
            <w:pPr>
              <w:pStyle w:val="null3"/>
              <w:jc w:val="both"/>
            </w:pPr>
            <w:r>
              <w:rPr>
                <w:rFonts w:ascii="仿宋_GB2312" w:hAnsi="仿宋_GB2312" w:cs="仿宋_GB2312" w:eastAsia="仿宋_GB2312"/>
                <w:sz w:val="21"/>
              </w:rPr>
              <w:t>1、京昆高速（高油路-渭阳九路）：是高陵外围的主要道路，重点建设道路西侧林带8米范围，有效防治汽车尾气和道路扬尘对高陵城区和国控子站的质量检测影响。林带绿化提升包含双侧无杨树设计策略、双侧无杨树(栾树)设计策略、单侧杨树设计策略以及高速路出入口三分区设计（分区一：繁花迎宾，位于时速40km/h-120km/h的快速干道旁。以林冠线的变化、色相变化为主，突出大绿量，形成风景林式绿化；分区二：荡气回肠，位于限速40km/h匝道旁。通过大气、流畅的线条组织空间，突显整体的空间秩序及高空观景，注重色彩，空间局部的搭配，利用微地形，通过植物组团，形成感心动耳的特色绿化；分区三：双星并辉，于限速40km/h匝道以及时速40km/h-120km/h的快速干道旁。利用岛屿状地形进行组团绿化，植物以大气、流畅的线条组织空间，岛屿状植物群落如浩瀚宇宙中的繁星点点。以林冠线的变化、色相变化为主，突出大绿量，形成节奏感、动感强烈的观感，打造一个引人入胜、具有指引性的特色出入口绿化）</w:t>
            </w:r>
          </w:p>
          <w:p>
            <w:pPr>
              <w:pStyle w:val="null3"/>
              <w:jc w:val="both"/>
            </w:pPr>
            <w:r>
              <w:rPr>
                <w:rFonts w:ascii="仿宋_GB2312" w:hAnsi="仿宋_GB2312" w:cs="仿宋_GB2312" w:eastAsia="仿宋_GB2312"/>
                <w:sz w:val="21"/>
              </w:rPr>
              <w:t>2、西韩大道（310国道-徐船路)：重点建设现有林带，在原有杨树后侧加密栽植丛生密实灌木等，形成高大密厚实的植物防护结构。林带建成将成为循环经济产业园西侧主要生态屏障。</w:t>
            </w:r>
          </w:p>
          <w:p>
            <w:pPr>
              <w:pStyle w:val="null3"/>
            </w:pPr>
            <w:r>
              <w:rPr>
                <w:rFonts w:ascii="仿宋_GB2312" w:hAnsi="仿宋_GB2312" w:cs="仿宋_GB2312" w:eastAsia="仿宋_GB2312"/>
                <w:sz w:val="21"/>
              </w:rPr>
              <w:t>3、徐船路（鹿苑大道-京昆高速）：城市主干道，双向六车道，本次设计内容主要为3米宽分车带，两侧人行道绿带及部分复耕地。其中西侧与鹿苑大道相接处绿地延续口袋公园设计形式，融入"低碳、环保"的文化主题，打造成游憩休闲兼具低碳文化教育的主题活动空间；马北社区以东复耕地应以经济作物为主进行复耕；道路绿地范围内设置密实林带，形成循环产业园南侧生态屏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（三）服务要求：</w:t>
            </w:r>
          </w:p>
          <w:p>
            <w:pPr>
              <w:pStyle w:val="null3"/>
              <w:ind w:firstLine="400"/>
              <w:jc w:val="both"/>
            </w:pPr>
            <w:r>
              <w:rPr>
                <w:rFonts w:ascii="仿宋_GB2312" w:hAnsi="仿宋_GB2312" w:cs="仿宋_GB2312" w:eastAsia="仿宋_GB2312"/>
                <w:sz w:val="21"/>
              </w:rPr>
              <w:t>本项目的设计过程和成果必须符合国家有关园林绿化工程项目规范标准强制性条文、国务院或建设部关于设计方面现行的标准、规范、规程、定额、办法、示例以及陕西省关于工程设计方面的文件、规定。还需满足行业主管部门项目审批要求及采购人需求。</w:t>
            </w:r>
          </w:p>
          <w:p>
            <w:pPr>
              <w:pStyle w:val="null3"/>
            </w:pPr>
            <w:r>
              <w:rPr>
                <w:rFonts w:ascii="仿宋_GB2312" w:hAnsi="仿宋_GB2312" w:cs="仿宋_GB2312" w:eastAsia="仿宋_GB2312"/>
                <w:sz w:val="21"/>
              </w:rPr>
              <w:t xml:space="preserve">  设计单位在设计工作中使用或参考上述标准、规范以外的技术标准、规范时，应征得采购人或采购人的指定代表人的同意。在设计过程中，如果国家或有关部门颁布了新的技术标准或规范，则设计单位应采用新的标准或规范进行设计和我省发布的设计技术要求进行设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90 日历天内。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西安市高陵区循环产业园区周边规划绿地。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所有成果文件必须符合国家、陕西省及行业相关标准、规范的规定，还需满足行业主管部门项目审批要求及采购人需求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本项目无预付款，设计人提交初步设计文件经上级主管部门审查、修改批准后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施工图纸及工程量清单按期完成并送至业主处，业主施工招标完成并与施工单位签订施工合同后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工程完工验收合格后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成交供应商领取中标通知书时，需向采购代理机构递交纸质版响应文件（正本壹份、副本贰份、电子版一份标明供应商名称）。成交供应商应保持响应文件纸质版内容与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供应商需在项目电子化交易系统中按要求填写《响应函》完成承诺，同时提供以下资料并进行电子签章： a.营业执照、组织机构代码证、税务登记证(三证合一的提供统一社会信用代码的营业执照)其他组织经营的合法凭证，自然人的提供身份证明文件； b.财务状况证明：提供2024年或2025年度经审计的财务报告（包括“ 四表一注” 即《资产负债表》《利润表》《现金流量表》《所有者权益变动表》（若有）及其附注；成立时间至提交投标文件截止时间不足一年的可提供成立后任意时段的资产负债表）或基本存款账户开户银行出具的资信证明及基本存款账户开户许可证（基本账户信息）或财政部门认可的政府采购专业担保机构出具的担保函(附开户许可证或开户备案证明或基本账户信息)，以上形式的证明资料提供任何一种即可。 c.提供具有履行合同所必需的设备和专业技术能力的承诺；(格式自拟) d.税收缴纳证明：提供投标截止日前一年内已缴纳的至少一个月的纳税证明或完税证明，依法免税的单位应提供相关证明材料；e.社会保障资金缴纳证明：提供投标截止日前一年内已缴存的至少一个月的社会保障资金缴存单据或社保机构开具的社会保险参保缴费情况证明，依法不需要缴纳社会保障资金的单位应提供相关证明材料； f.参加政府采购活动前3年内，在经营活动中没有重大违法记录的书面声明。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提供2024年或2025年度经审计的财务审计报告 (包括审计报告、资产负债表、利润表、现金流量表、所有者权益变动表及其附注，成立时间至开标时间不足一年的可提供成立后任意时段的资产负债表）或磋商截止时间前一年内其基本账户银行出具的资信证明或政府采购信用担保机构出具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 网站（www.creditchina.gov.cn）中列入失信被执行人（中国执行信息公开网http://zxgk.court.gov.cn）和重大税收违法失信主体的供应商,不得为中国政府采购网（www.ccgp.gov.cn）政府采购严重违法失信行为记录名单 中被财政部门禁止参加政府采购活动的供应商。根据财库【2019】38号文规定，此项由采购代理机构在响应截止日当天在“信用中国”网站和中国政府采购网站进行查询，截图留档；如网站无供应商信息的，供应商须提供相关证明资料或书面声明，并加盖单位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供应商具备建设行政主管部门核发的工程设计综合甲级资质或风景园林工程设计专项资质甲级。</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拟派项目负责人须具备风景园林相关专业高级工程师及以上职称证书。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依据财政部关于《推动解决政府采购异常低价问题的通知》(财库(2026)2号)文，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 业绩一览表.docx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 业绩一览表.docx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应满足磋商文件中要求的服务期限（合同履行期限）</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业绩一览表.docx 服务内容及服务邀请应答表 中小企业声明函 残疾人福利性单位声明函 商务应答表 服务方案 标的清单 报价表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评审内容：①项目整体设计方案工作思路明确②设计依据符合规范③项目重点、难点把控④设计内容科学合理。评审标准：以上内容全面详细、目标明确、科学合理且完全符合本项目采购要求得20分。评审内容缺每一项扣5分,评审内容有缺陷（缺陷指内容明显错误、描述过于简单、与项目特点不匹配、凭空编造、逻辑漏洞、出现常识性错误或不适用本项目特性等）的扣1-2.5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工作实施方案</w:t>
            </w:r>
          </w:p>
        </w:tc>
        <w:tc>
          <w:tcPr>
            <w:tcW w:type="dxa" w:w="2492"/>
          </w:tcPr>
          <w:p>
            <w:pPr>
              <w:pStyle w:val="null3"/>
            </w:pPr>
            <w:r>
              <w:rPr>
                <w:rFonts w:ascii="仿宋_GB2312" w:hAnsi="仿宋_GB2312" w:cs="仿宋_GB2312" w:eastAsia="仿宋_GB2312"/>
              </w:rPr>
              <w:t>评审内容：①时间进度安排计划②工作流程③进度保障措施。评审标准：以上方案内容全面详细、目标明确、科学合理且完全符合本项目采购要求得15分。评审内容每缺一项扣5分,评审内容有缺陷（缺陷指内容明显错误、描述过于简单、与项目特点不匹配、凭空编造、逻辑漏洞、出现常识性错误或不适用本项目特性等）的扣1-2.5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人员配备计划</w:t>
            </w:r>
          </w:p>
        </w:tc>
        <w:tc>
          <w:tcPr>
            <w:tcW w:type="dxa" w:w="2492"/>
          </w:tcPr>
          <w:p>
            <w:pPr>
              <w:pStyle w:val="null3"/>
            </w:pPr>
            <w:r>
              <w:rPr>
                <w:rFonts w:ascii="仿宋_GB2312" w:hAnsi="仿宋_GB2312" w:cs="仿宋_GB2312" w:eastAsia="仿宋_GB2312"/>
              </w:rPr>
              <w:t>除项目负责人外，需配备其他相关专业人员，提供相关专业中级（含）以上技术职称的人员，每提供1人证书得1分，最高可得5分。 注：须提供证书复印件或扫描件并加盖单位公章。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后续服务的安排及保障措施</w:t>
            </w:r>
          </w:p>
        </w:tc>
        <w:tc>
          <w:tcPr>
            <w:tcW w:type="dxa" w:w="2492"/>
          </w:tcPr>
          <w:p>
            <w:pPr>
              <w:pStyle w:val="null3"/>
            </w:pPr>
            <w:r>
              <w:rPr>
                <w:rFonts w:ascii="仿宋_GB2312" w:hAnsi="仿宋_GB2312" w:cs="仿宋_GB2312" w:eastAsia="仿宋_GB2312"/>
              </w:rPr>
              <w:t>评审内容：①后续服务安排及措施是否提出了具体服务安排②采取的措施及承诺③工程施工过程中配合工程实施所派出的设计人员。评审标准：以上内容全面详细、目标明确、科学合理且完全符合本项目采购要求得9分。评审内容缺每一项扣3分,评审内容有缺陷（缺陷指内容明显错误、描述过于简单、与项目特点不匹配、凭空编造、逻辑漏洞、出现常识性错误或不适用本项目特性等）的扣0.5-2.5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①内部管理制度②日常工作制度③人员培训制度④岗位职责⑤操作规程。评审标准：以上内容全面详细、阐述条理清晰详尽、可行性强且符合本项目需求得10分。评审内容每缺一项扣2分,评审内容有缺陷（缺陷指内容明显错误、描述过于简单、与项目特点不匹配、凭空编造、逻辑漏洞、出现常识性错误或不适用本项目特性等）的扣0.5-1.5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成本控制保障措施</w:t>
            </w:r>
          </w:p>
        </w:tc>
        <w:tc>
          <w:tcPr>
            <w:tcW w:type="dxa" w:w="2492"/>
          </w:tcPr>
          <w:p>
            <w:pPr>
              <w:pStyle w:val="null3"/>
            </w:pPr>
            <w:r>
              <w:rPr>
                <w:rFonts w:ascii="仿宋_GB2312" w:hAnsi="仿宋_GB2312" w:cs="仿宋_GB2312" w:eastAsia="仿宋_GB2312"/>
              </w:rPr>
              <w:t>评审内容：①成本控制及项目设计限额控制措施②能结合项目特点提出成本控制措施。评审标准：以上内容全面详细、目标明确、科学合理且完全符合本项目采购要求得5分。评审内容缺每一项扣2.5分,评审内容有缺陷（缺陷指内容明显错误、描述过于简单、与项目特点不匹配、凭空编造、逻辑漏洞、出现常识性错误或不适用本项目特性等）的扣0.5-2.0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评审内容：①对本项目的合理化建议具有科学性、前瞻性、地域性、可行性②承诺接受采购人对服务的考核、监督及管理以及采购人对服务质量的满意度并加以改进，确保服务工作的优质高效。评审标准：以上内容全面详细、计划安排合理、逻辑清晰、可行性强得8分。评审内容每缺一项扣4分,评审内容有缺陷（缺陷指内容明显错误、描述过于简单、与项目特点不匹配、凭空编造、逻辑漏洞、出现常识性错误或不适用本项目特性等）的扣1-2.5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评审内容：①服务质量保证措施②服务质量承诺。评审标准：以上内容全面详细、阐述条理清晰详尽、可行性强且符合本项目采购需求得8分。评审内容每缺一项扣4分,评审内容有缺陷（缺陷指内容明显错误、描述过于简单、与项目特点不匹配、凭空编造、逻辑漏洞、出现常识性错误或不适用本项目特性等)的扣1-2.5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2023年1月1日起至今（以合同签订时间或中标通知书签发时间为准），以项目设计负责人或项目负责人身份参与过的类似项目业绩，并且合同或中标通知书应体现项目负责人姓名，有1项得3分,最高得6分。 注：项目负责人业绩可与企业业绩重复。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能够提供自2023年1月至今类似项目的业绩，每项计2分，本项最高得4分（以供应商提供加盖公章的中标通知书或合同协议书复印件为准；时间以中标通知书签发时间或合同签订时间为准）。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采用低价优先法计算，即满足磋商文件要求且最终报价最低的供应商的价格为评审基准价，其价格分为满分。 报价得分＝（评审基准价/最终报价）×10 备注：本项目为专门面向中小企业采购，不再执行价格评审优惠的扶持政策。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