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版本号：RH采字【20260416】号20260424001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高陵区重点区域环境综合治理项目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RH采字【20260416】号</w:t>
      </w:r>
      <w:r>
        <w:br/>
      </w:r>
      <w:r>
        <w:br/>
      </w:r>
      <w:r>
        <w:br/>
      </w:r>
    </w:p>
    <w:p>
      <w:pPr>
        <w:pStyle w:val="null3"/>
        <w:jc w:val="center"/>
        <w:outlineLvl w:val="2"/>
      </w:pPr>
      <w:r>
        <w:rPr>
          <w:rFonts w:ascii="仿宋_GB2312" w:hAnsi="仿宋_GB2312" w:cs="仿宋_GB2312" w:eastAsia="仿宋_GB2312"/>
          <w:sz w:val="28"/>
          <w:b/>
        </w:rPr>
        <w:t>西安市高陵区住房和城乡建设局</w:t>
      </w:r>
    </w:p>
    <w:p>
      <w:pPr>
        <w:pStyle w:val="null3"/>
        <w:jc w:val="center"/>
        <w:outlineLvl w:val="2"/>
      </w:pPr>
      <w:r>
        <w:rPr>
          <w:rFonts w:ascii="仿宋_GB2312" w:hAnsi="仿宋_GB2312" w:cs="仿宋_GB2312" w:eastAsia="仿宋_GB2312"/>
          <w:sz w:val="28"/>
          <w:b/>
        </w:rPr>
        <w:t>瑞恒项目管理有限公司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瑞恒项目管理有限公司</w:t>
      </w:r>
      <w:r>
        <w:rPr>
          <w:rFonts w:ascii="仿宋_GB2312" w:hAnsi="仿宋_GB2312" w:cs="仿宋_GB2312" w:eastAsia="仿宋_GB2312"/>
        </w:rPr>
        <w:t>（以下简称“代理机构”）受</w:t>
      </w:r>
      <w:r>
        <w:rPr>
          <w:rFonts w:ascii="仿宋_GB2312" w:hAnsi="仿宋_GB2312" w:cs="仿宋_GB2312" w:eastAsia="仿宋_GB2312"/>
        </w:rPr>
        <w:t>西安市高陵区住房和城乡建设局</w:t>
      </w:r>
      <w:r>
        <w:rPr>
          <w:rFonts w:ascii="仿宋_GB2312" w:hAnsi="仿宋_GB2312" w:cs="仿宋_GB2312" w:eastAsia="仿宋_GB2312"/>
        </w:rPr>
        <w:t>委托，拟对</w:t>
      </w:r>
      <w:r>
        <w:rPr>
          <w:rFonts w:ascii="仿宋_GB2312" w:hAnsi="仿宋_GB2312" w:cs="仿宋_GB2312" w:eastAsia="仿宋_GB2312"/>
        </w:rPr>
        <w:t>高陵区重点区域环境综合治理项目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RH采字【20260416】号</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高陵区重点区域环境综合治理项目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该项目主要涉及道路3条，长度约1.02km，新建灯杆合计38根，拆除原有灯杆12根，布设高压微雾主机5台，水质净化设备5套，给水水源就近接入工商学院给水管道，电力接入工商学院实验楼配电室。施工期限预计为15个工作日。具体实施内容如下： （一）工商学院东围墙驾校至篮球场北侧区域：新建26根14米灯杆，布设高压微雾主机3台，水质净化设备3套，电力电缆敷设850米，水管敷设700米，上灯杆的高压喷雾管采用不锈钢压力管520米，储水罐体1套等施工等内容。 （二）工商学院体育场对面下沉广场至室内游泳馆路南侧区域：拆除原有8根6米杆体，新建8根14米灯杆，布设高压微雾主机1台，水质净化设备1套，电力电缆敷设300米，水管敷设350米，上灯杆的高压喷雾管采用不锈钢压力管160米，等施工等内容。 （三）工商学院食堂1号至食堂2号路面北侧区域：拆除原有4根6米杆体，新建4根14米灯杆，布设高压微雾主机1台，水质净化设备1套，电力电缆敷设120米，水管敷设160米，上灯杆的高压喷雾管采用不锈钢压力管80米，储水罐体1套等施工等内容内容。</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采购包1（高陵区重点区域环境综合治理项目）：属于专门面向中小企业采购。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1、企业资质：具备行政主管部门颁发的市政公用工程施工总承包三级及以上资质，并具备有效的安全生产许可证；</w:t>
      </w:r>
    </w:p>
    <w:p>
      <w:pPr>
        <w:pStyle w:val="null3"/>
      </w:pPr>
      <w:r>
        <w:rPr>
          <w:rFonts w:ascii="仿宋_GB2312" w:hAnsi="仿宋_GB2312" w:cs="仿宋_GB2312" w:eastAsia="仿宋_GB2312"/>
        </w:rPr>
        <w:t>2、拟派项目负责人：拟派项目负责人资质和专业要求：拟派项目经理须具备注册在本企业的市政公用工程专业二级及以上注册建造师执业资格，具备有效的安全生产考核合格证书B 证（建安 B 证），在本单位注册且无在建项目，提供投标文件截止时间一年内至少三个月的社保证明；</w:t>
      </w:r>
    </w:p>
    <w:p>
      <w:pPr>
        <w:pStyle w:val="null3"/>
      </w:pPr>
      <w:r>
        <w:rPr>
          <w:rFonts w:ascii="仿宋_GB2312" w:hAnsi="仿宋_GB2312" w:cs="仿宋_GB2312" w:eastAsia="仿宋_GB2312"/>
        </w:rPr>
        <w:t>3、法定代表人授权委托书：法定代表人参加投标的，须出示身份证；法定代表人授权他人参加投标的，须提供法定代表人授权委托书、被授权人提交投标文件截止时间前两年内任意一个月的社会保障资金（养老保险或医疗保险）的缴纳证明及被授权人身份证；</w:t>
      </w:r>
    </w:p>
    <w:p>
      <w:pPr>
        <w:pStyle w:val="null3"/>
      </w:pPr>
      <w:r>
        <w:rPr>
          <w:rFonts w:ascii="仿宋_GB2312" w:hAnsi="仿宋_GB2312" w:cs="仿宋_GB2312" w:eastAsia="仿宋_GB2312"/>
        </w:rPr>
        <w:t>4、陕西省建筑市场监管与诚信信息发布平台备案：陕西省建筑市场监管与诚信信息发布平台备案：供应商基本信息及项目经理（注册建造师） 人员基本信息应在“陕西建设网（ http://js.shaanxi.gov.cn/ ）陕西省建筑市场监管与诚信信息发布平台可查询， 提供相关信息截图；</w:t>
      </w:r>
    </w:p>
    <w:p>
      <w:pPr>
        <w:pStyle w:val="null3"/>
      </w:pPr>
      <w:r>
        <w:rPr>
          <w:rFonts w:ascii="仿宋_GB2312" w:hAnsi="仿宋_GB2312" w:cs="仿宋_GB2312" w:eastAsia="仿宋_GB2312"/>
        </w:rPr>
        <w:t>5、声明函：本项目不接受联合体投标；单位负责人为同一人或者存在控股、管理关系的不同单位，不得参加同一项目的投标。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西安市高陵区住房和城乡建设局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西安市高陵区文卫路132号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18792796458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瑞恒项目管理有限公司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陕西省西安市雁塔区陕西省西安市曲江新区雁翔路3269号旺座曲江D座30层3001号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刘菲、李瑜、石雨鑫、张丰利</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029-88441538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西安市高陵区采购管理科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药咪</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029-86919290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采购包1：1,406,323.39元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收费标准：中标供应商在领取《中标通知书》之前，向采购代理机构一次付清招标代理服务费。采购代理服务费的金额参照《招标代理服务收费管理暂行办法》计价格[2002]1980号文、《国家发展改革委关于降低部分建设项目收费标准规范收费行为等有关问题的通知》发改价格[2011]534号文，以中标价为基数，按工程类标准计取代理服务费。</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西安市高陵区住房和城乡建设局</w:t>
      </w:r>
      <w:r>
        <w:rPr>
          <w:rFonts w:ascii="仿宋_GB2312" w:hAnsi="仿宋_GB2312" w:cs="仿宋_GB2312" w:eastAsia="仿宋_GB2312"/>
        </w:rPr>
        <w:t>和</w:t>
      </w:r>
      <w:r>
        <w:rPr>
          <w:rFonts w:ascii="仿宋_GB2312" w:hAnsi="仿宋_GB2312" w:cs="仿宋_GB2312" w:eastAsia="仿宋_GB2312"/>
        </w:rPr>
        <w:t>瑞恒项目管理有限公司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西安市高陵区住房和城乡建设局</w:t>
      </w:r>
      <w:r>
        <w:rPr>
          <w:rFonts w:ascii="仿宋_GB2312" w:hAnsi="仿宋_GB2312" w:cs="仿宋_GB2312" w:eastAsia="仿宋_GB2312"/>
        </w:rPr>
        <w:t>负责解释。除上述磋商文件内容，其他内容由</w:t>
      </w:r>
      <w:r>
        <w:rPr>
          <w:rFonts w:ascii="仿宋_GB2312" w:hAnsi="仿宋_GB2312" w:cs="仿宋_GB2312" w:eastAsia="仿宋_GB2312"/>
        </w:rPr>
        <w:t>瑞恒项目管理有限公司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西安市高陵区住房和城乡建设局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瑞恒项目管理有限公司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符合国家现行法规、规范、规程、规定、标准及其它专项设计、施工规范，省、市、行业有关强制性规定、标准。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瑞恒项目管理有限公司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瑞恒项目管理有限公司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瑞恒项目管理有限公司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联系人：瑞恒项目管理有限公司招标部</w:t>
      </w:r>
    </w:p>
    <w:p>
      <w:pPr>
        <w:pStyle w:val="null3"/>
      </w:pPr>
      <w:r>
        <w:rPr>
          <w:rFonts w:ascii="仿宋_GB2312" w:hAnsi="仿宋_GB2312" w:cs="仿宋_GB2312" w:eastAsia="仿宋_GB2312"/>
        </w:rPr>
        <w:t>联系电话：029-88441538</w:t>
      </w:r>
    </w:p>
    <w:p>
      <w:pPr>
        <w:pStyle w:val="null3"/>
      </w:pPr>
      <w:r>
        <w:rPr>
          <w:rFonts w:ascii="仿宋_GB2312" w:hAnsi="仿宋_GB2312" w:cs="仿宋_GB2312" w:eastAsia="仿宋_GB2312"/>
        </w:rPr>
        <w:t>地址：陕西省西安市曲江新区雁翔路3269号旺座曲江D座30层3001号</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1,406,323.39</w:t>
      </w:r>
    </w:p>
    <w:p>
      <w:pPr>
        <w:pStyle w:val="null3"/>
      </w:pPr>
      <w:r>
        <w:rPr>
          <w:rFonts w:ascii="仿宋_GB2312" w:hAnsi="仿宋_GB2312" w:cs="仿宋_GB2312" w:eastAsia="仿宋_GB2312"/>
        </w:rPr>
        <w:t>采购包最高限价（元）: 1,406,323.39</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高陵区重点区域环境综合治理项目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1,406,323.39</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标的名称：高陵区重点区域环境综合治理项目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00"/>
            </w:pPr>
            <w:r>
              <w:rPr>
                <w:rFonts w:ascii="仿宋_GB2312" w:hAnsi="仿宋_GB2312" w:cs="仿宋_GB2312" w:eastAsia="仿宋_GB2312"/>
              </w:rPr>
              <w:t>工程概况：</w:t>
            </w:r>
            <w:r>
              <w:rPr>
                <w:rFonts w:ascii="仿宋_GB2312" w:hAnsi="仿宋_GB2312" w:cs="仿宋_GB2312" w:eastAsia="仿宋_GB2312"/>
              </w:rPr>
              <w:t>本项目采购人为</w:t>
            </w:r>
            <w:r>
              <w:rPr>
                <w:rFonts w:ascii="仿宋_GB2312" w:hAnsi="仿宋_GB2312" w:cs="仿宋_GB2312" w:eastAsia="仿宋_GB2312"/>
              </w:rPr>
              <w:t>西安市高陵区住房和城乡建设局</w:t>
            </w:r>
            <w:r>
              <w:rPr>
                <w:rFonts w:ascii="仿宋_GB2312" w:hAnsi="仿宋_GB2312" w:cs="仿宋_GB2312" w:eastAsia="仿宋_GB2312"/>
              </w:rPr>
              <w:t>，全权负责本项目采购事宜。本次招标主要内容包括该项目主要涉及道路</w:t>
            </w:r>
            <w:r>
              <w:rPr>
                <w:rFonts w:ascii="仿宋_GB2312" w:hAnsi="仿宋_GB2312" w:cs="仿宋_GB2312" w:eastAsia="仿宋_GB2312"/>
              </w:rPr>
              <w:t>3条，长度约1.02km，新建灯杆合计38根，拆除原有灯杆12根，布设高压微雾主机5台，水质净化设备5套，给水水源就近接入工商学院给水管道，电力接入工商学院实验楼配电室。施工期限预计为15个工作日。具体实施内容如下：</w:t>
            </w:r>
          </w:p>
          <w:p>
            <w:pPr>
              <w:pStyle w:val="null3"/>
            </w:pPr>
            <w:r>
              <w:rPr>
                <w:rFonts w:ascii="仿宋_GB2312" w:hAnsi="仿宋_GB2312" w:cs="仿宋_GB2312" w:eastAsia="仿宋_GB2312"/>
              </w:rPr>
              <w:t>（一）工商学院东围墙驾校至篮球场北侧区域：新建</w:t>
            </w:r>
            <w:r>
              <w:rPr>
                <w:rFonts w:ascii="仿宋_GB2312" w:hAnsi="仿宋_GB2312" w:cs="仿宋_GB2312" w:eastAsia="仿宋_GB2312"/>
              </w:rPr>
              <w:t>26根14米灯杆，布设高压微雾主机3台，水质净化设备3套，电力电缆敷设850米，水管敷设700米，上灯杆的高压喷雾管采用不锈钢压力管520米，储水罐体1套等施工等内容。</w:t>
            </w:r>
          </w:p>
          <w:p>
            <w:pPr>
              <w:pStyle w:val="null3"/>
            </w:pPr>
            <w:r>
              <w:rPr>
                <w:rFonts w:ascii="仿宋_GB2312" w:hAnsi="仿宋_GB2312" w:cs="仿宋_GB2312" w:eastAsia="仿宋_GB2312"/>
              </w:rPr>
              <w:t>（二）工商学院体育场对面下沉广场至室内游泳馆路南侧区域：拆除原有</w:t>
            </w:r>
            <w:r>
              <w:rPr>
                <w:rFonts w:ascii="仿宋_GB2312" w:hAnsi="仿宋_GB2312" w:cs="仿宋_GB2312" w:eastAsia="仿宋_GB2312"/>
              </w:rPr>
              <w:t>8根6米杆体，新建8根14米灯杆，布设高压微雾主机1台，水质净化设备1套，电力电缆敷设300米，水管敷设350米，上灯杆的高压喷雾管采用不锈钢压力管160米，等施工等内容。</w:t>
            </w:r>
          </w:p>
          <w:p>
            <w:pPr>
              <w:pStyle w:val="null3"/>
            </w:pPr>
            <w:r>
              <w:rPr>
                <w:rFonts w:ascii="仿宋_GB2312" w:hAnsi="仿宋_GB2312" w:cs="仿宋_GB2312" w:eastAsia="仿宋_GB2312"/>
                <w:sz w:val="21"/>
              </w:rPr>
              <w:t>（三）工商学院食堂</w:t>
            </w:r>
            <w:r>
              <w:rPr>
                <w:rFonts w:ascii="仿宋_GB2312" w:hAnsi="仿宋_GB2312" w:cs="仿宋_GB2312" w:eastAsia="仿宋_GB2312"/>
                <w:sz w:val="21"/>
              </w:rPr>
              <w:t>1号至食堂2号路面北侧区域：拆除原有4根6米杆体，新建4根14米灯杆，布设高压微雾主机1台，水质净化设备1套，电力电缆敷设120米，水管敷设160米，上灯杆的高压喷雾管采用不锈钢压力管80米，储水罐体1套等施工等内容内容。</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工期：</w:t>
            </w:r>
            <w:r>
              <w:rPr>
                <w:rFonts w:ascii="仿宋_GB2312" w:hAnsi="仿宋_GB2312" w:cs="仿宋_GB2312" w:eastAsia="仿宋_GB2312"/>
                <w:sz w:val="21"/>
              </w:rPr>
              <w:t>15个工作日</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符合国家现行法规、规范、规程、规定、标准及其它专项设计、施工规范，省、市、行业有关强制性规定、标准。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采购标的对应的中小企业划分标准所属行业为建筑业。建筑业的划型标准为：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 2.落实的政府采购政策： （1）《政府采购促进中小企业发展管理办法》（财库〔2020〕46号）； （2）《关于进一步加大政府采购支持中小企业力度的通知》（财库〔2022〕19号）； （3）《财政部司法部关于政府采购支持监狱企业发展有关问题的通知》（财库〔2014〕68号）； （4）《国务院办公厅关于建立政府强制采购节能产品制度的通知》（国办发〔2007〕51号）； （5）《关于印发环境标志产品政府采购品目清单的通知》（财库〔2019〕18号）； （6）《关于印发节能产品政府采购品目清单的通知》（财库〔2019〕19号）； （7）《关于促进残疾人就业政府采购政策的通知》财库〔2017〕141号； （8）《关于调整优化节能产品、环境标志产品政府采购执行机制的通知》（财库〔2019〕9号）； （9）《财政部农业农村部国家乡村振兴局关于运用政府采购政策支持乡村产业振兴的通知》（财库〔2021〕19号）； （10）《陕西省中小企业政府采购信用融资办法》（陕财办采〔2018〕23号）； （11）《陕西省财政厅关于加快推进我省中小企业政府采购信用融资工作的通知》（陕财办采〔2020〕15号）； （12）《陕西省财政厅关于进一步加强政府绿色采购有关问题的通知》（陕财办采〔2021〕29号）； （13）其他需要落实的政府采购政策。</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1、具有独立承担民事责任能力的法人、其他组织或自然人，并出具合法有效的营业执照或事业单位法人证书等国家规定的相关证明，自然人参与的提供其身份证明； 2、财务状况报告：（三种形式的资料提供任何一种即可）1）提供2024年或2025年财务审计报告（成立时间至开标时间不足一年的可提供成立后任意时段的资产负债表）；2）提供基本存款账户信息及开标日期前三个月内其基本存款账户开户银行出具的资信证明；3）财政部门认可的政府采购专业担保机构出具的投标担保函；（依法不需要提供财务状况的投标供应商应提供相关证明） 3、税收缴纳证明：提供投标文件截止时间一年内至少一个月的依法缴纳税收的相关凭据（时间以税款所属日期为准、税种须至少包含增值税或企业所得税），凭据应有税务机关或代收机关的公章或业务专用章。依法免税或无须缴纳税收的投标人，应提供相应证明文件； 4、社会保障资金缴纳证明：提供投标文件截止时间一年内至少一个月的社会保障资金缴存单据或社保机构开具的社会保险参保缴费情况证明，单据或证明上应有社保机构或代收机构的公章或业务专用章；（依法不需要缴纳社会保障资金的投标供应商应提供相关证明） 5、提供参加本次政府采购活动前三年内在经营活动中没有重大违法记录的书面声明及无不良信用记录查询结果（未被“信用中国”网站（www.creditchina.gov.cn）列入重大税收违法失信主体；不得被“中国执行信息公开网”（zxgk.court.gov.cn）列入失信被执行人名单；不得被“中国政府采购网”（www.ccgp.gov.cn）列入政府采购严重违法失信行为记录名单）；（提供“书面声明”、“信用中国”、“中国执行信息公开网”、“中国政府采购网”相应版块的查询结果截图加盖投标人公章）。</w:t>
            </w:r>
          </w:p>
        </w:tc>
        <w:tc>
          <w:tcPr>
            <w:tcW w:type="dxa" w:w="1661"/>
          </w:tcPr>
          <w:p>
            <w:pPr>
              <w:pStyle w:val="null3"/>
            </w:pPr>
            <w:r>
              <w:rPr>
                <w:rFonts w:ascii="仿宋_GB2312" w:hAnsi="仿宋_GB2312" w:cs="仿宋_GB2312" w:eastAsia="仿宋_GB2312"/>
              </w:rPr>
              <w:t>响应文件封面 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三种形式的资料提供任何一种即可）1）提供2024年或2025年财务审计报告（成立时间至开标时间不足一年的可提供成立后任意时段的资产负债表）；2）提供基本存款账户信息及开标日期前三个月内其基本存款账户开户银行出具的资信证明；3）财政部门认可的政府采购专业担保机构出具的投标担保函；（依法不需要提供财务状况的投标供应商应提供相关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具备行政主管部门颁发的市政公用工程施工总承包三级及以上资质，并具备有效的安全生产许可证；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拟派项目负责人</w:t>
            </w:r>
          </w:p>
        </w:tc>
        <w:tc>
          <w:tcPr>
            <w:tcW w:type="dxa" w:w="3322"/>
          </w:tcPr>
          <w:p>
            <w:pPr>
              <w:pStyle w:val="null3"/>
            </w:pPr>
            <w:r>
              <w:rPr>
                <w:rFonts w:ascii="仿宋_GB2312" w:hAnsi="仿宋_GB2312" w:cs="仿宋_GB2312" w:eastAsia="仿宋_GB2312"/>
              </w:rPr>
              <w:t>拟派项目负责人资质和专业要求：拟派项目经理须具备注册在本企业的市政公用工程专业二级及以上注册建造师执业资格，具备有效的安全生产考核合格证书B 证（建安 B 证），在本单位注册且无在建项目，提供投标文件截止时间一年内至少三个月的社保证明；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出示身份证；法定代表人授权他人参加投标的，须提供法定代表人授权委托书、被授权人提交投标文件截止时间前两年内任意一个月的社会保障资金（养老保险或医疗保险）的缴纳证明及被授权人身份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陕西省建筑市场监管与诚信信息发布平台备案</w:t>
            </w:r>
          </w:p>
        </w:tc>
        <w:tc>
          <w:tcPr>
            <w:tcW w:type="dxa" w:w="3322"/>
          </w:tcPr>
          <w:p>
            <w:pPr>
              <w:pStyle w:val="null3"/>
            </w:pPr>
            <w:r>
              <w:rPr>
                <w:rFonts w:ascii="仿宋_GB2312" w:hAnsi="仿宋_GB2312" w:cs="仿宋_GB2312" w:eastAsia="仿宋_GB2312"/>
              </w:rPr>
              <w:t>陕西省建筑市场监管与诚信信息发布平台备案：供应商基本信息及项目经理（注册建造师） 人员基本信息应在“陕西建设网（ http://js.shaanxi.gov.cn/ ）陕西省建筑市场监管与诚信信息发布平台可查询， 提供相关信息截图；</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声明函</w:t>
            </w:r>
          </w:p>
        </w:tc>
        <w:tc>
          <w:tcPr>
            <w:tcW w:type="dxa" w:w="3322"/>
          </w:tcPr>
          <w:p>
            <w:pPr>
              <w:pStyle w:val="null3"/>
            </w:pPr>
            <w:r>
              <w:rPr>
                <w:rFonts w:ascii="仿宋_GB2312" w:hAnsi="仿宋_GB2312" w:cs="仿宋_GB2312" w:eastAsia="仿宋_GB2312"/>
              </w:rPr>
              <w:t>本项目不接受联合体投标；单位负责人为同一人或者存在控股、管理关系的不同单位，不得参加同一项目的投标。</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与项目的一致性</w:t>
            </w:r>
          </w:p>
        </w:tc>
        <w:tc>
          <w:tcPr>
            <w:tcW w:type="dxa" w:w="3322"/>
          </w:tcPr>
          <w:p>
            <w:pPr>
              <w:pStyle w:val="null3"/>
            </w:pPr>
            <w:r>
              <w:rPr>
                <w:rFonts w:ascii="仿宋_GB2312" w:hAnsi="仿宋_GB2312" w:cs="仿宋_GB2312" w:eastAsia="仿宋_GB2312"/>
              </w:rPr>
              <w:t>至少以下三处的项目名称、项目编号、合同包（未分合同包的除外）与本项目完全一致： （1）投标文件封面 （2）投标函 （3）法定代表人（负责人）委托授权书\身份证明</w:t>
            </w:r>
          </w:p>
        </w:tc>
        <w:tc>
          <w:tcPr>
            <w:tcW w:type="dxa" w:w="1661"/>
          </w:tcPr>
          <w:p>
            <w:pPr>
              <w:pStyle w:val="null3"/>
            </w:pPr>
            <w:r>
              <w:rPr>
                <w:rFonts w:ascii="仿宋_GB2312" w:hAnsi="仿宋_GB2312" w:cs="仿宋_GB2312" w:eastAsia="仿宋_GB2312"/>
              </w:rPr>
              <w:t>响应文件封面 供应商应提交的相关资格证明材料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投标文件组成</w:t>
            </w:r>
          </w:p>
        </w:tc>
        <w:tc>
          <w:tcPr>
            <w:tcW w:type="dxa" w:w="3322"/>
          </w:tcPr>
          <w:p>
            <w:pPr>
              <w:pStyle w:val="null3"/>
            </w:pPr>
            <w:r>
              <w:rPr>
                <w:rFonts w:ascii="仿宋_GB2312" w:hAnsi="仿宋_GB2312" w:cs="仿宋_GB2312" w:eastAsia="仿宋_GB2312"/>
              </w:rPr>
              <w:t>投标文件完整且编排有序，投标内容基本完整，无重大错漏；</w:t>
            </w:r>
          </w:p>
        </w:tc>
        <w:tc>
          <w:tcPr>
            <w:tcW w:type="dxa" w:w="1661"/>
          </w:tcPr>
          <w:p>
            <w:pPr>
              <w:pStyle w:val="null3"/>
            </w:pPr>
            <w:r>
              <w:rPr>
                <w:rFonts w:ascii="仿宋_GB2312" w:hAnsi="仿宋_GB2312" w:cs="仿宋_GB2312" w:eastAsia="仿宋_GB2312"/>
              </w:rPr>
              <w:t>已标价工程量清单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同时满足以下条款： （1）货币单位符合招标文件要求（2）报价符合唯一性要求 （3）未超出采购预算或最高限价</w:t>
            </w:r>
          </w:p>
        </w:tc>
        <w:tc>
          <w:tcPr>
            <w:tcW w:type="dxa" w:w="1661"/>
          </w:tcPr>
          <w:p>
            <w:pPr>
              <w:pStyle w:val="null3"/>
            </w:pPr>
            <w:r>
              <w:rPr>
                <w:rFonts w:ascii="仿宋_GB2312" w:hAnsi="仿宋_GB2312" w:cs="仿宋_GB2312" w:eastAsia="仿宋_GB2312"/>
              </w:rPr>
              <w:t>已标价工程量清单 报价函 技术服务合同条款及其他商务要求应答表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投标有效期满足竞争性磋商文件的要求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合同条款</w:t>
            </w:r>
          </w:p>
        </w:tc>
        <w:tc>
          <w:tcPr>
            <w:tcW w:type="dxa" w:w="3322"/>
          </w:tcPr>
          <w:p>
            <w:pPr>
              <w:pStyle w:val="null3"/>
            </w:pPr>
            <w:r>
              <w:rPr>
                <w:rFonts w:ascii="仿宋_GB2312" w:hAnsi="仿宋_GB2312" w:cs="仿宋_GB2312" w:eastAsia="仿宋_GB2312"/>
              </w:rPr>
              <w:t>完全理解并响应采购文件合同条款的要求，且未含有采购人不能接受的附加条件的。</w:t>
            </w:r>
          </w:p>
        </w:tc>
        <w:tc>
          <w:tcPr>
            <w:tcW w:type="dxa" w:w="1661"/>
          </w:tcPr>
          <w:p>
            <w:pPr>
              <w:pStyle w:val="null3"/>
            </w:pPr>
            <w:r>
              <w:rPr>
                <w:rFonts w:ascii="仿宋_GB2312" w:hAnsi="仿宋_GB2312" w:cs="仿宋_GB2312" w:eastAsia="仿宋_GB2312"/>
              </w:rPr>
              <w:t>技术服务合同条款及其他商务要求应答表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符合法律、法规和竞争性磋商中规定的其他实质性要求</w:t>
            </w:r>
          </w:p>
        </w:tc>
        <w:tc>
          <w:tcPr>
            <w:tcW w:type="dxa" w:w="3322"/>
          </w:tcPr>
          <w:p>
            <w:pPr>
              <w:pStyle w:val="null3"/>
            </w:pPr>
            <w:r>
              <w:rPr>
                <w:rFonts w:ascii="仿宋_GB2312" w:hAnsi="仿宋_GB2312" w:cs="仿宋_GB2312" w:eastAsia="仿宋_GB2312"/>
              </w:rPr>
              <w:t>是否符合法律、法规和竞争性磋商文件中规定的其他实质性要求</w:t>
            </w:r>
          </w:p>
        </w:tc>
        <w:tc>
          <w:tcPr>
            <w:tcW w:type="dxa" w:w="1661"/>
          </w:tcPr>
          <w:p>
            <w:pPr>
              <w:pStyle w:val="null3"/>
            </w:pPr>
            <w:r>
              <w:rPr>
                <w:rFonts w:ascii="仿宋_GB2312" w:hAnsi="仿宋_GB2312" w:cs="仿宋_GB2312" w:eastAsia="仿宋_GB2312"/>
              </w:rPr>
              <w:t>报价函 响应函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1）措施内容完整、全面、可行性较强，得(5-8]分； 2) 措施内容较完善，可行性一般，得(3-5]分； 3) 措施内容一般，可行性较差，得[1-3]分。 未提供的不计分。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确保安全施工的技术组织措施</w:t>
            </w:r>
          </w:p>
        </w:tc>
        <w:tc>
          <w:tcPr>
            <w:tcW w:type="dxa" w:w="2492"/>
          </w:tcPr>
          <w:p>
            <w:pPr>
              <w:pStyle w:val="null3"/>
            </w:pPr>
            <w:r>
              <w:rPr>
                <w:rFonts w:ascii="仿宋_GB2312" w:hAnsi="仿宋_GB2312" w:cs="仿宋_GB2312" w:eastAsia="仿宋_GB2312"/>
              </w:rPr>
              <w:t>1）措施内容完整、全面、可行性较强，得(5-8]分； 2) 措施内容较完善，可行性一般，得(3-5]分； 3) 措施内容一般，可行性较差，得[1-3]分。 未提供的不计分。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确保文明施工的技术组织措施及环境保护措施</w:t>
            </w:r>
          </w:p>
        </w:tc>
        <w:tc>
          <w:tcPr>
            <w:tcW w:type="dxa" w:w="2492"/>
          </w:tcPr>
          <w:p>
            <w:pPr>
              <w:pStyle w:val="null3"/>
            </w:pPr>
            <w:r>
              <w:rPr>
                <w:rFonts w:ascii="仿宋_GB2312" w:hAnsi="仿宋_GB2312" w:cs="仿宋_GB2312" w:eastAsia="仿宋_GB2312"/>
              </w:rPr>
              <w:t>1）措施内容完整、全面、可行性较强，得(5-8]分； 2) 措施内容较完善，可行性一般，得(3-5]分； 3) 措施内容一般，可行性较差，得[1-3]分。 未提供的不计分。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1）措施内容完整、全面、可行性较强，得(5-8]分； 2) 措施内容较完善，可行性一般，得(3-5]分； 3) 措施内容一般，可行性较差，得[1-3]分。 未提供的不计分。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1）方案内容完整、全面、可行性较强，得(6-9]分； 2) 方案内容较完善，可行性一般，得(3-6]分； 3) 方案内容一般，可行性较差，得[1-3]分。 未提供的不计分。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施工机械配备和材料投入计划</w:t>
            </w:r>
          </w:p>
        </w:tc>
        <w:tc>
          <w:tcPr>
            <w:tcW w:type="dxa" w:w="2492"/>
          </w:tcPr>
          <w:p>
            <w:pPr>
              <w:pStyle w:val="null3"/>
            </w:pPr>
            <w:r>
              <w:rPr>
                <w:rFonts w:ascii="仿宋_GB2312" w:hAnsi="仿宋_GB2312" w:cs="仿宋_GB2312" w:eastAsia="仿宋_GB2312"/>
              </w:rPr>
              <w:t>1）内容完整、全面、可行性较强，得(5-8]分； 2) 内容较完善，可行性一般，得(3-5]分； 3) 内容一般，可行性较差，得[1-3]分。 未提供的不计分。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施工进度表或施工网络图</w:t>
            </w:r>
          </w:p>
        </w:tc>
        <w:tc>
          <w:tcPr>
            <w:tcW w:type="dxa" w:w="2492"/>
          </w:tcPr>
          <w:p>
            <w:pPr>
              <w:pStyle w:val="null3"/>
            </w:pPr>
            <w:r>
              <w:rPr>
                <w:rFonts w:ascii="仿宋_GB2312" w:hAnsi="仿宋_GB2312" w:cs="仿宋_GB2312" w:eastAsia="仿宋_GB2312"/>
              </w:rPr>
              <w:t>1）内容完整、全面、可行性较强，得(5-8]分； 2) 内容较完善，可行性一般，得(3-5]分； 3) 内容一般，可行性较差，得[1-3]分。 未提供的不计分。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劳动力安排计划及劳务分包情况表</w:t>
            </w:r>
          </w:p>
        </w:tc>
        <w:tc>
          <w:tcPr>
            <w:tcW w:type="dxa" w:w="2492"/>
          </w:tcPr>
          <w:p>
            <w:pPr>
              <w:pStyle w:val="null3"/>
            </w:pPr>
            <w:r>
              <w:rPr>
                <w:rFonts w:ascii="仿宋_GB2312" w:hAnsi="仿宋_GB2312" w:cs="仿宋_GB2312" w:eastAsia="仿宋_GB2312"/>
              </w:rPr>
              <w:t>1）内容完整、全面、可行性较强，得(5-8]分； 2) 内容较完善，可行性一般，得(3-5]分； 3) 内容一般，可行性较差，得[1-3]分。 未提供的不计分。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提供2023年4月1日起至今，供应商承担的类似项目业绩（以响应文件中合同复印件为准），每提供1份有效业绩得2.5分，最多得5分。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1.经初审合格的投标文件，其投标报价为有效投标价。 2.有效最低报价为基准价得30分。 3.按（有效最低报价/有效投标报价）×30的公式计算其得分。 4.投标报价不完整的，不进入评标标准价的计算，本项得0分。 5.经评委一致认定，供应商的投标总报价低于公认市场成本，或超过采购预算,其投标将被拒绝。</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详见附件：政采施工合同2026.4.24.docx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