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蓝田县公安局刑侦大队大数据智能分析平台建设</w:t>
      </w:r>
    </w:p>
    <w:p>
      <w:pPr>
        <w:pStyle w:val="null3"/>
        <w:jc w:val="center"/>
        <w:outlineLvl w:val="2"/>
      </w:pPr>
      <w:r>
        <w:rPr>
          <w:sz w:val="28"/>
          <w:b/>
        </w:rPr>
        <w:t>采购项目编号：</w:t>
      </w:r>
      <w:r>
        <w:rPr>
          <w:sz w:val="28"/>
          <w:b/>
        </w:rPr>
        <w:t>ZZDY--2024-039</w:t>
      </w:r>
      <w:r>
        <w:br/>
      </w:r>
      <w:r>
        <w:br/>
      </w:r>
      <w:r>
        <w:br/>
      </w:r>
    </w:p>
    <w:p>
      <w:pPr>
        <w:pStyle w:val="null3"/>
        <w:jc w:val="center"/>
        <w:outlineLvl w:val="2"/>
      </w:pPr>
      <w:r>
        <w:rPr>
          <w:sz w:val="28"/>
          <w:b/>
        </w:rPr>
        <w:t>西安市蓝田县公安局（本级）</w:t>
      </w:r>
    </w:p>
    <w:p>
      <w:pPr>
        <w:pStyle w:val="null3"/>
        <w:jc w:val="center"/>
        <w:outlineLvl w:val="2"/>
      </w:pPr>
      <w:r>
        <w:rPr>
          <w:sz w:val="28"/>
          <w:b/>
        </w:rPr>
        <w:t>陕西中正鼎裕项目管理有限公司</w:t>
      </w:r>
      <w:r>
        <w:rPr>
          <w:sz w:val="28"/>
          <w:b/>
        </w:rPr>
        <w:t>共同编制</w:t>
      </w:r>
    </w:p>
    <w:p>
      <w:pPr>
        <w:pStyle w:val="null3"/>
        <w:jc w:val="center"/>
        <w:outlineLvl w:val="2"/>
      </w:pPr>
      <w:r>
        <w:rPr>
          <w:sz w:val="28"/>
          <w:b/>
        </w:rPr>
        <w:t>2024年11月03日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陕西中正鼎裕项目管理有限公司</w:t>
      </w:r>
      <w:r>
        <w:rPr/>
        <w:t>（以下简称“代理机构”）受</w:t>
      </w:r>
      <w:r>
        <w:rPr/>
        <w:t>西安市蓝田县公安局（本级）</w:t>
      </w:r>
      <w:r>
        <w:rPr/>
        <w:t>委托，拟对</w:t>
      </w:r>
      <w:r>
        <w:rPr/>
        <w:t>蓝田县公安局刑侦大队大数据智能分析平台建设</w:t>
      </w:r>
      <w:r>
        <w:rPr/>
        <w:t>采用竞争性磋商采购方式进行采购，兹邀请供应商参加本项目的竞争性磋商。</w:t>
      </w:r>
    </w:p>
    <w:p>
      <w:pPr>
        <w:pStyle w:val="null3"/>
        <w:outlineLvl w:val="2"/>
      </w:pPr>
      <w:r>
        <w:rPr>
          <w:sz w:val="28"/>
          <w:b/>
        </w:rPr>
        <w:t>一、项目编号：</w:t>
      </w:r>
      <w:r>
        <w:rPr>
          <w:sz w:val="28"/>
          <w:b/>
        </w:rPr>
        <w:t>ZZDY--2024-039</w:t>
      </w:r>
    </w:p>
    <w:p>
      <w:pPr>
        <w:pStyle w:val="null3"/>
        <w:outlineLvl w:val="2"/>
      </w:pPr>
      <w:r>
        <w:rPr>
          <w:sz w:val="28"/>
          <w:b/>
        </w:rPr>
        <w:t>二、项目名称：</w:t>
      </w:r>
      <w:r>
        <w:rPr>
          <w:sz w:val="28"/>
          <w:b/>
        </w:rPr>
        <w:t>蓝田县公安局刑侦大队大数据智能分析平台建设</w:t>
      </w:r>
    </w:p>
    <w:p>
      <w:pPr>
        <w:pStyle w:val="null3"/>
        <w:outlineLvl w:val="2"/>
      </w:pPr>
      <w:r>
        <w:rPr>
          <w:sz w:val="28"/>
          <w:b/>
        </w:rPr>
        <w:t>三、磋商项目简介</w:t>
      </w:r>
    </w:p>
    <w:p>
      <w:pPr>
        <w:pStyle w:val="null3"/>
        <w:ind w:firstLine="480"/>
      </w:pPr>
      <w:r>
        <w:rPr/>
        <w:t>大数据智能分析平台建设服务，服务内容包含案件智能研判、多维线索解析、案件管理、用户中心、系统管理等。通过平建设建立完善“专业+机制+大数据”的新型警务模式，进一步加强刑侦大队专业研判力量。</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采购包1（蓝田县公安局刑侦大队大数据智能分析平台建设）：属于专门面向中小企业采购。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1、具有独立承担民事责任的能力：提供有效的法人或者其他组织的营业执照等证明文件，自然人的身份证明。</w:t>
      </w:r>
    </w:p>
    <w:p>
      <w:pPr>
        <w:pStyle w:val="null3"/>
      </w:pPr>
      <w:r>
        <w:rPr/>
        <w:t>2、具有健全的财务会计制度：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3、具有履行合同所必需的设备和专业技术能力：提供可充分满足履行合同所需设备和专业技术能力的承诺。</w:t>
      </w:r>
    </w:p>
    <w:p>
      <w:pPr>
        <w:pStyle w:val="null3"/>
      </w:pPr>
      <w:r>
        <w:rPr/>
        <w:t>4、有依法缴纳税收和社会保障资金的良好记录：1.提供已缴纳的 2023年11月1日以来任意时间段的纳税证明或完税证明，纳税证明或完税证明上应有代收机构或税务机关的公章或业务专用章。依法免税的投标人应提供相关文件证明。 2.提供已缴存的 2023年11月1日以来任意时间段的社会保障资金缴存单据或社保机构开具的社会保险参保缴费情况证明。成立时间至提交响应文件截止时间不足一个月或依法不需要缴纳社会保障资金的投标人应提供相关文件证明。</w:t>
      </w:r>
    </w:p>
    <w:p>
      <w:pPr>
        <w:pStyle w:val="null3"/>
      </w:pPr>
      <w:r>
        <w:rPr/>
        <w:t>5、参加政府采购活动前三年内，在经营活动中没有重大违法记录：提供了有效的参加政府采购活动前三年内在经营活动中没有重大违法记录的书面声明</w:t>
      </w:r>
    </w:p>
    <w:p>
      <w:pPr>
        <w:pStyle w:val="null3"/>
      </w:pPr>
      <w:r>
        <w:rPr/>
        <w:t>6、“信用中国”网站和中国政府采购网（www.ccgp.gov.cn）查询记录：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代理机构开标现场查询）</w:t>
      </w:r>
    </w:p>
    <w:p>
      <w:pPr>
        <w:pStyle w:val="null3"/>
      </w:pPr>
      <w:r>
        <w:rPr/>
        <w:t>7、单位负责人为同一人或者存在控股、管理关系的不同单位，不得同时参加本项目的磋商。：提供了法人代表、控股股东、控股企业及管理、被管理单位情况声明且各供应商之间不存在单位负责人为同一人或者存在控股、管理关系情形。</w:t>
      </w:r>
    </w:p>
    <w:p>
      <w:pPr>
        <w:pStyle w:val="null3"/>
      </w:pPr>
      <w:r>
        <w:rPr/>
        <w:t>8、法定代表人授权委托书：法定代表人参加开标的，须提供法定代表人身份证明；法定代表人授权他人参加开标的，须提供法定代表人授权委托书。（法人参加只需提供法定代表人身份证明）</w:t>
      </w:r>
    </w:p>
    <w:p>
      <w:pPr>
        <w:pStyle w:val="null3"/>
      </w:pPr>
      <w:r>
        <w:rPr/>
        <w:t>9、本项目不接受联合体投标：提供非联合体承诺函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西安市蓝田县公安局（本级）</w:t>
      </w:r>
    </w:p>
    <w:p>
      <w:pPr>
        <w:pStyle w:val="null3"/>
      </w:pPr>
      <w:r>
        <w:rPr/>
        <w:t xml:space="preserve"> 地址： </w:t>
      </w:r>
      <w:r>
        <w:rPr/>
        <w:t>蓝田县孝泉路8号</w:t>
      </w:r>
    </w:p>
    <w:p>
      <w:pPr>
        <w:pStyle w:val="null3"/>
      </w:pPr>
      <w:r>
        <w:rPr/>
        <w:t xml:space="preserve"> 邮编： </w:t>
      </w:r>
      <w:r>
        <w:rPr/>
        <w:t>710500</w:t>
      </w:r>
    </w:p>
    <w:p>
      <w:pPr>
        <w:pStyle w:val="null3"/>
      </w:pPr>
      <w:r>
        <w:rPr/>
        <w:t xml:space="preserve"> 联系人： </w:t>
      </w:r>
      <w:r>
        <w:rPr/>
        <w:t>西安市蓝田县公安局（本级）经办</w:t>
      </w:r>
    </w:p>
    <w:p>
      <w:pPr>
        <w:pStyle w:val="null3"/>
      </w:pPr>
      <w:r>
        <w:rPr/>
        <w:t xml:space="preserve"> 联系电话： </w:t>
      </w:r>
      <w:r>
        <w:rPr/>
        <w:t>13572867891</w:t>
      </w:r>
    </w:p>
    <w:p>
      <w:pPr>
        <w:pStyle w:val="null3"/>
        <w:outlineLvl w:val="3"/>
      </w:pPr>
      <w:r>
        <w:rPr>
          <w:sz w:val="24"/>
          <w:b/>
        </w:rPr>
        <w:t>代理机构：</w:t>
      </w:r>
      <w:r>
        <w:rPr>
          <w:sz w:val="24"/>
          <w:b/>
        </w:rPr>
        <w:t>陕西中正鼎裕项目管理有限公司</w:t>
      </w:r>
    </w:p>
    <w:p>
      <w:pPr>
        <w:pStyle w:val="null3"/>
      </w:pPr>
      <w:r>
        <w:rPr/>
        <w:t xml:space="preserve"> 地址： </w:t>
      </w:r>
      <w:r>
        <w:rPr/>
        <w:t>西安市高新区科技路48号创业广场B座1506</w:t>
      </w:r>
    </w:p>
    <w:p>
      <w:pPr>
        <w:pStyle w:val="null3"/>
      </w:pPr>
      <w:r>
        <w:rPr/>
        <w:t xml:space="preserve"> 邮编： </w:t>
      </w:r>
      <w:r>
        <w:rPr/>
        <w:t>710000</w:t>
      </w:r>
    </w:p>
    <w:p>
      <w:pPr>
        <w:pStyle w:val="null3"/>
      </w:pPr>
      <w:r>
        <w:rPr/>
        <w:t xml:space="preserve"> 联系人： </w:t>
      </w:r>
      <w:r>
        <w:rPr/>
        <w:t>吕秋洋</w:t>
      </w:r>
    </w:p>
    <w:p>
      <w:pPr>
        <w:pStyle w:val="null3"/>
      </w:pPr>
      <w:r>
        <w:rPr/>
        <w:t xml:space="preserve"> 联系电话： </w:t>
      </w:r>
      <w:r>
        <w:rPr/>
        <w:t>17691005085</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发改价格﹝2011﹞534号）文件确定的收费标准计取规定向中标人收取代理服务费。 中标单位的招标代理服务费交纳信息 银行户名：陕西中正鼎裕项目管理有限公司 开户银行：兴业银行股份有限公司西安分行营业部 账号：456010100100956535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西安市蓝田县公安局（本级）</w:t>
      </w:r>
      <w:r>
        <w:rPr/>
        <w:t>和</w:t>
      </w:r>
      <w:r>
        <w:rPr/>
        <w:t>陕西中正鼎裕项目管理有限公司</w:t>
      </w:r>
      <w:r>
        <w:rPr/>
        <w:t>享有。对磋商文件中供应商参加本次政府采购活动应当具备的条件，磋商项目技术、服务、商务及其他要求，评审细则及标准由</w:t>
      </w:r>
      <w:r>
        <w:rPr/>
        <w:t>西安市蓝田县公安局（本级）</w:t>
      </w:r>
      <w:r>
        <w:rPr/>
        <w:t>负责解释。除上述磋商文件内容，其他内容由</w:t>
      </w:r>
      <w:r>
        <w:rPr/>
        <w:t>陕西中正鼎裕项目管理有限公司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西安市蓝田县公安局（本级）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陕西中正鼎裕项目管理有限公司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（一）由采购人组织实施验收 （二）验收依据：系统运行、数据上报、业务对接正常 （三）如项目未通过验收的，乙方应排除故障，进行整改，承担相关费用。如甲方未在约定时间内完成验收工作、未提出书面异议，则视为项目验收合格。若甲方认为乙方交付的产品存在不符合合同约定情形的，甲方应在收到乙方验收申请后20日内提出书面异议，双方友好协商解决。乙方应在双方确认的期限内用符合本合同约定的产品更换或整改产品，乙方承担更换或整改产品产生的所有费用，乙方更换或整改产品后再次申请验收，直至验收通过。 （四）本项目实施过程中，项目的内容、要求、验收、使用标准以采购文件要求为依据，若甲方中途变更方案或产品以及由此引起的相应费用的变化，双方另行协商达成一致意见后以书面形式确定。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陕西中正鼎裕项目管理有限公司</w:t>
      </w:r>
      <w:r>
        <w:rPr/>
        <w:t xml:space="preserve"> 负责答复；供应商对除采购需求外的采购文件的询问、质疑由</w:t>
      </w:r>
      <w:r>
        <w:rPr/>
        <w:t>陕西中正鼎裕项目管理有限公司</w:t>
      </w:r>
      <w:r>
        <w:rPr/>
        <w:t xml:space="preserve"> 负责答复；供应商对采购过程、采购结果的询问、质疑由 </w:t>
      </w:r>
      <w:r>
        <w:rPr/>
        <w:t>陕西中正鼎裕项目管理有限公司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联系人：吕秋洋</w:t>
      </w:r>
    </w:p>
    <w:p>
      <w:pPr>
        <w:pStyle w:val="null3"/>
      </w:pPr>
      <w:r>
        <w:rPr/>
        <w:t>联系电话：17691005085</w:t>
      </w:r>
    </w:p>
    <w:p>
      <w:pPr>
        <w:pStyle w:val="null3"/>
      </w:pPr>
      <w:r>
        <w:rPr/>
        <w:t>地址：西安市高新区科技路48号创业广场B座1506</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大数据智能分析平台建设服务，服务内容包含案件智能研判、多维线索解析、案件管理、用户中心、系统管理等。通过平建设建立完善“专业+机制+大数据”的新型警务模式，进一步加强刑侦大队专业研判力量。</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蓝田县公安局刑侦大队大数据智能分析平台建设</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标的名称：蓝田县公安局刑侦大队大数据智能分析平台建设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4"/>
              </w:rPr>
              <w:t>项目名称：蓝田县公安局刑侦大队大数据智能分析平台建设</w:t>
            </w:r>
          </w:p>
          <w:p>
            <w:pPr>
              <w:pStyle w:val="null3"/>
              <w:jc w:val="both"/>
            </w:pPr>
            <w:r>
              <w:rPr>
                <w:rFonts w:ascii="宋体" w:hAnsi="宋体" w:cs="宋体" w:eastAsia="宋体"/>
                <w:sz w:val="24"/>
              </w:rPr>
              <w:t>二、采购预算：</w:t>
            </w:r>
            <w:r>
              <w:rPr>
                <w:rFonts w:ascii="calibri" w:hAnsi="calibri" w:cs="calibri" w:eastAsia="calibri"/>
                <w:sz w:val="24"/>
              </w:rPr>
              <w:t>40</w:t>
            </w:r>
            <w:r>
              <w:rPr>
                <w:rFonts w:ascii="宋体" w:hAnsi="宋体" w:cs="宋体" w:eastAsia="宋体"/>
                <w:sz w:val="24"/>
              </w:rPr>
              <w:t>万</w:t>
            </w:r>
            <w:r>
              <w:rPr>
                <w:rFonts w:ascii="宋体" w:hAnsi="宋体" w:cs="宋体" w:eastAsia="宋体"/>
                <w:sz w:val="24"/>
              </w:rPr>
              <w:t>元</w:t>
            </w:r>
          </w:p>
          <w:p>
            <w:pPr>
              <w:pStyle w:val="null3"/>
              <w:ind w:left="1680"/>
              <w:jc w:val="both"/>
            </w:pPr>
            <w:r>
              <w:rPr>
                <w:rFonts w:ascii="宋体" w:hAnsi="宋体" w:cs="宋体" w:eastAsia="宋体"/>
                <w:sz w:val="24"/>
              </w:rPr>
              <w:t>三、</w:t>
            </w:r>
            <w:r>
              <w:rPr>
                <w:rFonts w:ascii="宋体" w:hAnsi="宋体" w:cs="宋体" w:eastAsia="宋体"/>
                <w:sz w:val="24"/>
              </w:rPr>
              <w:t>采购需求：大数据智能分析平台建设服务，服务内容包含案件智能研判、多维线索解析、案件管理、用户中心、系统管理等。</w:t>
            </w:r>
            <w:r>
              <w:rPr>
                <w:rFonts w:ascii="宋体" w:hAnsi="宋体" w:cs="宋体" w:eastAsia="宋体"/>
                <w:sz w:val="24"/>
              </w:rPr>
              <w:t>通过平建设</w:t>
            </w:r>
            <w:r>
              <w:rPr>
                <w:rFonts w:ascii="宋体" w:hAnsi="宋体" w:cs="宋体" w:eastAsia="宋体"/>
                <w:sz w:val="24"/>
              </w:rPr>
              <w:t>建立完善</w:t>
            </w:r>
            <w:r>
              <w:rPr>
                <w:rFonts w:ascii="宋体" w:hAnsi="宋体" w:cs="宋体" w:eastAsia="宋体"/>
                <w:sz w:val="24"/>
              </w:rPr>
              <w:t>“专业+机制+大数据”的新型警务模式，</w:t>
            </w:r>
            <w:r>
              <w:rPr>
                <w:rFonts w:ascii="宋体" w:hAnsi="宋体" w:cs="宋体" w:eastAsia="宋体"/>
                <w:sz w:val="24"/>
              </w:rPr>
              <w:t>进一步</w:t>
            </w:r>
            <w:r>
              <w:rPr>
                <w:rFonts w:ascii="宋体" w:hAnsi="宋体" w:cs="宋体" w:eastAsia="宋体"/>
                <w:sz w:val="24"/>
              </w:rPr>
              <w:t>加强刑侦大队专业研判力量。</w:t>
            </w:r>
          </w:p>
          <w:p>
            <w:pPr>
              <w:pStyle w:val="null3"/>
              <w:jc w:val="both"/>
            </w:pPr>
            <w:r>
              <w:rPr>
                <w:rFonts w:ascii="宋体" w:hAnsi="宋体" w:cs="宋体" w:eastAsia="宋体"/>
                <w:sz w:val="24"/>
              </w:rPr>
              <w:t>四、</w:t>
            </w:r>
            <w:r>
              <w:rPr>
                <w:rFonts w:ascii="宋体" w:hAnsi="宋体" w:cs="宋体" w:eastAsia="宋体"/>
                <w:sz w:val="24"/>
              </w:rPr>
              <w:t>平台建设期限：自合同签订之日起</w:t>
            </w:r>
            <w:r>
              <w:rPr>
                <w:rFonts w:ascii="宋体" w:hAnsi="宋体" w:cs="宋体" w:eastAsia="宋体"/>
                <w:sz w:val="24"/>
              </w:rPr>
              <w:t>90日历天</w:t>
            </w:r>
          </w:p>
          <w:p>
            <w:pPr>
              <w:pStyle w:val="null3"/>
              <w:jc w:val="both"/>
            </w:pPr>
            <w:r>
              <w:rPr>
                <w:rFonts w:ascii="宋体" w:hAnsi="宋体" w:cs="宋体" w:eastAsia="宋体"/>
                <w:sz w:val="24"/>
              </w:rPr>
              <w:t>五、</w:t>
            </w:r>
            <w:r>
              <w:rPr>
                <w:rFonts w:ascii="宋体" w:hAnsi="宋体" w:cs="宋体" w:eastAsia="宋体"/>
                <w:sz w:val="24"/>
              </w:rPr>
              <w:t>服务标准</w:t>
            </w:r>
          </w:p>
          <w:p>
            <w:pPr>
              <w:pStyle w:val="null3"/>
              <w:ind w:firstLine="480"/>
              <w:jc w:val="both"/>
            </w:pPr>
            <w:r>
              <w:rPr>
                <w:rFonts w:ascii="宋体" w:hAnsi="宋体" w:cs="宋体" w:eastAsia="宋体"/>
                <w:sz w:val="24"/>
              </w:rPr>
              <w:t>本次项目实施充分利用现有先进、成熟技术，坚持需求主导、深化应用的原则，统一规划、统一布局、统一设计、规范标准、突出重点、分步实施，在规划、设计中遵循以下实施原则：</w:t>
            </w:r>
          </w:p>
          <w:p>
            <w:pPr>
              <w:pStyle w:val="null3"/>
              <w:ind w:firstLine="240"/>
              <w:jc w:val="both"/>
            </w:pPr>
            <w:r>
              <w:rPr>
                <w:rFonts w:ascii="宋体" w:hAnsi="宋体" w:cs="宋体" w:eastAsia="宋体"/>
                <w:sz w:val="24"/>
              </w:rPr>
              <w:t>（一）标准和规范化原则</w:t>
            </w:r>
          </w:p>
          <w:p>
            <w:pPr>
              <w:pStyle w:val="null3"/>
              <w:ind w:firstLine="480"/>
              <w:jc w:val="both"/>
            </w:pPr>
            <w:r>
              <w:rPr>
                <w:rFonts w:ascii="宋体" w:hAnsi="宋体" w:cs="宋体" w:eastAsia="宋体"/>
                <w:sz w:val="24"/>
              </w:rPr>
              <w:t>坚持</w:t>
            </w:r>
            <w:r>
              <w:rPr>
                <w:rFonts w:ascii="宋体" w:hAnsi="宋体" w:cs="宋体" w:eastAsia="宋体"/>
                <w:sz w:val="24"/>
              </w:rPr>
              <w:t>“统一领导，统一规划，统一标准”的原则全面推进项目实施。</w:t>
            </w:r>
          </w:p>
          <w:p>
            <w:pPr>
              <w:pStyle w:val="null3"/>
              <w:ind w:firstLine="240"/>
              <w:jc w:val="both"/>
            </w:pPr>
            <w:r>
              <w:rPr>
                <w:rFonts w:ascii="宋体" w:hAnsi="宋体" w:cs="宋体" w:eastAsia="宋体"/>
                <w:sz w:val="24"/>
              </w:rPr>
              <w:t>（二）架构先进性原则</w:t>
            </w:r>
          </w:p>
          <w:p>
            <w:pPr>
              <w:pStyle w:val="null3"/>
              <w:ind w:firstLine="480"/>
              <w:jc w:val="both"/>
            </w:pPr>
            <w:r>
              <w:rPr>
                <w:rFonts w:ascii="宋体" w:hAnsi="宋体" w:cs="宋体" w:eastAsia="宋体"/>
                <w:sz w:val="24"/>
              </w:rPr>
              <w:t>在系统的总体设计上，将借鉴各类系统的成功经验，同时注重考虑同类系统的建设教训。在技术上，采用微服务架构设计，将平台拆分为多个可以插拔的服务，服务之间可以复用，隔离，独立演化；微服务架构方式是松耦合的，可以提供更高的灵活性，实现高内聚，低耦合；</w:t>
            </w:r>
          </w:p>
          <w:p>
            <w:pPr>
              <w:pStyle w:val="null3"/>
              <w:ind w:firstLine="240"/>
              <w:jc w:val="both"/>
            </w:pPr>
            <w:r>
              <w:rPr>
                <w:rFonts w:ascii="宋体" w:hAnsi="宋体" w:cs="宋体" w:eastAsia="宋体"/>
                <w:sz w:val="24"/>
              </w:rPr>
              <w:t>（三）可扩展性原则</w:t>
            </w:r>
          </w:p>
          <w:p>
            <w:pPr>
              <w:pStyle w:val="null3"/>
              <w:ind w:firstLine="480"/>
              <w:jc w:val="both"/>
            </w:pPr>
            <w:r>
              <w:rPr>
                <w:rFonts w:ascii="宋体" w:hAnsi="宋体" w:cs="宋体" w:eastAsia="宋体"/>
                <w:sz w:val="24"/>
              </w:rPr>
              <w:t>系统的设计和实施要充分考虑网络、硬件的扩展需要、应用系统二次开发的需要、以及支持未来可能出现的组织调整的需要。系统应采用开放的可扩充模块结构，保证以后可以方便地升级和不断增加新功能、增加容量、以及在同一平台上扩充其他业务应用功能。</w:t>
            </w:r>
          </w:p>
          <w:p>
            <w:pPr>
              <w:pStyle w:val="null3"/>
              <w:ind w:firstLine="240"/>
              <w:jc w:val="both"/>
            </w:pPr>
            <w:r>
              <w:rPr>
                <w:rFonts w:ascii="宋体" w:hAnsi="宋体" w:cs="宋体" w:eastAsia="宋体"/>
                <w:sz w:val="24"/>
              </w:rPr>
              <w:t>（四）安全和易用性原则</w:t>
            </w:r>
          </w:p>
          <w:p>
            <w:pPr>
              <w:pStyle w:val="null3"/>
              <w:ind w:firstLine="480"/>
              <w:jc w:val="both"/>
            </w:pPr>
            <w:r>
              <w:rPr>
                <w:rFonts w:ascii="宋体" w:hAnsi="宋体" w:cs="宋体" w:eastAsia="宋体"/>
                <w:sz w:val="24"/>
              </w:rPr>
              <w:t>在系统建设方案设计时，依托国家电子政务建设的各种信息技术标准（环境、技术、信息、安全、信息交换标准等），制订项目各项技术标准，结合电子政务应用的特点，强化信息安全建设。并针对不同层面的使用者的应用水平，充分考虑系统的易用性，保障本项目实施后的应用与推广。</w:t>
            </w:r>
          </w:p>
          <w:p>
            <w:pPr>
              <w:pStyle w:val="null3"/>
              <w:jc w:val="both"/>
            </w:pPr>
            <w:r>
              <w:rPr>
                <w:rFonts w:ascii="宋体" w:hAnsi="宋体" w:cs="宋体" w:eastAsia="宋体"/>
                <w:sz w:val="24"/>
              </w:rPr>
              <w:t>项目的实施要保证软、硬件安全、可靠的运行。能够采用先进的安全保密技术进行用户身份认证。将系统级身份认证和应用级身份认证统一灵活应用于各应用系统的登录、流转等功能模块中，操作方式应简单快捷。应具备完善的日志管理等功能，能够追踪记录每次操作情况，并对非法操作进行告警。</w:t>
            </w:r>
          </w:p>
          <w:p>
            <w:pPr>
              <w:pStyle w:val="null3"/>
              <w:jc w:val="both"/>
            </w:pPr>
            <w:r>
              <w:rPr>
                <w:rFonts w:ascii="宋体" w:hAnsi="宋体" w:cs="宋体" w:eastAsia="宋体"/>
                <w:sz w:val="24"/>
              </w:rPr>
              <w:t>本平台须符合网络与信息安全、国产密码的相关要求。</w:t>
            </w:r>
          </w:p>
          <w:p>
            <w:pPr>
              <w:pStyle w:val="null3"/>
              <w:jc w:val="both"/>
            </w:pPr>
            <w:r>
              <w:rPr>
                <w:rFonts w:ascii="宋体" w:hAnsi="宋体" w:cs="宋体" w:eastAsia="宋体"/>
                <w:sz w:val="24"/>
              </w:rPr>
              <w:t>系统统一的界面风格，统一用户操作流程，统一用户体验。</w:t>
            </w:r>
          </w:p>
          <w:p>
            <w:pPr>
              <w:pStyle w:val="null3"/>
              <w:jc w:val="both"/>
            </w:pPr>
            <w:r>
              <w:rPr>
                <w:rFonts w:ascii="宋体" w:hAnsi="宋体" w:cs="宋体" w:eastAsia="宋体"/>
                <w:sz w:val="24"/>
              </w:rPr>
              <w:t>（五）易于管理和可维护性原则</w:t>
            </w:r>
          </w:p>
          <w:p>
            <w:pPr>
              <w:pStyle w:val="null3"/>
              <w:ind w:firstLine="480"/>
              <w:jc w:val="both"/>
            </w:pPr>
            <w:r>
              <w:rPr>
                <w:rFonts w:ascii="宋体" w:hAnsi="宋体" w:cs="宋体" w:eastAsia="宋体"/>
                <w:sz w:val="24"/>
              </w:rPr>
              <w:t>必须保证整个系统的可管理性，通过流程配置、表单管理、方案管理等后台配置方式，动态渲染可视化页面，实现系统整体可配，降低以降低管理、维护成本，为用户提供方便、灵活的维护手段，方便应用人员的维护和管理。</w:t>
            </w:r>
          </w:p>
          <w:p>
            <w:pPr>
              <w:pStyle w:val="null3"/>
              <w:jc w:val="both"/>
            </w:pPr>
            <w:r>
              <w:rPr>
                <w:rFonts w:ascii="宋体" w:hAnsi="宋体" w:cs="宋体" w:eastAsia="宋体"/>
                <w:sz w:val="24"/>
              </w:rPr>
              <w:t>六、质量验收标准或规范</w:t>
            </w:r>
          </w:p>
          <w:p>
            <w:pPr>
              <w:pStyle w:val="null3"/>
              <w:jc w:val="both"/>
            </w:pPr>
            <w:r>
              <w:rPr>
                <w:rFonts w:ascii="宋体" w:hAnsi="宋体" w:cs="宋体" w:eastAsia="宋体"/>
                <w:sz w:val="24"/>
              </w:rPr>
              <w:t>符合现行的国家标准或国家行政部门颁布的法律法规、规章制度。</w:t>
            </w:r>
          </w:p>
          <w:p>
            <w:pPr>
              <w:pStyle w:val="null3"/>
              <w:jc w:val="both"/>
            </w:pPr>
            <w:r>
              <w:rPr>
                <w:rFonts w:ascii="宋体" w:hAnsi="宋体" w:cs="宋体" w:eastAsia="宋体"/>
                <w:sz w:val="24"/>
              </w:rPr>
              <w:t>七、付款方式</w:t>
            </w:r>
          </w:p>
          <w:p>
            <w:pPr>
              <w:pStyle w:val="null3"/>
              <w:ind w:firstLine="480"/>
              <w:jc w:val="both"/>
            </w:pPr>
            <w:r>
              <w:rPr>
                <w:rFonts w:ascii="calibri" w:hAnsi="calibri" w:cs="calibri" w:eastAsia="calibri"/>
                <w:sz w:val="24"/>
              </w:rPr>
              <w:t>1.</w:t>
            </w:r>
            <w:r>
              <w:rPr>
                <w:rFonts w:ascii="宋体" w:hAnsi="宋体" w:cs="宋体" w:eastAsia="宋体"/>
                <w:sz w:val="24"/>
              </w:rPr>
              <w:t>项目经采购人履约验收合格后</w:t>
            </w:r>
            <w:r>
              <w:rPr>
                <w:rFonts w:ascii="calibri" w:hAnsi="calibri" w:cs="calibri" w:eastAsia="calibri"/>
                <w:sz w:val="24"/>
              </w:rPr>
              <w:t>,</w:t>
            </w:r>
            <w:r>
              <w:rPr>
                <w:rFonts w:ascii="宋体" w:hAnsi="宋体" w:cs="宋体" w:eastAsia="宋体"/>
                <w:sz w:val="24"/>
              </w:rPr>
              <w:t>采购人向供应商支付至合同总价的</w:t>
            </w:r>
            <w:r>
              <w:rPr>
                <w:rFonts w:ascii="calibri" w:hAnsi="calibri" w:cs="calibri" w:eastAsia="calibri"/>
                <w:sz w:val="24"/>
              </w:rPr>
              <w:t>100%</w:t>
            </w:r>
            <w:r>
              <w:rPr>
                <w:rFonts w:ascii="宋体" w:hAnsi="宋体" w:cs="宋体" w:eastAsia="宋体"/>
                <w:sz w:val="24"/>
              </w:rPr>
              <w:t>；</w:t>
            </w:r>
          </w:p>
          <w:p>
            <w:pPr>
              <w:pStyle w:val="null3"/>
              <w:ind w:firstLine="480"/>
              <w:jc w:val="both"/>
            </w:pPr>
            <w:r>
              <w:rPr>
                <w:rFonts w:ascii="calibri" w:hAnsi="calibri" w:cs="calibri" w:eastAsia="calibri"/>
                <w:sz w:val="24"/>
              </w:rPr>
              <w:t>2.</w:t>
            </w:r>
            <w:r>
              <w:rPr>
                <w:rFonts w:ascii="宋体" w:hAnsi="宋体" w:cs="宋体" w:eastAsia="宋体"/>
                <w:sz w:val="24"/>
              </w:rPr>
              <w:t>付款前，乙方应向甲方提供等额合法有效发票，附详细清单。</w:t>
            </w:r>
          </w:p>
          <w:p>
            <w:pPr>
              <w:pStyle w:val="null3"/>
              <w:jc w:val="both"/>
            </w:pPr>
            <w:r>
              <w:rPr>
                <w:rFonts w:ascii="宋体" w:hAnsi="宋体" w:cs="宋体" w:eastAsia="宋体"/>
                <w:sz w:val="24"/>
              </w:rPr>
              <w:t>八、建设内容</w:t>
            </w:r>
          </w:p>
          <w:tbl>
            <w:tblPr>
              <w:tblInd w:type="dxa" w:w="90"/>
              <w:tblBorders>
                <w:top w:val="none" w:color="000000" w:sz="4"/>
                <w:left w:val="none" w:color="000000" w:sz="4"/>
                <w:bottom w:val="none" w:color="000000" w:sz="4"/>
                <w:right w:val="none" w:color="000000" w:sz="4"/>
                <w:insideH w:val="none"/>
                <w:insideV w:val="none"/>
              </w:tblBorders>
            </w:tblPr>
            <w:tblGrid>
              <w:gridCol w:w="165"/>
              <w:gridCol w:w="315"/>
              <w:gridCol w:w="347"/>
              <w:gridCol w:w="293"/>
              <w:gridCol w:w="1431"/>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功能名称</w:t>
                  </w:r>
                </w:p>
              </w:tc>
              <w:tc>
                <w:tcPr>
                  <w:tcW w:type="dxa" w:w="207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技术参数</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案件智能研判</w:t>
                  </w:r>
                </w:p>
              </w:tc>
              <w:tc>
                <w:tcPr>
                  <w:tcW w:type="dxa" w:w="3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案件智能研判</w:t>
                  </w:r>
                </w:p>
              </w:tc>
              <w:tc>
                <w:tcPr>
                  <w:tcW w:type="dxa" w:w="2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案件导入</w:t>
                  </w:r>
                </w:p>
              </w:tc>
              <w:tc>
                <w:tcPr>
                  <w:tcW w:type="dxa" w:w="14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1、支持向导式的自动化分析研判，可导入域名、服务器IP、APK等多种类型的线索。</w:t>
                  </w:r>
                  <w:r>
                    <w:br/>
                  </w:r>
                  <w:r>
                    <w:rPr>
                      <w:rFonts w:ascii="仿宋" w:hAnsi="仿宋" w:cs="仿宋" w:eastAsia="仿宋"/>
                      <w:sz w:val="21"/>
                      <w:color w:val="000000"/>
                    </w:rPr>
                    <w:t>2、支持批量导入案件信息及案件线索。</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线索智能扩充</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1、支持域名线索自动扩充，结合域名DNS解析行为、网站特征等线索特征信息智能扩充，快速串联出同窝点、同开发者的域名、服务器IP线索</w:t>
                  </w:r>
                  <w:r>
                    <w:br/>
                  </w:r>
                  <w:r>
                    <w:rPr>
                      <w:rFonts w:ascii="仿宋" w:hAnsi="仿宋" w:cs="仿宋" w:eastAsia="仿宋"/>
                      <w:sz w:val="21"/>
                      <w:color w:val="000000"/>
                    </w:rPr>
                    <w:t>2、支持服务器IP线索自动扩充，结合DNS反向解析行为、IP特征信息等线索特征信息智能扩充，快速串联出同窝点、同开发者的域名、服务器IP线索</w:t>
                  </w:r>
                  <w:r>
                    <w:br/>
                  </w:r>
                  <w:r>
                    <w:rPr>
                      <w:rFonts w:ascii="仿宋" w:hAnsi="仿宋" w:cs="仿宋" w:eastAsia="仿宋"/>
                      <w:sz w:val="21"/>
                      <w:color w:val="000000"/>
                    </w:rPr>
                    <w:t>3、支持APK线索智能扩充，基于海量APK数据，结合APK名称、包名、图标、源代码等APK特征信息线索的特征智能扩充，快速串联出同窝点、同开发者的同源APK线索</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案件智能快筛</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支持快速筛查可研判的高价值案件，上传单个或批量案件后，系统自动完成案件线索进行评估并反馈案件是否可研判，协助用户快速筛选出高分析价值的案件。</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一案一档</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1、支持对研判的案件上传相关材料，兼容多种文件格式上传，实现一案一档</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历史研判案件</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历史研判案件列表</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支持查看历史研判案件，包含案件基本信息、上传时间及案件研判详情等</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案件详情</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1、支持查看案件基础信息、案件关联线索及智能研判结果</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智能研判流程图</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1、支持查看模型研判过程中的线索流转过程，相关规则命中情况</w:t>
                  </w:r>
                  <w:r>
                    <w:br/>
                  </w:r>
                  <w:r>
                    <w:rPr>
                      <w:rFonts w:ascii="仿宋" w:hAnsi="仿宋" w:cs="仿宋" w:eastAsia="仿宋"/>
                      <w:sz w:val="21"/>
                      <w:color w:val="000000"/>
                    </w:rPr>
                    <w:t>2、对线索关联、智能匹配、嫌疑特征筛查、综合嫌疑程度打分等过程综合分析，输出研判小结，能够更清晰的掌握研判结果“从哪里来、为什么来”</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智能研判图谱</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支持图谱形式清晰的呈现研判结果，方便用户快速找到可疑节点，梳理线索</w:t>
                  </w:r>
                  <w:r>
                    <w:rPr>
                      <w:rFonts w:ascii="仿宋" w:hAnsi="仿宋" w:cs="仿宋" w:eastAsia="仿宋"/>
                      <w:sz w:val="21"/>
                      <w:color w:val="000000"/>
                    </w:rPr>
                    <w:t>-嫌疑人的关联关系，快速判断哪些嫌疑人存在可疑行为。</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嫌疑人列表</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支持查看案件关联嫌疑人列表，包含嫌疑人基础信息、特征标签及命中涉案线索详情，直观判断嫌疑人可疑程度及与案件的关联程度</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嫌疑人画像</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1、支持对智能研判发现的嫌疑人进行分析，提供基础属性分析及行为特征分析。</w:t>
                  </w:r>
                  <w:r>
                    <w:br/>
                  </w:r>
                  <w:r>
                    <w:rPr>
                      <w:rFonts w:ascii="仿宋" w:hAnsi="仿宋" w:cs="仿宋" w:eastAsia="仿宋"/>
                      <w:sz w:val="21"/>
                      <w:color w:val="000000"/>
                    </w:rPr>
                    <w:t>2、支持对智能研判发现的可疑终端或嫌疑人进行刻画，清晰描述嫌疑人终端和嫌疑人信息，完成多维度用户画像，辨别嫌疑人身份。</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智能研判报告</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支持自动生成案件研判报告，包含案件基础信息、嫌疑人画像报告、嫌疑人研判信息、智能研判结论等。</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二次研判</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1、支持手动添加外部新线索进行案件二次研判。</w:t>
                  </w:r>
                  <w:r>
                    <w:br/>
                  </w:r>
                  <w:r>
                    <w:rPr>
                      <w:rFonts w:ascii="仿宋" w:hAnsi="仿宋" w:cs="仿宋" w:eastAsia="仿宋"/>
                      <w:sz w:val="21"/>
                      <w:color w:val="000000"/>
                    </w:rPr>
                    <w:t>2、支持添加已解锁嫌疑人画像中的高价值域名、路由等作为二次深挖研判线索。</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3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多维线索解析</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域名解析</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域名解析</w:t>
                  </w:r>
                </w:p>
              </w:tc>
              <w:tc>
                <w:tcPr>
                  <w:tcW w:type="dxa" w:w="143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基于域名、</w:t>
                  </w:r>
                  <w:r>
                    <w:rPr>
                      <w:rFonts w:ascii="仿宋" w:hAnsi="仿宋" w:cs="仿宋" w:eastAsia="仿宋"/>
                      <w:sz w:val="21"/>
                      <w:color w:val="000000"/>
                    </w:rPr>
                    <w:t>IP、APK等线索类型，进行多维解析，可挖掘线索间的关联关系，扩充案件线索。</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IP解析</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IP解析</w:t>
                  </w:r>
                </w:p>
              </w:tc>
              <w:tc>
                <w:tcPr>
                  <w:tcW w:type="dxa" w:w="1431"/>
                  <w:vMerge/>
                  <w:tcBorders>
                    <w:top w:val="none" w:color="000000" w:sz="4"/>
                    <w:left w:val="none" w:color="000000" w:sz="4"/>
                    <w:bottom w:val="single" w:color="000000" w:sz="4"/>
                    <w:right w:val="single" w:color="000000" w:sz="4"/>
                  </w:tcBorders>
                </w:tcP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APK解析</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APK解析</w:t>
                  </w:r>
                </w:p>
              </w:tc>
              <w:tc>
                <w:tcPr>
                  <w:tcW w:type="dxa" w:w="1431"/>
                  <w:vMerge/>
                  <w:tcBorders>
                    <w:top w:val="none" w:color="000000" w:sz="4"/>
                    <w:left w:val="none" w:color="000000" w:sz="4"/>
                    <w:bottom w:val="single" w:color="000000" w:sz="4"/>
                    <w:right w:val="single" w:color="000000" w:sz="4"/>
                  </w:tcBorders>
                </w:tcP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3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案件管理</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案件协助（单独收费）</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案件协助</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支持案件专家协助，提供案件协助引导页面，提交成功后由案件分析专家提供案件一对一溯源分析服务</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案件归档</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案件归档</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支持历史案件查看、案件受理状态查看、结案案件报告查看下载</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3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用户中心</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操作手册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操作手册</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提供系统使用手册、案件智能研判使用建议</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常见问题</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常见问题</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提供系统常见问题解答</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3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系统管理</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个人中心</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个人中心</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个人基础信息查看、服务订阅信息查看</w:t>
                  </w:r>
                </w:p>
              </w:tc>
            </w:tr>
            <w:tr>
              <w:tc>
                <w:tcPr>
                  <w:tcW w:type="dxa" w:w="165"/>
                  <w:vMerge/>
                  <w:tcBorders>
                    <w:top w:val="none" w:color="000000" w:sz="4"/>
                    <w:left w:val="singl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安全设置</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安全设置</w:t>
                  </w:r>
                </w:p>
              </w:tc>
              <w:tc>
                <w:tcPr>
                  <w:tcW w:type="dxa" w:w="1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color w:val="000000"/>
                    </w:rPr>
                    <w:t>提供密码修改功能</w:t>
                  </w:r>
                </w:p>
              </w:tc>
            </w:tr>
          </w:tbl>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有履行本项目所必须的专业技术设备</w:t>
      </w:r>
    </w:p>
    <w:p>
      <w:pPr>
        <w:pStyle w:val="null3"/>
        <w:outlineLvl w:val="2"/>
      </w:pPr>
      <w:r>
        <w:rPr>
          <w:sz w:val="28"/>
          <w:b/>
        </w:rPr>
        <w:t>3.2.5其他要求</w:t>
      </w:r>
    </w:p>
    <w:p>
      <w:pPr>
        <w:pStyle w:val="null3"/>
      </w:pPr>
      <w:r>
        <w:rPr/>
        <w:t>采购包1：</w:t>
      </w:r>
    </w:p>
    <w:p>
      <w:pPr>
        <w:pStyle w:val="null3"/>
      </w:pPr>
      <w:r>
        <w:rPr/>
        <w:t>详见采购需求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符合现行的国家标准或国家行政部门颁布的法律法规、规章制度。</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项目经采购人履约验收合格后,采购人向供应商支付至合同总价的100%；付款前，乙方应向甲方提供等额合法有效发票，附详细清单。</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2、未按合同要求提供服务或服务质量不能满足服务要求和标准，采购人有权终止合同，并对供方违约行为进行追究，同时按《政府采购法》的有关规定进行处罚。</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提供可充分满足履行合同所需设备和专业技术能力的承诺。</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1.提供已缴纳的 2023年11月1日以来任意时间段的纳税证明或完税证明，纳税证明或完税证明上应有代收机构或税务机关的公章或业务专用章。依法免税的投标人应提供相关文件证明。 2.提供已缴存的 2023年11月1日以来任意时间段的社会保障资金缴存单据或社保机构开具的社会保险参保缴费情况证明。成立时间至提交响应文件截止时间不足一个月或依法不需要缴纳社会保障资金的投标人应提供相关文件证明。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提供了有效的参加政府采购活动前三年内在经营活动中没有重大违法记录的书面声明</w:t>
            </w:r>
          </w:p>
        </w:tc>
        <w:tc>
          <w:tcPr>
            <w:tcW w:type="dxa" w:w="1661"/>
          </w:tcPr>
          <w:p>
            <w:pPr>
              <w:pStyle w:val="null3"/>
            </w:pPr>
            <w:r>
              <w:rPr/>
              <w:t>相关承诺书 供应商应提交的相关资格证明材料</w:t>
            </w:r>
          </w:p>
        </w:tc>
      </w:tr>
      <w:tr>
        <w:tc>
          <w:tcPr>
            <w:tcW w:type="dxa" w:w="831"/>
          </w:tcPr>
          <w:p>
            <w:pPr>
              <w:pStyle w:val="null3"/>
            </w:pPr>
            <w:r>
              <w:rPr/>
              <w:t>6</w:t>
            </w:r>
          </w:p>
        </w:tc>
        <w:tc>
          <w:tcPr>
            <w:tcW w:type="dxa" w:w="2492"/>
          </w:tcPr>
          <w:p>
            <w:pPr>
              <w:pStyle w:val="null3"/>
            </w:pPr>
            <w:r>
              <w:rPr/>
              <w:t>“信用中国”网站和中国政府采购网（www.ccgp.gov.cn）查询记录</w:t>
            </w:r>
          </w:p>
        </w:tc>
        <w:tc>
          <w:tcPr>
            <w:tcW w:type="dxa" w:w="3322"/>
          </w:tcPr>
          <w:p>
            <w:pPr>
              <w:pStyle w:val="null3"/>
            </w:pPr>
            <w:r>
              <w:rPr/>
              <w:t>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代理机构开标现场查询）</w:t>
            </w:r>
          </w:p>
        </w:tc>
        <w:tc>
          <w:tcPr>
            <w:tcW w:type="dxa" w:w="1661"/>
          </w:tcPr>
          <w:p>
            <w:pPr>
              <w:pStyle w:val="null3"/>
            </w:pPr>
            <w:r>
              <w:rPr/>
              <w:t>相关承诺书 供应商应提交的相关资格证明材料 响应函</w:t>
            </w:r>
          </w:p>
        </w:tc>
      </w:tr>
      <w:tr>
        <w:tc>
          <w:tcPr>
            <w:tcW w:type="dxa" w:w="831"/>
          </w:tcPr>
          <w:p>
            <w:pPr>
              <w:pStyle w:val="null3"/>
            </w:pPr>
            <w:r>
              <w:rPr/>
              <w:t>7</w:t>
            </w:r>
          </w:p>
        </w:tc>
        <w:tc>
          <w:tcPr>
            <w:tcW w:type="dxa" w:w="2492"/>
          </w:tcPr>
          <w:p>
            <w:pPr>
              <w:pStyle w:val="null3"/>
            </w:pPr>
            <w:r>
              <w:rPr/>
              <w:t>单位负责人为同一人或者存在控股、管理关系的不同单位，不得同时参加本项目的磋商。</w:t>
            </w:r>
          </w:p>
        </w:tc>
        <w:tc>
          <w:tcPr>
            <w:tcW w:type="dxa" w:w="3322"/>
          </w:tcPr>
          <w:p>
            <w:pPr>
              <w:pStyle w:val="null3"/>
            </w:pPr>
            <w:r>
              <w:rPr/>
              <w:t>提供了法人代表、控股股东、控股企业及管理、被管理单位情况声明且各供应商之间不存在单位负责人为同一人或者存在控股、管理关系情形。</w:t>
            </w:r>
          </w:p>
        </w:tc>
        <w:tc>
          <w:tcPr>
            <w:tcW w:type="dxa" w:w="1661"/>
          </w:tcPr>
          <w:p>
            <w:pPr>
              <w:pStyle w:val="null3"/>
            </w:pPr>
            <w:r>
              <w:rPr/>
              <w:t>相关承诺书</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法定代表人参加开标的，须提供法定代表人身份证明；法定代表人授权他人参加开标的，须提供法定代表人授权委托书。（法人参加只需提供法定代表人身份证明）</w:t>
            </w:r>
          </w:p>
        </w:tc>
        <w:tc>
          <w:tcPr>
            <w:tcW w:type="dxa" w:w="1661"/>
          </w:tcPr>
          <w:p>
            <w:pPr>
              <w:pStyle w:val="null3"/>
            </w:pPr>
            <w:r>
              <w:rPr/>
              <w:t>法定代表人身份证明和法定代表人委托书</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提供非联合体承诺函</w:t>
            </w:r>
          </w:p>
        </w:tc>
        <w:tc>
          <w:tcPr>
            <w:tcW w:type="dxa" w:w="1661"/>
          </w:tcPr>
          <w:p>
            <w:pPr>
              <w:pStyle w:val="null3"/>
            </w:pPr>
            <w:r>
              <w:rPr/>
              <w:t>相关承诺书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响应文件的有效性</w:t>
            </w:r>
          </w:p>
        </w:tc>
        <w:tc>
          <w:tcPr>
            <w:tcW w:type="dxa" w:w="3322"/>
          </w:tcPr>
          <w:p>
            <w:pPr>
              <w:pStyle w:val="null3"/>
            </w:pPr>
            <w:r>
              <w:rPr/>
              <w:t>响应文件的签字、盖章满足磋商文件要求</w:t>
            </w:r>
          </w:p>
        </w:tc>
        <w:tc>
          <w:tcPr>
            <w:tcW w:type="dxa" w:w="1661"/>
          </w:tcPr>
          <w:p>
            <w:pPr>
              <w:pStyle w:val="null3"/>
            </w:pPr>
            <w:r>
              <w:rPr/>
              <w:t>服务内容及服务邀请应答表 项目业绩一览表 中小企业声明函 法定代表人身份证明和法定代表人委托书 商务应答表 供应商应提交的相关资格证明材料 报价表 响应文件封面 相关承诺书 残疾人福利性单位声明函 标的清单 响应函 监狱企业的证明文件</w:t>
            </w:r>
          </w:p>
        </w:tc>
      </w:tr>
      <w:tr>
        <w:tc>
          <w:tcPr>
            <w:tcW w:type="dxa" w:w="831"/>
          </w:tcPr>
          <w:p>
            <w:pPr>
              <w:pStyle w:val="null3"/>
            </w:pPr>
            <w:r>
              <w:rPr/>
              <w:t>3</w:t>
            </w:r>
          </w:p>
        </w:tc>
        <w:tc>
          <w:tcPr>
            <w:tcW w:type="dxa" w:w="2492"/>
          </w:tcPr>
          <w:p>
            <w:pPr>
              <w:pStyle w:val="null3"/>
            </w:pPr>
            <w:r>
              <w:rPr/>
              <w:t>文件有效期</w:t>
            </w:r>
          </w:p>
        </w:tc>
        <w:tc>
          <w:tcPr>
            <w:tcW w:type="dxa" w:w="3322"/>
          </w:tcPr>
          <w:p>
            <w:pPr>
              <w:pStyle w:val="null3"/>
            </w:pPr>
            <w:r>
              <w:rPr/>
              <w:t>响应文件有效期满足磋商文件要求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供应商首次磋商报价未出现选择性报价，首次磋商报价未超出采购预算</w:t>
            </w:r>
          </w:p>
        </w:tc>
        <w:tc>
          <w:tcPr>
            <w:tcW w:type="dxa" w:w="1661"/>
          </w:tcPr>
          <w:p>
            <w:pPr>
              <w:pStyle w:val="null3"/>
            </w:pPr>
            <w:r>
              <w:rPr/>
              <w:t>响应文件封面 标的清单 报价表</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响应文件中对合同条款的响应未附加采购人难以接受的条款</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磋商内容</w:t>
            </w:r>
          </w:p>
        </w:tc>
        <w:tc>
          <w:tcPr>
            <w:tcW w:type="dxa" w:w="3322"/>
          </w:tcPr>
          <w:p>
            <w:pPr>
              <w:pStyle w:val="null3"/>
            </w:pPr>
            <w:r>
              <w:rPr/>
              <w:t>磋商内容未出现漏项，与要求相符，未出现重大负偏差。</w:t>
            </w:r>
          </w:p>
        </w:tc>
        <w:tc>
          <w:tcPr>
            <w:tcW w:type="dxa" w:w="1661"/>
          </w:tcPr>
          <w:p>
            <w:pPr>
              <w:pStyle w:val="null3"/>
            </w:pPr>
            <w:r>
              <w:rPr/>
              <w:t>服务内容及服务邀请应答表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技术方案（20分）</w:t>
            </w:r>
          </w:p>
        </w:tc>
        <w:tc>
          <w:tcPr>
            <w:tcW w:type="dxa" w:w="2492"/>
          </w:tcPr>
          <w:p>
            <w:pPr>
              <w:pStyle w:val="null3"/>
            </w:pPr>
            <w:r>
              <w:rPr/>
              <w:t>提供整体技术方案，对项目需求的理解分析、系统功能、操作流程、突发事件处理预案等方面进行阐述，根据方案的完整性和合理性等进行综合评分： 对需求理解深入、系统功能及操作流程说明逻辑性强且思路清晰,得[15-20]分； 对需求理解较深入、系统功能及操作流程较清晰,得[10-15)分； 对需求理解一般、系统功能及操作流程说明一般,得[5-10)分； 对需求理解、系统功能及操作流程说明略有偏差，得[1-5)分； 整体阐述非常差者不得分。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实施方案（15分）</w:t>
            </w:r>
          </w:p>
        </w:tc>
        <w:tc>
          <w:tcPr>
            <w:tcW w:type="dxa" w:w="2492"/>
          </w:tcPr>
          <w:p>
            <w:pPr>
              <w:pStyle w:val="null3"/>
            </w:pPr>
            <w:r>
              <w:rPr/>
              <w:t>提供项目实施方案，包括对项目人员、进度、计划等方面进行阐述，根据方案的科学性、针对性和可操作性进行综合评分： 实施方案详细、完整、贴合可行，得[12-15]分； 实施方案较详细、较完整、较可行，得[8-12)分； 实施方案基本满足，得[4-8)分； 实施方案略有偏差，得[1-4)分； 整体方案非常差者不得分。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安全方案 （5分）</w:t>
            </w:r>
          </w:p>
        </w:tc>
        <w:tc>
          <w:tcPr>
            <w:tcW w:type="dxa" w:w="2492"/>
          </w:tcPr>
          <w:p>
            <w:pPr>
              <w:pStyle w:val="null3"/>
            </w:pPr>
            <w:r>
              <w:rPr/>
              <w:t>为确保数据安全，供应商须提供可靠的安全方案，根据方案的完整性、合理性、可操作性等进行综合评分，按其响应程度得0-5分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培训方案（8分）</w:t>
            </w:r>
          </w:p>
        </w:tc>
        <w:tc>
          <w:tcPr>
            <w:tcW w:type="dxa" w:w="2492"/>
          </w:tcPr>
          <w:p>
            <w:pPr>
              <w:pStyle w:val="null3"/>
            </w:pPr>
            <w:r>
              <w:rPr/>
              <w:t>制定详细的培训方案，培训方案内容应包括培训的对象、培训目标、培训内容、培训方式、人员培训资料、培训地点等内容： 培训方案内容完整详细且描述清晰，得[6-8]分； 培训方案内容较完整且描述较清晰，得[4-6)分； 培训方案基本可行，得[2-4)分； 培训方案略有偏差，得[1-2)分； 培训方案非常差者不得分。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售后服务方案（12分）</w:t>
            </w:r>
          </w:p>
        </w:tc>
        <w:tc>
          <w:tcPr>
            <w:tcW w:type="dxa" w:w="2492"/>
          </w:tcPr>
          <w:p>
            <w:pPr>
              <w:pStyle w:val="null3"/>
            </w:pPr>
            <w:r>
              <w:rPr/>
              <w:t>针对本项目制定完整详细的售后服务方案（内容包括但不限于日常巡检方案、服务承诺、服务内容、技术升级服务、运行维护服务、对故障的响应及处理时间）： 覆盖面广，非常贴合实战，得[9-12]分； 较贴合实战的得[6-9)分； 基本满足的得[3-6)分； 略有偏差的得[1-3)分； 整体规划非常差者不得分。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保密承诺（5分）</w:t>
            </w:r>
          </w:p>
        </w:tc>
        <w:tc>
          <w:tcPr>
            <w:tcW w:type="dxa" w:w="2492"/>
          </w:tcPr>
          <w:p>
            <w:pPr>
              <w:pStyle w:val="null3"/>
            </w:pPr>
            <w:r>
              <w:rPr/>
              <w:t>供应商针对本项目具有严格的项目保密措施和承诺，包括但不限于保密措施、服务内容、服务质量、提供的增值服务等，且承诺内容具有可行性。按其响应程度得0-5分。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技术要求（15分）</w:t>
            </w:r>
          </w:p>
        </w:tc>
        <w:tc>
          <w:tcPr>
            <w:tcW w:type="dxa" w:w="2492"/>
          </w:tcPr>
          <w:p>
            <w:pPr>
              <w:pStyle w:val="null3"/>
            </w:pPr>
            <w:r>
              <w:rPr/>
              <w:t>根据供应商对可实现采购内容及要求中的全部技术指标，全部满足得15分，有一项不满足扣1.5分，扣完为止。 （提供但不限于系统功能截图等证明文件）</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企业实力（2分）</w:t>
            </w:r>
          </w:p>
        </w:tc>
        <w:tc>
          <w:tcPr>
            <w:tcW w:type="dxa" w:w="2492"/>
          </w:tcPr>
          <w:p>
            <w:pPr>
              <w:pStyle w:val="null3"/>
            </w:pPr>
            <w:r>
              <w:rPr/>
              <w:t>投标人提供信息技术服务管理体系认证证书、信息安全管理体系认证证书，每提供一个得 1 分，最多得 2 分。 注：需提供以上加盖单位公章的有效证明资料放于投标文件中，否则均不得分。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业绩（8分）</w:t>
            </w:r>
          </w:p>
        </w:tc>
        <w:tc>
          <w:tcPr>
            <w:tcW w:type="dxa" w:w="2492"/>
          </w:tcPr>
          <w:p>
            <w:pPr>
              <w:pStyle w:val="null3"/>
            </w:pPr>
            <w:r>
              <w:rPr/>
              <w:t>供应商2020年11月至今具有类似项目业绩，一份业绩计2分，最高得8分。 （提供合同或中标通知书复印件或扫描件并加盖供应商公章，以合同签订时间或中标通知书发放时间为准。）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质量或者不能诚信履约的，应当在磋商现场提供书面说明及相关证明材料。供应商不能证明其报价合理性的，为无效磋商） 注：本项目已专门面向中小微企业，供应商须如实填写《中小企业声明函》。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详见附件：法定代表人身份证明和法定代表人委托书</w:t>
      </w:r>
    </w:p>
    <w:p>
      <w:pPr>
        <w:pStyle w:val="null3"/>
        <w:ind w:firstLine="960"/>
      </w:pPr>
      <w:r>
        <w:rPr/>
        <w:t>详见附件：相关承诺书</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