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C5DC55">
      <w:pPr>
        <w:pStyle w:val="5"/>
        <w:ind w:firstLine="482" w:firstLineChars="200"/>
        <w:jc w:val="both"/>
        <w:rPr>
          <w:rFonts w:hint="eastAsia" w:asciiTheme="minorHAnsi" w:hAnsiTheme="minorHAnsi" w:eastAsiaTheme="minorEastAsia" w:cstheme="minorBidi"/>
          <w:b/>
          <w:bCs/>
          <w:kern w:val="2"/>
          <w:sz w:val="24"/>
          <w:szCs w:val="24"/>
          <w:vertAlign w:val="baseline"/>
          <w:lang w:val="en-US" w:eastAsia="zh-CN" w:bidi="ar-SA"/>
        </w:rPr>
      </w:pPr>
      <w:r>
        <w:rPr>
          <w:rFonts w:hint="eastAsia" w:asciiTheme="minorHAnsi" w:hAnsiTheme="minorHAnsi" w:eastAsiaTheme="minorEastAsia" w:cstheme="minorBidi"/>
          <w:b/>
          <w:bCs/>
          <w:kern w:val="2"/>
          <w:sz w:val="24"/>
          <w:szCs w:val="24"/>
          <w:vertAlign w:val="baseline"/>
          <w:lang w:val="en-US" w:eastAsia="zh-CN" w:bidi="ar-SA"/>
        </w:rPr>
        <w:t>蓝田县公安局刑侦大队大数据智能分析平台建设政府采购需求书（服务）</w:t>
      </w:r>
    </w:p>
    <w:p w14:paraId="71282DE5">
      <w:pPr>
        <w:rPr>
          <w:rFonts w:hint="eastAsia"/>
          <w:lang w:eastAsia="zh-CN"/>
        </w:rPr>
      </w:pPr>
    </w:p>
    <w:tbl>
      <w:tblPr>
        <w:tblStyle w:val="10"/>
        <w:tblpPr w:leftFromText="180" w:rightFromText="180" w:vertAnchor="page" w:horzAnchor="page" w:tblpX="1120" w:tblpY="2088"/>
        <w:tblOverlap w:val="never"/>
        <w:tblW w:w="91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277"/>
        <w:gridCol w:w="7138"/>
      </w:tblGrid>
      <w:tr w14:paraId="42573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dxa"/>
            <w:vAlign w:val="top"/>
          </w:tcPr>
          <w:p w14:paraId="6EC6B974">
            <w:pPr>
              <w:jc w:val="center"/>
              <w:rPr>
                <w:rFonts w:hint="eastAsia" w:eastAsiaTheme="minorEastAsia"/>
                <w:b/>
                <w:bCs/>
                <w:sz w:val="24"/>
                <w:szCs w:val="24"/>
                <w:vertAlign w:val="baseline"/>
                <w:lang w:val="en-US" w:eastAsia="zh-CN"/>
              </w:rPr>
            </w:pPr>
            <w:r>
              <w:rPr>
                <w:rFonts w:hint="eastAsia"/>
                <w:b/>
                <w:bCs/>
                <w:sz w:val="24"/>
                <w:szCs w:val="24"/>
                <w:vertAlign w:val="baseline"/>
                <w:lang w:val="en-US" w:eastAsia="zh-CN"/>
              </w:rPr>
              <w:t>序号</w:t>
            </w:r>
          </w:p>
        </w:tc>
        <w:tc>
          <w:tcPr>
            <w:tcW w:w="1277" w:type="dxa"/>
            <w:vAlign w:val="top"/>
          </w:tcPr>
          <w:p w14:paraId="5B25410C">
            <w:pPr>
              <w:jc w:val="center"/>
              <w:rPr>
                <w:rFonts w:hint="default" w:eastAsiaTheme="minorEastAsia"/>
                <w:b/>
                <w:bCs/>
                <w:sz w:val="24"/>
                <w:szCs w:val="24"/>
                <w:vertAlign w:val="baseline"/>
                <w:lang w:val="en-US" w:eastAsia="zh-CN"/>
              </w:rPr>
            </w:pPr>
            <w:r>
              <w:rPr>
                <w:rFonts w:hint="eastAsia"/>
                <w:b/>
                <w:bCs/>
                <w:sz w:val="24"/>
                <w:szCs w:val="24"/>
                <w:vertAlign w:val="baseline"/>
                <w:lang w:val="en-US" w:eastAsia="zh-CN"/>
              </w:rPr>
              <w:t>关键事项</w:t>
            </w:r>
          </w:p>
        </w:tc>
        <w:tc>
          <w:tcPr>
            <w:tcW w:w="7138" w:type="dxa"/>
            <w:vAlign w:val="top"/>
          </w:tcPr>
          <w:p w14:paraId="33186E40">
            <w:pPr>
              <w:jc w:val="center"/>
              <w:rPr>
                <w:rFonts w:hint="default" w:eastAsiaTheme="minorEastAsia"/>
                <w:b/>
                <w:bCs/>
                <w:sz w:val="24"/>
                <w:szCs w:val="24"/>
                <w:vertAlign w:val="baseline"/>
                <w:lang w:val="en-US" w:eastAsia="zh-CN"/>
              </w:rPr>
            </w:pPr>
            <w:r>
              <w:rPr>
                <w:rFonts w:hint="eastAsia"/>
                <w:b/>
                <w:bCs/>
                <w:sz w:val="24"/>
                <w:szCs w:val="24"/>
                <w:vertAlign w:val="baseline"/>
                <w:lang w:val="en-US" w:eastAsia="zh-CN"/>
              </w:rPr>
              <w:t>说明和要求</w:t>
            </w:r>
          </w:p>
        </w:tc>
      </w:tr>
      <w:tr w14:paraId="39231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779" w:type="dxa"/>
            <w:vAlign w:val="top"/>
          </w:tcPr>
          <w:p w14:paraId="375A7DB9">
            <w:pPr>
              <w:jc w:val="both"/>
              <w:rPr>
                <w:rFonts w:hint="eastAsia"/>
                <w:sz w:val="21"/>
                <w:szCs w:val="21"/>
                <w:vertAlign w:val="baseline"/>
                <w:lang w:val="en-US" w:eastAsia="zh-CN"/>
              </w:rPr>
            </w:pPr>
          </w:p>
          <w:p w14:paraId="68F477BE">
            <w:pPr>
              <w:jc w:val="center"/>
              <w:rPr>
                <w:rFonts w:hint="eastAsia"/>
                <w:sz w:val="21"/>
                <w:szCs w:val="21"/>
                <w:vertAlign w:val="baseline"/>
                <w:lang w:val="en-US" w:eastAsia="zh-CN"/>
              </w:rPr>
            </w:pPr>
          </w:p>
          <w:p w14:paraId="395000F7">
            <w:pPr>
              <w:jc w:val="center"/>
              <w:rPr>
                <w:rFonts w:hint="default" w:eastAsiaTheme="minorEastAsia"/>
                <w:sz w:val="21"/>
                <w:szCs w:val="21"/>
                <w:vertAlign w:val="baseline"/>
                <w:lang w:val="en-US" w:eastAsia="zh-CN"/>
              </w:rPr>
            </w:pPr>
            <w:r>
              <w:rPr>
                <w:rFonts w:hint="eastAsia"/>
                <w:sz w:val="21"/>
                <w:szCs w:val="21"/>
                <w:vertAlign w:val="baseline"/>
                <w:lang w:val="en-US" w:eastAsia="zh-CN"/>
              </w:rPr>
              <w:t>1</w:t>
            </w:r>
          </w:p>
        </w:tc>
        <w:tc>
          <w:tcPr>
            <w:tcW w:w="1277" w:type="dxa"/>
            <w:vAlign w:val="top"/>
          </w:tcPr>
          <w:p w14:paraId="3762C402">
            <w:pPr>
              <w:jc w:val="center"/>
              <w:rPr>
                <w:rFonts w:hint="eastAsia"/>
                <w:sz w:val="21"/>
                <w:szCs w:val="21"/>
                <w:vertAlign w:val="baseline"/>
                <w:lang w:val="en-US" w:eastAsia="zh-CN"/>
              </w:rPr>
            </w:pPr>
          </w:p>
          <w:p w14:paraId="661358DE">
            <w:pPr>
              <w:jc w:val="center"/>
              <w:rPr>
                <w:rFonts w:hint="eastAsia"/>
                <w:sz w:val="21"/>
                <w:szCs w:val="21"/>
                <w:vertAlign w:val="baseline"/>
                <w:lang w:val="en-US" w:eastAsia="zh-CN"/>
              </w:rPr>
            </w:pPr>
          </w:p>
          <w:p w14:paraId="669591DA">
            <w:pPr>
              <w:jc w:val="center"/>
              <w:rPr>
                <w:rFonts w:hint="default" w:eastAsiaTheme="minorEastAsia"/>
                <w:sz w:val="21"/>
                <w:szCs w:val="21"/>
                <w:vertAlign w:val="baseline"/>
                <w:lang w:val="en-US" w:eastAsia="zh-CN"/>
              </w:rPr>
            </w:pPr>
            <w:r>
              <w:rPr>
                <w:rFonts w:hint="eastAsia"/>
                <w:sz w:val="21"/>
                <w:szCs w:val="21"/>
                <w:vertAlign w:val="baseline"/>
                <w:lang w:val="en-US" w:eastAsia="zh-CN"/>
              </w:rPr>
              <w:t>采购预算</w:t>
            </w:r>
          </w:p>
        </w:tc>
        <w:tc>
          <w:tcPr>
            <w:tcW w:w="7138" w:type="dxa"/>
            <w:vAlign w:val="top"/>
          </w:tcPr>
          <w:p w14:paraId="206E3FA4">
            <w:pPr>
              <w:jc w:val="both"/>
              <w:rPr>
                <w:rFonts w:hint="default"/>
                <w:sz w:val="21"/>
                <w:szCs w:val="21"/>
                <w:u w:val="none"/>
                <w:vertAlign w:val="baseline"/>
                <w:lang w:val="en-US" w:eastAsia="zh-CN"/>
              </w:rPr>
            </w:pPr>
            <w:r>
              <w:rPr>
                <w:rFonts w:hint="eastAsia"/>
                <w:sz w:val="21"/>
                <w:szCs w:val="21"/>
                <w:vertAlign w:val="baseline"/>
                <w:lang w:val="en-US" w:eastAsia="zh-CN"/>
              </w:rPr>
              <w:t>人民币</w:t>
            </w:r>
            <w:r>
              <w:rPr>
                <w:rFonts w:hint="eastAsia"/>
                <w:sz w:val="21"/>
                <w:szCs w:val="21"/>
                <w:u w:val="single"/>
                <w:vertAlign w:val="baseline"/>
                <w:lang w:val="en-US" w:eastAsia="zh-CN"/>
              </w:rPr>
              <w:t xml:space="preserve"> 40 </w:t>
            </w:r>
            <w:r>
              <w:rPr>
                <w:rFonts w:hint="eastAsia"/>
                <w:sz w:val="21"/>
                <w:szCs w:val="21"/>
                <w:u w:val="none"/>
                <w:vertAlign w:val="baseline"/>
                <w:lang w:val="en-US" w:eastAsia="zh-CN"/>
              </w:rPr>
              <w:t>万元</w:t>
            </w:r>
          </w:p>
          <w:p w14:paraId="32A305EB">
            <w:pPr>
              <w:jc w:val="both"/>
              <w:rPr>
                <w:rFonts w:hint="default"/>
                <w:sz w:val="21"/>
                <w:szCs w:val="21"/>
                <w:u w:val="none"/>
                <w:vertAlign w:val="baseline"/>
                <w:lang w:val="en-US" w:eastAsia="zh-CN"/>
              </w:rPr>
            </w:pPr>
            <w:r>
              <w:rPr>
                <w:rFonts w:hint="eastAsia"/>
                <w:sz w:val="21"/>
                <w:szCs w:val="21"/>
                <w:u w:val="none"/>
                <w:vertAlign w:val="baseline"/>
                <w:lang w:val="en-US" w:eastAsia="zh-CN"/>
              </w:rPr>
              <w:t>仅指与本次采购标的直接相关的费用，前期勘察费、设计费等已发生的费用，以及监理费、接口费等未来预留费用，不应当包含在本项目采购预算内，甲方须向本级财政部门经费业务处室申请办理经费剥离手续。</w:t>
            </w:r>
          </w:p>
        </w:tc>
      </w:tr>
      <w:tr w14:paraId="7F8F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779" w:type="dxa"/>
            <w:vAlign w:val="top"/>
          </w:tcPr>
          <w:p w14:paraId="3B98F904">
            <w:pPr>
              <w:jc w:val="center"/>
              <w:rPr>
                <w:rFonts w:hint="eastAsia"/>
                <w:sz w:val="21"/>
                <w:szCs w:val="21"/>
                <w:vertAlign w:val="baseline"/>
                <w:lang w:val="en-US" w:eastAsia="zh-CN"/>
              </w:rPr>
            </w:pPr>
          </w:p>
          <w:p w14:paraId="6BFED36E">
            <w:pPr>
              <w:jc w:val="center"/>
              <w:rPr>
                <w:rFonts w:hint="eastAsia" w:eastAsiaTheme="minorEastAsia"/>
                <w:sz w:val="21"/>
                <w:szCs w:val="21"/>
                <w:vertAlign w:val="baseline"/>
                <w:lang w:val="en-US" w:eastAsia="zh-CN"/>
              </w:rPr>
            </w:pPr>
            <w:r>
              <w:rPr>
                <w:rFonts w:hint="eastAsia"/>
                <w:sz w:val="21"/>
                <w:szCs w:val="21"/>
                <w:vertAlign w:val="baseline"/>
                <w:lang w:val="en-US" w:eastAsia="zh-CN"/>
              </w:rPr>
              <w:t>2</w:t>
            </w:r>
          </w:p>
        </w:tc>
        <w:tc>
          <w:tcPr>
            <w:tcW w:w="1277" w:type="dxa"/>
            <w:vAlign w:val="top"/>
          </w:tcPr>
          <w:p w14:paraId="16882CC0">
            <w:pPr>
              <w:jc w:val="center"/>
              <w:rPr>
                <w:rFonts w:hint="eastAsia"/>
                <w:sz w:val="21"/>
                <w:szCs w:val="21"/>
                <w:vertAlign w:val="baseline"/>
                <w:lang w:val="en-US" w:eastAsia="zh-CN"/>
              </w:rPr>
            </w:pPr>
          </w:p>
          <w:p w14:paraId="13994709">
            <w:pPr>
              <w:jc w:val="center"/>
              <w:rPr>
                <w:rFonts w:hint="default" w:eastAsiaTheme="minorEastAsia"/>
                <w:sz w:val="21"/>
                <w:szCs w:val="21"/>
                <w:vertAlign w:val="baseline"/>
                <w:lang w:val="en-US" w:eastAsia="zh-CN"/>
              </w:rPr>
            </w:pPr>
            <w:r>
              <w:rPr>
                <w:rFonts w:hint="eastAsia"/>
                <w:sz w:val="21"/>
                <w:szCs w:val="21"/>
                <w:vertAlign w:val="baseline"/>
                <w:lang w:val="en-US" w:eastAsia="zh-CN"/>
              </w:rPr>
              <w:t>最高限价</w:t>
            </w:r>
          </w:p>
        </w:tc>
        <w:tc>
          <w:tcPr>
            <w:tcW w:w="7138" w:type="dxa"/>
            <w:vAlign w:val="top"/>
          </w:tcPr>
          <w:p w14:paraId="2C280D45">
            <w:pPr>
              <w:jc w:val="both"/>
              <w:rPr>
                <w:rFonts w:hint="default"/>
                <w:sz w:val="21"/>
                <w:szCs w:val="21"/>
                <w:u w:val="none"/>
                <w:vertAlign w:val="baseline"/>
                <w:lang w:val="en-US" w:eastAsia="zh-CN"/>
              </w:rPr>
            </w:pPr>
            <w:r>
              <w:rPr>
                <w:rFonts w:hint="eastAsia"/>
                <w:sz w:val="21"/>
                <w:szCs w:val="21"/>
                <w:vertAlign w:val="baseline"/>
                <w:lang w:val="en-US" w:eastAsia="zh-CN"/>
              </w:rPr>
              <w:t>人民币</w:t>
            </w:r>
            <w:r>
              <w:rPr>
                <w:rFonts w:hint="eastAsia"/>
                <w:sz w:val="21"/>
                <w:szCs w:val="21"/>
                <w:u w:val="single"/>
                <w:vertAlign w:val="baseline"/>
                <w:lang w:val="en-US" w:eastAsia="zh-CN"/>
              </w:rPr>
              <w:t xml:space="preserve"> 40</w:t>
            </w:r>
            <w:r>
              <w:rPr>
                <w:rFonts w:hint="eastAsia"/>
                <w:sz w:val="21"/>
                <w:szCs w:val="21"/>
                <w:u w:val="none"/>
                <w:vertAlign w:val="baseline"/>
                <w:lang w:val="en-US" w:eastAsia="zh-CN"/>
              </w:rPr>
              <w:t>万元</w:t>
            </w:r>
          </w:p>
          <w:p w14:paraId="6E39D21B">
            <w:pPr>
              <w:jc w:val="both"/>
              <w:rPr>
                <w:rFonts w:hint="default"/>
                <w:sz w:val="21"/>
                <w:szCs w:val="21"/>
                <w:u w:val="single"/>
                <w:vertAlign w:val="baseline"/>
                <w:lang w:val="en-US" w:eastAsia="zh-CN"/>
              </w:rPr>
            </w:pPr>
            <w:r>
              <w:rPr>
                <w:rFonts w:hint="eastAsia"/>
                <w:sz w:val="21"/>
                <w:szCs w:val="21"/>
                <w:u w:val="none"/>
                <w:vertAlign w:val="baseline"/>
                <w:lang w:val="en-US" w:eastAsia="zh-CN"/>
              </w:rPr>
              <w:t>供应商投标报价高于最高限额价的则其投标文件将按无效投标文件处理。</w:t>
            </w:r>
          </w:p>
        </w:tc>
      </w:tr>
      <w:tr w14:paraId="0CA23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779" w:type="dxa"/>
            <w:vMerge w:val="restart"/>
            <w:vAlign w:val="top"/>
          </w:tcPr>
          <w:p w14:paraId="7A3F3162">
            <w:pPr>
              <w:jc w:val="center"/>
              <w:rPr>
                <w:rFonts w:hint="eastAsia"/>
                <w:sz w:val="21"/>
                <w:szCs w:val="21"/>
                <w:vertAlign w:val="baseline"/>
                <w:lang w:val="en-US" w:eastAsia="zh-CN"/>
              </w:rPr>
            </w:pPr>
          </w:p>
          <w:p w14:paraId="39880114">
            <w:pPr>
              <w:jc w:val="center"/>
              <w:rPr>
                <w:rFonts w:hint="eastAsia"/>
                <w:sz w:val="21"/>
                <w:szCs w:val="21"/>
                <w:vertAlign w:val="baseline"/>
                <w:lang w:val="en-US" w:eastAsia="zh-CN"/>
              </w:rPr>
            </w:pPr>
            <w:r>
              <w:rPr>
                <w:rFonts w:hint="eastAsia"/>
                <w:sz w:val="21"/>
                <w:szCs w:val="21"/>
                <w:vertAlign w:val="baseline"/>
                <w:lang w:val="en-US" w:eastAsia="zh-CN"/>
              </w:rPr>
              <w:t xml:space="preserve"> </w:t>
            </w:r>
          </w:p>
          <w:p w14:paraId="78C27921">
            <w:pPr>
              <w:jc w:val="center"/>
              <w:rPr>
                <w:rFonts w:hint="eastAsia"/>
                <w:sz w:val="21"/>
                <w:szCs w:val="21"/>
                <w:vertAlign w:val="baseline"/>
                <w:lang w:val="en-US" w:eastAsia="zh-CN"/>
              </w:rPr>
            </w:pPr>
          </w:p>
          <w:p w14:paraId="4650A868">
            <w:pPr>
              <w:jc w:val="center"/>
              <w:rPr>
                <w:rFonts w:hint="eastAsia" w:eastAsiaTheme="minorEastAsia"/>
                <w:sz w:val="21"/>
                <w:szCs w:val="21"/>
                <w:vertAlign w:val="baseline"/>
                <w:lang w:val="en-US" w:eastAsia="zh-CN"/>
              </w:rPr>
            </w:pPr>
            <w:r>
              <w:rPr>
                <w:rFonts w:hint="eastAsia"/>
                <w:sz w:val="21"/>
                <w:szCs w:val="21"/>
                <w:vertAlign w:val="baseline"/>
                <w:lang w:val="en-US" w:eastAsia="zh-CN"/>
              </w:rPr>
              <w:t>3</w:t>
            </w:r>
          </w:p>
        </w:tc>
        <w:tc>
          <w:tcPr>
            <w:tcW w:w="1277" w:type="dxa"/>
            <w:vMerge w:val="restart"/>
            <w:vAlign w:val="top"/>
          </w:tcPr>
          <w:p w14:paraId="22081810">
            <w:pPr>
              <w:jc w:val="center"/>
              <w:rPr>
                <w:rFonts w:hint="eastAsia"/>
                <w:sz w:val="21"/>
                <w:szCs w:val="21"/>
                <w:vertAlign w:val="baseline"/>
                <w:lang w:val="en-US" w:eastAsia="zh-CN"/>
              </w:rPr>
            </w:pPr>
          </w:p>
          <w:p w14:paraId="7FFADA1A">
            <w:pPr>
              <w:jc w:val="center"/>
              <w:rPr>
                <w:rFonts w:hint="eastAsia"/>
                <w:sz w:val="21"/>
                <w:szCs w:val="21"/>
                <w:vertAlign w:val="baseline"/>
                <w:lang w:val="en-US" w:eastAsia="zh-CN"/>
              </w:rPr>
            </w:pPr>
          </w:p>
          <w:p w14:paraId="13B0D847">
            <w:pPr>
              <w:jc w:val="center"/>
              <w:rPr>
                <w:rFonts w:hint="eastAsia"/>
                <w:sz w:val="21"/>
                <w:szCs w:val="21"/>
                <w:vertAlign w:val="baseline"/>
                <w:lang w:val="en-US" w:eastAsia="zh-CN"/>
              </w:rPr>
            </w:pPr>
          </w:p>
          <w:p w14:paraId="383733EE">
            <w:pPr>
              <w:jc w:val="center"/>
              <w:rPr>
                <w:rFonts w:hint="eastAsia" w:eastAsiaTheme="minorEastAsia"/>
                <w:sz w:val="21"/>
                <w:szCs w:val="21"/>
                <w:vertAlign w:val="baseline"/>
                <w:lang w:val="en-US" w:eastAsia="zh-CN"/>
              </w:rPr>
            </w:pPr>
            <w:r>
              <w:rPr>
                <w:rFonts w:hint="eastAsia"/>
                <w:sz w:val="21"/>
                <w:szCs w:val="21"/>
                <w:vertAlign w:val="baseline"/>
                <w:lang w:val="en-US" w:eastAsia="zh-CN"/>
              </w:rPr>
              <w:t>项目性质</w:t>
            </w:r>
          </w:p>
        </w:tc>
        <w:tc>
          <w:tcPr>
            <w:tcW w:w="7138" w:type="dxa"/>
            <w:vAlign w:val="top"/>
          </w:tcPr>
          <w:p w14:paraId="5D936FE6">
            <w:pPr>
              <w:jc w:val="both"/>
              <w:rPr>
                <w:rFonts w:hint="eastAsia" w:eastAsia="宋体"/>
                <w:color w:val="auto"/>
                <w:sz w:val="21"/>
                <w:szCs w:val="21"/>
                <w:vertAlign w:val="baseline"/>
                <w:lang w:val="en-US" w:eastAsia="zh-CN"/>
              </w:rPr>
            </w:pPr>
            <w:r>
              <w:rPr>
                <w:rFonts w:hint="default" w:ascii="Arial" w:hAnsi="Arial" w:eastAsia="宋体" w:cs="Arial"/>
                <w:color w:val="auto"/>
                <w:sz w:val="21"/>
                <w:szCs w:val="21"/>
                <w:vertAlign w:val="baseline"/>
              </w:rPr>
              <w:t>√</w:t>
            </w:r>
            <w:r>
              <w:rPr>
                <w:rFonts w:hint="eastAsia" w:eastAsia="宋体"/>
                <w:color w:val="auto"/>
                <w:sz w:val="21"/>
                <w:szCs w:val="21"/>
                <w:vertAlign w:val="baseline"/>
                <w:lang w:val="en-US" w:eastAsia="zh-CN"/>
              </w:rPr>
              <w:t>专门面向中小企业采购</w:t>
            </w:r>
          </w:p>
          <w:p w14:paraId="7FFA5746">
            <w:pPr>
              <w:jc w:val="both"/>
              <w:rPr>
                <w:rFonts w:hint="default" w:eastAsia="宋体"/>
                <w:sz w:val="21"/>
                <w:szCs w:val="21"/>
                <w:vertAlign w:val="baseline"/>
                <w:lang w:val="en-US" w:eastAsia="zh-CN"/>
              </w:rPr>
            </w:pPr>
            <w:r>
              <w:rPr>
                <w:rFonts w:hint="eastAsia" w:eastAsia="宋体"/>
                <w:color w:val="auto"/>
                <w:sz w:val="21"/>
                <w:szCs w:val="21"/>
                <w:vertAlign w:val="baseline"/>
                <w:lang w:val="en-US" w:eastAsia="zh-CN"/>
              </w:rPr>
              <w:t>仅允许中小企业或小型、微型企业参与投标。</w:t>
            </w:r>
          </w:p>
        </w:tc>
      </w:tr>
      <w:tr w14:paraId="33F9D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top"/>
          </w:tcPr>
          <w:p w14:paraId="6D38BFEF">
            <w:pPr>
              <w:jc w:val="center"/>
              <w:rPr>
                <w:sz w:val="21"/>
                <w:szCs w:val="21"/>
                <w:vertAlign w:val="baseline"/>
              </w:rPr>
            </w:pPr>
          </w:p>
        </w:tc>
        <w:tc>
          <w:tcPr>
            <w:tcW w:w="1277" w:type="dxa"/>
            <w:vMerge w:val="continue"/>
            <w:vAlign w:val="top"/>
          </w:tcPr>
          <w:p w14:paraId="29B77E7A">
            <w:pPr>
              <w:jc w:val="center"/>
              <w:rPr>
                <w:sz w:val="21"/>
                <w:szCs w:val="21"/>
                <w:vertAlign w:val="baseline"/>
              </w:rPr>
            </w:pPr>
          </w:p>
        </w:tc>
        <w:tc>
          <w:tcPr>
            <w:tcW w:w="7138" w:type="dxa"/>
            <w:vAlign w:val="top"/>
          </w:tcPr>
          <w:p w14:paraId="16300F1F">
            <w:pPr>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rPr>
              <w:t>○</w:t>
            </w:r>
            <w:r>
              <w:rPr>
                <w:rFonts w:hint="eastAsia" w:ascii="宋体" w:hAnsi="宋体" w:eastAsia="宋体" w:cs="宋体"/>
                <w:sz w:val="21"/>
                <w:szCs w:val="21"/>
                <w:vertAlign w:val="baseline"/>
                <w:lang w:val="en-US" w:eastAsia="zh-CN"/>
              </w:rPr>
              <w:t>非专门面向中小企业采购</w:t>
            </w:r>
          </w:p>
          <w:p w14:paraId="03CE8835">
            <w:pPr>
              <w:jc w:val="both"/>
              <w:rPr>
                <w:rFonts w:hint="default" w:ascii="宋体" w:hAnsi="宋体" w:eastAsia="宋体" w:cs="宋体"/>
                <w:sz w:val="21"/>
                <w:szCs w:val="21"/>
                <w:u w:val="none"/>
                <w:vertAlign w:val="baseline"/>
                <w:lang w:val="en-US" w:eastAsia="zh-CN"/>
              </w:rPr>
            </w:pPr>
            <w:r>
              <w:rPr>
                <w:rFonts w:hint="eastAsia" w:ascii="宋体" w:hAnsi="宋体" w:eastAsia="宋体" w:cs="宋体"/>
                <w:sz w:val="21"/>
                <w:szCs w:val="21"/>
                <w:vertAlign w:val="baseline"/>
                <w:lang w:val="en-US" w:eastAsia="zh-CN"/>
              </w:rPr>
              <w:t>对符合《政府采购促进中小企业发展管理办法》（财库{2020}46号）规定的小微企业（监狱企业视同小型、微型企业）的报价给予</w:t>
            </w:r>
            <w:r>
              <w:rPr>
                <w:rFonts w:hint="eastAsia" w:ascii="宋体" w:hAnsi="宋体" w:eastAsia="宋体" w:cs="宋体"/>
                <w:sz w:val="21"/>
                <w:szCs w:val="21"/>
                <w:u w:val="single"/>
                <w:vertAlign w:val="baseline"/>
                <w:lang w:val="en-US" w:eastAsia="zh-CN"/>
              </w:rPr>
              <w:t xml:space="preserve"> 10 </w:t>
            </w:r>
            <w:r>
              <w:rPr>
                <w:rFonts w:hint="eastAsia" w:ascii="宋体" w:hAnsi="宋体" w:eastAsia="宋体" w:cs="宋体"/>
                <w:sz w:val="21"/>
                <w:szCs w:val="21"/>
                <w:u w:val="none"/>
                <w:vertAlign w:val="baseline"/>
                <w:lang w:val="en-US" w:eastAsia="zh-CN"/>
              </w:rPr>
              <w:t>%（6%—10%）的扣除，用扣除后的价格参加评审。</w:t>
            </w:r>
          </w:p>
        </w:tc>
      </w:tr>
      <w:tr w14:paraId="15E0B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dxa"/>
            <w:vAlign w:val="top"/>
          </w:tcPr>
          <w:p w14:paraId="693382C6">
            <w:pPr>
              <w:jc w:val="center"/>
              <w:rPr>
                <w:rFonts w:hint="eastAsia"/>
                <w:sz w:val="21"/>
                <w:szCs w:val="21"/>
                <w:vertAlign w:val="baseline"/>
                <w:lang w:val="en-US" w:eastAsia="zh-CN"/>
              </w:rPr>
            </w:pPr>
          </w:p>
          <w:p w14:paraId="4E6C6D34">
            <w:pPr>
              <w:jc w:val="center"/>
              <w:rPr>
                <w:rFonts w:hint="eastAsia"/>
                <w:sz w:val="21"/>
                <w:szCs w:val="21"/>
                <w:vertAlign w:val="baseline"/>
                <w:lang w:val="en-US" w:eastAsia="zh-CN"/>
              </w:rPr>
            </w:pPr>
          </w:p>
          <w:p w14:paraId="65C454F8">
            <w:pPr>
              <w:jc w:val="center"/>
              <w:rPr>
                <w:rFonts w:hint="eastAsia"/>
                <w:sz w:val="21"/>
                <w:szCs w:val="21"/>
                <w:vertAlign w:val="baseline"/>
                <w:lang w:val="en-US" w:eastAsia="zh-CN"/>
              </w:rPr>
            </w:pPr>
          </w:p>
          <w:p w14:paraId="4D134D32">
            <w:pPr>
              <w:jc w:val="center"/>
              <w:rPr>
                <w:rFonts w:hint="eastAsia"/>
                <w:sz w:val="21"/>
                <w:szCs w:val="21"/>
                <w:vertAlign w:val="baseline"/>
                <w:lang w:val="en-US" w:eastAsia="zh-CN"/>
              </w:rPr>
            </w:pPr>
          </w:p>
          <w:p w14:paraId="26702D45">
            <w:pPr>
              <w:jc w:val="center"/>
              <w:rPr>
                <w:rFonts w:hint="eastAsia"/>
                <w:sz w:val="21"/>
                <w:szCs w:val="21"/>
                <w:vertAlign w:val="baseline"/>
                <w:lang w:val="en-US" w:eastAsia="zh-CN"/>
              </w:rPr>
            </w:pPr>
          </w:p>
          <w:p w14:paraId="73897AAB">
            <w:pPr>
              <w:jc w:val="center"/>
              <w:rPr>
                <w:rFonts w:hint="eastAsia"/>
                <w:sz w:val="21"/>
                <w:szCs w:val="21"/>
                <w:vertAlign w:val="baseline"/>
                <w:lang w:val="en-US" w:eastAsia="zh-CN"/>
              </w:rPr>
            </w:pPr>
          </w:p>
          <w:p w14:paraId="30329A43">
            <w:pPr>
              <w:ind w:firstLine="210" w:firstLineChars="100"/>
              <w:jc w:val="both"/>
              <w:rPr>
                <w:rFonts w:hint="eastAsia" w:eastAsiaTheme="minorEastAsia"/>
                <w:sz w:val="21"/>
                <w:szCs w:val="21"/>
                <w:vertAlign w:val="baseline"/>
                <w:lang w:val="en-US" w:eastAsia="zh-CN"/>
              </w:rPr>
            </w:pPr>
            <w:r>
              <w:rPr>
                <w:rFonts w:hint="eastAsia"/>
                <w:sz w:val="21"/>
                <w:szCs w:val="21"/>
                <w:vertAlign w:val="baseline"/>
                <w:lang w:val="en-US" w:eastAsia="zh-CN"/>
              </w:rPr>
              <w:t>4</w:t>
            </w:r>
          </w:p>
        </w:tc>
        <w:tc>
          <w:tcPr>
            <w:tcW w:w="1277" w:type="dxa"/>
            <w:vAlign w:val="top"/>
          </w:tcPr>
          <w:p w14:paraId="14784F55">
            <w:pPr>
              <w:jc w:val="center"/>
              <w:rPr>
                <w:rFonts w:hint="eastAsia"/>
                <w:sz w:val="21"/>
                <w:szCs w:val="21"/>
                <w:vertAlign w:val="baseline"/>
                <w:lang w:val="en-US" w:eastAsia="zh-CN"/>
              </w:rPr>
            </w:pPr>
          </w:p>
          <w:p w14:paraId="2ADC5E8D">
            <w:pPr>
              <w:jc w:val="center"/>
              <w:rPr>
                <w:rFonts w:hint="eastAsia"/>
                <w:sz w:val="21"/>
                <w:szCs w:val="21"/>
                <w:vertAlign w:val="baseline"/>
                <w:lang w:val="en-US" w:eastAsia="zh-CN"/>
              </w:rPr>
            </w:pPr>
          </w:p>
          <w:p w14:paraId="382B90DA">
            <w:pPr>
              <w:jc w:val="center"/>
              <w:rPr>
                <w:rFonts w:hint="eastAsia"/>
                <w:sz w:val="21"/>
                <w:szCs w:val="21"/>
                <w:vertAlign w:val="baseline"/>
                <w:lang w:val="en-US" w:eastAsia="zh-CN"/>
              </w:rPr>
            </w:pPr>
          </w:p>
          <w:p w14:paraId="14FF0EBF">
            <w:pPr>
              <w:jc w:val="center"/>
              <w:rPr>
                <w:rFonts w:hint="eastAsia"/>
                <w:sz w:val="21"/>
                <w:szCs w:val="21"/>
                <w:vertAlign w:val="baseline"/>
                <w:lang w:val="en-US" w:eastAsia="zh-CN"/>
              </w:rPr>
            </w:pPr>
          </w:p>
          <w:p w14:paraId="2BF19B0A">
            <w:pPr>
              <w:jc w:val="center"/>
              <w:rPr>
                <w:rFonts w:hint="eastAsia"/>
                <w:sz w:val="21"/>
                <w:szCs w:val="21"/>
                <w:vertAlign w:val="baseline"/>
                <w:lang w:val="en-US" w:eastAsia="zh-CN"/>
              </w:rPr>
            </w:pPr>
          </w:p>
          <w:p w14:paraId="07F1DE3B">
            <w:pPr>
              <w:jc w:val="center"/>
              <w:rPr>
                <w:rFonts w:hint="eastAsia"/>
                <w:sz w:val="21"/>
                <w:szCs w:val="21"/>
                <w:vertAlign w:val="baseline"/>
                <w:lang w:val="en-US" w:eastAsia="zh-CN"/>
              </w:rPr>
            </w:pPr>
          </w:p>
          <w:p w14:paraId="4232E9C0">
            <w:pPr>
              <w:jc w:val="center"/>
              <w:rPr>
                <w:rFonts w:hint="eastAsia"/>
                <w:sz w:val="21"/>
                <w:szCs w:val="21"/>
                <w:vertAlign w:val="baseline"/>
                <w:lang w:val="en-US" w:eastAsia="zh-CN"/>
              </w:rPr>
            </w:pPr>
            <w:r>
              <w:rPr>
                <w:rFonts w:hint="eastAsia"/>
                <w:sz w:val="21"/>
                <w:szCs w:val="21"/>
                <w:vertAlign w:val="baseline"/>
                <w:lang w:val="en-US" w:eastAsia="zh-CN"/>
              </w:rPr>
              <w:t>对供应商的</w:t>
            </w:r>
          </w:p>
          <w:p w14:paraId="1080D077">
            <w:pPr>
              <w:jc w:val="center"/>
              <w:rPr>
                <w:rFonts w:hint="default"/>
                <w:sz w:val="21"/>
                <w:szCs w:val="21"/>
                <w:vertAlign w:val="baseline"/>
                <w:lang w:val="en-US" w:eastAsia="zh-CN"/>
              </w:rPr>
            </w:pPr>
            <w:r>
              <w:rPr>
                <w:rFonts w:hint="eastAsia"/>
                <w:sz w:val="21"/>
                <w:szCs w:val="21"/>
                <w:vertAlign w:val="baseline"/>
                <w:lang w:val="en-US" w:eastAsia="zh-CN"/>
              </w:rPr>
              <w:t>资格要求</w:t>
            </w:r>
          </w:p>
        </w:tc>
        <w:tc>
          <w:tcPr>
            <w:tcW w:w="7138" w:type="dxa"/>
            <w:vAlign w:val="top"/>
          </w:tcPr>
          <w:p w14:paraId="532AE045">
            <w:pPr>
              <w:numPr>
                <w:ilvl w:val="0"/>
                <w:numId w:val="0"/>
              </w:numPr>
              <w:jc w:val="left"/>
              <w:rPr>
                <w:rFonts w:hint="eastAsia"/>
                <w:sz w:val="21"/>
                <w:szCs w:val="21"/>
                <w:highlight w:val="none"/>
                <w:u w:val="single"/>
                <w:vertAlign w:val="baseline"/>
                <w:lang w:val="en-US" w:eastAsia="zh-CN"/>
              </w:rPr>
            </w:pPr>
            <w:r>
              <w:rPr>
                <w:rFonts w:hint="eastAsia"/>
                <w:sz w:val="21"/>
                <w:szCs w:val="21"/>
                <w:highlight w:val="none"/>
                <w:u w:val="single"/>
                <w:vertAlign w:val="baseline"/>
                <w:lang w:val="en-US" w:eastAsia="zh-CN"/>
              </w:rPr>
              <w:t>满足《中华人民共和国政府采购法》第二十二条规定；</w:t>
            </w:r>
            <w:r>
              <w:rPr>
                <w:rFonts w:hint="eastAsia"/>
                <w:sz w:val="21"/>
                <w:szCs w:val="21"/>
                <w:highlight w:val="none"/>
                <w:u w:val="none"/>
                <w:vertAlign w:val="baseline"/>
                <w:lang w:val="en-US" w:eastAsia="zh-CN"/>
              </w:rPr>
              <w:t xml:space="preserve">                  </w:t>
            </w:r>
            <w:r>
              <w:rPr>
                <w:rFonts w:hint="eastAsia"/>
                <w:sz w:val="21"/>
                <w:szCs w:val="21"/>
                <w:highlight w:val="none"/>
                <w:u w:val="single"/>
                <w:vertAlign w:val="baseline"/>
                <w:lang w:val="en-US" w:eastAsia="zh-CN"/>
              </w:rPr>
              <w:t xml:space="preserve"> 1、法定代表人授权书（附法定代表人、被授权人身份证复印件）及被授权人身份证（法定代表人直接参加投标，须提供法定代表人身份证明及身份证原件）；</w:t>
            </w:r>
          </w:p>
          <w:p w14:paraId="60B67730">
            <w:pPr>
              <w:numPr>
                <w:ilvl w:val="0"/>
                <w:numId w:val="0"/>
              </w:numPr>
              <w:jc w:val="both"/>
              <w:rPr>
                <w:rFonts w:hint="eastAsia"/>
                <w:sz w:val="21"/>
                <w:szCs w:val="21"/>
                <w:highlight w:val="none"/>
                <w:u w:val="single"/>
                <w:vertAlign w:val="baseline"/>
                <w:lang w:val="en-US" w:eastAsia="zh-CN"/>
              </w:rPr>
            </w:pPr>
            <w:r>
              <w:rPr>
                <w:rFonts w:hint="eastAsia"/>
                <w:sz w:val="21"/>
                <w:szCs w:val="21"/>
                <w:highlight w:val="none"/>
                <w:u w:val="single"/>
                <w:vertAlign w:val="baseline"/>
                <w:lang w:val="en-US" w:eastAsia="zh-CN"/>
              </w:rPr>
              <w:t>2、供应商未被“信用中国”网站（www.creditchina.gov.cn）列入失信被执行人和重大税收违法失信主体，未被中国政府采购网（www.ccgp.gov.cn）列入政府采购严重违法失信行为记录名单。</w:t>
            </w:r>
          </w:p>
          <w:p w14:paraId="50618B38">
            <w:pPr>
              <w:numPr>
                <w:ilvl w:val="0"/>
                <w:numId w:val="0"/>
              </w:numPr>
              <w:jc w:val="both"/>
              <w:rPr>
                <w:rFonts w:hint="eastAsia"/>
                <w:sz w:val="21"/>
                <w:szCs w:val="21"/>
                <w:highlight w:val="none"/>
                <w:u w:val="single"/>
                <w:vertAlign w:val="baseline"/>
                <w:lang w:val="en-US" w:eastAsia="zh-CN"/>
              </w:rPr>
            </w:pPr>
            <w:r>
              <w:rPr>
                <w:rFonts w:hint="eastAsia"/>
                <w:sz w:val="21"/>
                <w:szCs w:val="21"/>
                <w:highlight w:val="none"/>
                <w:u w:val="single"/>
                <w:vertAlign w:val="baseline"/>
                <w:lang w:val="en-US" w:eastAsia="zh-CN"/>
              </w:rPr>
              <w:t>根据《政府采购促进中小企业发展管理办法》（财库〔2020〕46号）的规定,不得以企业注册资本、资产总额、营业收入、从业人员、利润、纳税额等规模条件和财务指标作为供应商的资格要求或者评审因素，不得在企业股权结构、经营年限等方面对中小企业实行差别待遇或者歧视待遇。</w:t>
            </w:r>
          </w:p>
          <w:p w14:paraId="2AAAF744">
            <w:pPr>
              <w:numPr>
                <w:ilvl w:val="0"/>
                <w:numId w:val="0"/>
              </w:numPr>
              <w:ind w:left="0" w:leftChars="0" w:firstLine="0" w:firstLineChars="0"/>
              <w:jc w:val="both"/>
              <w:rPr>
                <w:rFonts w:hint="default" w:eastAsiaTheme="minorEastAsia"/>
                <w:sz w:val="21"/>
                <w:szCs w:val="21"/>
                <w:u w:val="single"/>
                <w:vertAlign w:val="baseline"/>
                <w:lang w:val="en-US" w:eastAsia="zh-CN"/>
              </w:rPr>
            </w:pPr>
            <w:r>
              <w:rPr>
                <w:rFonts w:hint="eastAsia"/>
                <w:sz w:val="21"/>
                <w:szCs w:val="21"/>
                <w:u w:val="none"/>
                <w:vertAlign w:val="baseline"/>
                <w:lang w:val="en-US" w:eastAsia="zh-CN"/>
              </w:rPr>
              <w:t>根据《政府采购促进中小企业发展管理办法》（财库{2020}46号）的规定，不得以企业注册资本、资产总额、营业收入、从业人员、利润、纳税额等规模条件和财务指标作为供应商的资格要求或者评审因素，不得从企业股权结构、经营年限等方面对中小企业实行差别待遇或者歧视待遇。</w:t>
            </w:r>
          </w:p>
        </w:tc>
      </w:tr>
      <w:tr w14:paraId="74CD7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dxa"/>
            <w:vMerge w:val="restart"/>
            <w:vAlign w:val="top"/>
          </w:tcPr>
          <w:p w14:paraId="6A44D73E">
            <w:pPr>
              <w:jc w:val="center"/>
              <w:rPr>
                <w:rFonts w:hint="eastAsia"/>
                <w:sz w:val="21"/>
                <w:szCs w:val="21"/>
                <w:vertAlign w:val="baseline"/>
                <w:lang w:val="en-US" w:eastAsia="zh-CN"/>
              </w:rPr>
            </w:pPr>
          </w:p>
          <w:p w14:paraId="77E5C5CD">
            <w:pPr>
              <w:jc w:val="center"/>
              <w:rPr>
                <w:rFonts w:hint="eastAsia"/>
                <w:sz w:val="21"/>
                <w:szCs w:val="21"/>
                <w:vertAlign w:val="baseline"/>
                <w:lang w:val="en-US" w:eastAsia="zh-CN"/>
              </w:rPr>
            </w:pPr>
          </w:p>
          <w:p w14:paraId="366154E2">
            <w:pPr>
              <w:jc w:val="center"/>
              <w:rPr>
                <w:rFonts w:hint="eastAsia" w:eastAsiaTheme="minorEastAsia"/>
                <w:sz w:val="21"/>
                <w:szCs w:val="21"/>
                <w:vertAlign w:val="baseline"/>
                <w:lang w:val="en-US" w:eastAsia="zh-CN"/>
              </w:rPr>
            </w:pPr>
            <w:r>
              <w:rPr>
                <w:rFonts w:hint="eastAsia"/>
                <w:sz w:val="21"/>
                <w:szCs w:val="21"/>
                <w:vertAlign w:val="baseline"/>
                <w:lang w:val="en-US" w:eastAsia="zh-CN"/>
              </w:rPr>
              <w:t>5</w:t>
            </w:r>
          </w:p>
        </w:tc>
        <w:tc>
          <w:tcPr>
            <w:tcW w:w="1277" w:type="dxa"/>
            <w:vMerge w:val="restart"/>
            <w:vAlign w:val="top"/>
          </w:tcPr>
          <w:p w14:paraId="4FD35F10">
            <w:pPr>
              <w:jc w:val="center"/>
              <w:rPr>
                <w:rFonts w:hint="eastAsia"/>
                <w:sz w:val="21"/>
                <w:szCs w:val="21"/>
                <w:vertAlign w:val="baseline"/>
                <w:lang w:val="en-US" w:eastAsia="zh-CN"/>
              </w:rPr>
            </w:pPr>
          </w:p>
          <w:p w14:paraId="330A21D5">
            <w:pPr>
              <w:jc w:val="center"/>
              <w:rPr>
                <w:rFonts w:hint="eastAsia"/>
                <w:sz w:val="21"/>
                <w:szCs w:val="21"/>
                <w:vertAlign w:val="baseline"/>
                <w:lang w:val="en-US" w:eastAsia="zh-CN"/>
              </w:rPr>
            </w:pPr>
          </w:p>
          <w:p w14:paraId="1EC43464">
            <w:pPr>
              <w:jc w:val="center"/>
              <w:rPr>
                <w:rFonts w:hint="eastAsia"/>
                <w:sz w:val="21"/>
                <w:szCs w:val="21"/>
                <w:vertAlign w:val="baseline"/>
                <w:lang w:val="en-US" w:eastAsia="zh-CN"/>
              </w:rPr>
            </w:pPr>
            <w:r>
              <w:rPr>
                <w:rFonts w:hint="eastAsia"/>
                <w:sz w:val="21"/>
                <w:szCs w:val="21"/>
                <w:vertAlign w:val="baseline"/>
                <w:lang w:val="en-US" w:eastAsia="zh-CN"/>
              </w:rPr>
              <w:t>是否接受</w:t>
            </w:r>
          </w:p>
          <w:p w14:paraId="616549B8">
            <w:pPr>
              <w:jc w:val="center"/>
              <w:rPr>
                <w:rFonts w:hint="default"/>
                <w:sz w:val="21"/>
                <w:szCs w:val="21"/>
                <w:vertAlign w:val="baseline"/>
                <w:lang w:val="en-US" w:eastAsia="zh-CN"/>
              </w:rPr>
            </w:pPr>
            <w:r>
              <w:rPr>
                <w:rFonts w:hint="eastAsia"/>
                <w:sz w:val="21"/>
                <w:szCs w:val="21"/>
                <w:vertAlign w:val="baseline"/>
                <w:lang w:val="en-US" w:eastAsia="zh-CN"/>
              </w:rPr>
              <w:t>联合体投标</w:t>
            </w:r>
          </w:p>
        </w:tc>
        <w:tc>
          <w:tcPr>
            <w:tcW w:w="7138" w:type="dxa"/>
            <w:vAlign w:val="top"/>
          </w:tcPr>
          <w:p w14:paraId="2D6E8997">
            <w:pPr>
              <w:jc w:val="both"/>
              <w:rPr>
                <w:rFonts w:hint="eastAsia" w:asciiTheme="minorEastAsia" w:hAnsiTheme="minorEastAsia" w:cstheme="minorEastAsia"/>
                <w:sz w:val="21"/>
                <w:szCs w:val="21"/>
                <w:vertAlign w:val="baseline"/>
                <w:lang w:val="en-US" w:eastAsia="zh-CN"/>
              </w:rPr>
            </w:pPr>
            <w:r>
              <w:rPr>
                <w:rFonts w:hint="eastAsia" w:ascii="宋体" w:hAnsi="宋体" w:eastAsia="宋体" w:cs="宋体"/>
                <w:sz w:val="21"/>
                <w:szCs w:val="21"/>
                <w:vertAlign w:val="baseline"/>
              </w:rPr>
              <w:t>○</w:t>
            </w:r>
            <w:r>
              <w:rPr>
                <w:rFonts w:hint="eastAsia" w:asciiTheme="minorEastAsia" w:hAnsiTheme="minorEastAsia" w:cstheme="minorEastAsia"/>
                <w:sz w:val="21"/>
                <w:szCs w:val="21"/>
                <w:vertAlign w:val="baseline"/>
                <w:lang w:val="en-US" w:eastAsia="zh-CN"/>
              </w:rPr>
              <w:t>接受</w:t>
            </w:r>
          </w:p>
          <w:p w14:paraId="2766A77C">
            <w:pPr>
              <w:jc w:val="both"/>
              <w:rPr>
                <w:rFonts w:hint="default" w:asciiTheme="minorEastAsia" w:hAnsiTheme="minorEastAsia" w:cstheme="minorEastAsia"/>
                <w:sz w:val="21"/>
                <w:szCs w:val="21"/>
                <w:u w:val="none"/>
                <w:vertAlign w:val="baseline"/>
                <w:lang w:val="en-US" w:eastAsia="zh-CN"/>
              </w:rPr>
            </w:pPr>
            <w:r>
              <w:rPr>
                <w:rFonts w:hint="eastAsia" w:asciiTheme="minorEastAsia" w:hAnsiTheme="minorEastAsia" w:cstheme="minorEastAsia"/>
                <w:sz w:val="21"/>
                <w:szCs w:val="21"/>
                <w:vertAlign w:val="baseline"/>
                <w:lang w:val="en-US" w:eastAsia="zh-CN"/>
              </w:rPr>
              <w:t>对于联合体协议或者分包意向协议约定小微企业的合同份额占到合同总金额30%以上的，对联合体或者大中型企业的报价给予</w:t>
            </w:r>
            <w:r>
              <w:rPr>
                <w:rFonts w:hint="eastAsia" w:asciiTheme="minorEastAsia" w:hAnsiTheme="minorEastAsia" w:cstheme="minorEastAsia"/>
                <w:sz w:val="21"/>
                <w:szCs w:val="21"/>
                <w:u w:val="single"/>
                <w:vertAlign w:val="baseline"/>
                <w:lang w:val="en-US" w:eastAsia="zh-CN"/>
              </w:rPr>
              <w:t xml:space="preserve">    </w:t>
            </w:r>
            <w:r>
              <w:rPr>
                <w:rFonts w:hint="eastAsia" w:asciiTheme="minorEastAsia" w:hAnsiTheme="minorEastAsia" w:cstheme="minorEastAsia"/>
                <w:sz w:val="21"/>
                <w:szCs w:val="21"/>
                <w:u w:val="none"/>
                <w:vertAlign w:val="baseline"/>
                <w:lang w:val="en-US" w:eastAsia="zh-CN"/>
              </w:rPr>
              <w:t>%（2%-3%）的扣除，用扣除后的报价参加评审。</w:t>
            </w:r>
          </w:p>
        </w:tc>
      </w:tr>
      <w:tr w14:paraId="2138F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top"/>
          </w:tcPr>
          <w:p w14:paraId="5CFE2DF0">
            <w:pPr>
              <w:jc w:val="center"/>
              <w:rPr>
                <w:sz w:val="21"/>
                <w:szCs w:val="21"/>
                <w:vertAlign w:val="baseline"/>
              </w:rPr>
            </w:pPr>
          </w:p>
        </w:tc>
        <w:tc>
          <w:tcPr>
            <w:tcW w:w="1277" w:type="dxa"/>
            <w:vMerge w:val="continue"/>
            <w:vAlign w:val="top"/>
          </w:tcPr>
          <w:p w14:paraId="307DD404">
            <w:pPr>
              <w:jc w:val="center"/>
              <w:rPr>
                <w:sz w:val="21"/>
                <w:szCs w:val="21"/>
                <w:vertAlign w:val="baseline"/>
              </w:rPr>
            </w:pPr>
          </w:p>
        </w:tc>
        <w:tc>
          <w:tcPr>
            <w:tcW w:w="7138" w:type="dxa"/>
            <w:vAlign w:val="top"/>
          </w:tcPr>
          <w:p w14:paraId="0353CB13">
            <w:pPr>
              <w:jc w:val="both"/>
              <w:rPr>
                <w:rFonts w:hint="eastAsia" w:eastAsia="宋体"/>
                <w:sz w:val="21"/>
                <w:szCs w:val="21"/>
                <w:vertAlign w:val="baseline"/>
                <w:lang w:val="en-US" w:eastAsia="zh-CN"/>
              </w:rPr>
            </w:pPr>
            <w:r>
              <w:rPr>
                <w:rFonts w:hint="default" w:ascii="Arial" w:hAnsi="Arial" w:eastAsia="宋体" w:cs="Arial"/>
                <w:sz w:val="21"/>
                <w:szCs w:val="21"/>
                <w:vertAlign w:val="baseline"/>
              </w:rPr>
              <w:t>√</w:t>
            </w:r>
            <w:r>
              <w:rPr>
                <w:rFonts w:hint="eastAsia" w:eastAsia="宋体"/>
                <w:sz w:val="21"/>
                <w:szCs w:val="21"/>
                <w:vertAlign w:val="baseline"/>
                <w:lang w:val="en-US" w:eastAsia="zh-CN"/>
              </w:rPr>
              <w:t>不接受</w:t>
            </w:r>
          </w:p>
        </w:tc>
      </w:tr>
      <w:tr w14:paraId="7E2AE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dxa"/>
            <w:vMerge w:val="restart"/>
            <w:vAlign w:val="top"/>
          </w:tcPr>
          <w:p w14:paraId="1FDD957D">
            <w:pPr>
              <w:jc w:val="center"/>
              <w:rPr>
                <w:rFonts w:hint="eastAsia"/>
                <w:sz w:val="21"/>
                <w:szCs w:val="21"/>
                <w:vertAlign w:val="baseline"/>
                <w:lang w:val="en-US" w:eastAsia="zh-CN"/>
              </w:rPr>
            </w:pPr>
          </w:p>
          <w:p w14:paraId="0F1400BB">
            <w:pPr>
              <w:jc w:val="center"/>
              <w:rPr>
                <w:rFonts w:hint="eastAsia"/>
                <w:sz w:val="21"/>
                <w:szCs w:val="21"/>
                <w:vertAlign w:val="baseline"/>
                <w:lang w:val="en-US" w:eastAsia="zh-CN"/>
              </w:rPr>
            </w:pPr>
          </w:p>
          <w:p w14:paraId="29B0D412">
            <w:pPr>
              <w:jc w:val="center"/>
              <w:rPr>
                <w:rFonts w:hint="eastAsia" w:eastAsiaTheme="minorEastAsia"/>
                <w:sz w:val="21"/>
                <w:szCs w:val="21"/>
                <w:vertAlign w:val="baseline"/>
                <w:lang w:val="en-US" w:eastAsia="zh-CN"/>
              </w:rPr>
            </w:pPr>
            <w:r>
              <w:rPr>
                <w:rFonts w:hint="eastAsia"/>
                <w:sz w:val="21"/>
                <w:szCs w:val="21"/>
                <w:vertAlign w:val="baseline"/>
                <w:lang w:val="en-US" w:eastAsia="zh-CN"/>
              </w:rPr>
              <w:t>6</w:t>
            </w:r>
          </w:p>
        </w:tc>
        <w:tc>
          <w:tcPr>
            <w:tcW w:w="1277" w:type="dxa"/>
            <w:vMerge w:val="restart"/>
            <w:vAlign w:val="top"/>
          </w:tcPr>
          <w:p w14:paraId="5377EF3B">
            <w:pPr>
              <w:jc w:val="center"/>
              <w:rPr>
                <w:rFonts w:hint="eastAsia"/>
                <w:sz w:val="21"/>
                <w:szCs w:val="21"/>
                <w:vertAlign w:val="baseline"/>
                <w:lang w:val="en-US" w:eastAsia="zh-CN"/>
              </w:rPr>
            </w:pPr>
          </w:p>
          <w:p w14:paraId="40D473CA">
            <w:pPr>
              <w:jc w:val="center"/>
              <w:rPr>
                <w:rFonts w:hint="eastAsia"/>
                <w:sz w:val="21"/>
                <w:szCs w:val="21"/>
                <w:vertAlign w:val="baseline"/>
                <w:lang w:val="en-US" w:eastAsia="zh-CN"/>
              </w:rPr>
            </w:pPr>
          </w:p>
          <w:p w14:paraId="7EC65D31">
            <w:pPr>
              <w:jc w:val="center"/>
              <w:rPr>
                <w:rFonts w:hint="default" w:eastAsiaTheme="minorEastAsia"/>
                <w:sz w:val="21"/>
                <w:szCs w:val="21"/>
                <w:vertAlign w:val="baseline"/>
                <w:lang w:val="en-US" w:eastAsia="zh-CN"/>
              </w:rPr>
            </w:pPr>
            <w:r>
              <w:rPr>
                <w:rFonts w:hint="eastAsia"/>
                <w:sz w:val="21"/>
                <w:szCs w:val="21"/>
                <w:vertAlign w:val="baseline"/>
                <w:lang w:val="en-US" w:eastAsia="zh-CN"/>
              </w:rPr>
              <w:t>履约保证金</w:t>
            </w:r>
          </w:p>
        </w:tc>
        <w:tc>
          <w:tcPr>
            <w:tcW w:w="7138" w:type="dxa"/>
            <w:vAlign w:val="top"/>
          </w:tcPr>
          <w:p w14:paraId="05984FC9">
            <w:pPr>
              <w:jc w:val="both"/>
              <w:rPr>
                <w:rFonts w:hint="eastAsia"/>
                <w:sz w:val="21"/>
                <w:szCs w:val="21"/>
                <w:u w:val="none"/>
                <w:vertAlign w:val="baseline"/>
                <w:lang w:val="en-US" w:eastAsia="zh-CN"/>
              </w:rPr>
            </w:pPr>
            <w:r>
              <w:rPr>
                <w:rFonts w:hint="eastAsia"/>
                <w:sz w:val="21"/>
                <w:szCs w:val="21"/>
                <w:vertAlign w:val="baseline"/>
                <w:lang w:val="en-US" w:eastAsia="zh-CN"/>
              </w:rPr>
              <w:t>占政府采购合同金额的</w:t>
            </w:r>
            <w:r>
              <w:rPr>
                <w:rFonts w:hint="eastAsia"/>
                <w:sz w:val="21"/>
                <w:szCs w:val="21"/>
                <w:u w:val="single"/>
                <w:vertAlign w:val="baseline"/>
                <w:lang w:val="en-US" w:eastAsia="zh-CN"/>
              </w:rPr>
              <w:t xml:space="preserve">   </w:t>
            </w:r>
            <w:r>
              <w:rPr>
                <w:rFonts w:hint="eastAsia"/>
                <w:sz w:val="21"/>
                <w:szCs w:val="21"/>
                <w:u w:val="none"/>
                <w:vertAlign w:val="baseline"/>
                <w:lang w:val="en-US" w:eastAsia="zh-CN"/>
              </w:rPr>
              <w:t>%</w:t>
            </w:r>
          </w:p>
          <w:p w14:paraId="3A4BB8AF">
            <w:pPr>
              <w:jc w:val="both"/>
              <w:rPr>
                <w:rFonts w:hint="default"/>
                <w:sz w:val="21"/>
                <w:szCs w:val="21"/>
                <w:u w:val="none"/>
                <w:vertAlign w:val="baseline"/>
                <w:lang w:val="en-US" w:eastAsia="zh-CN"/>
              </w:rPr>
            </w:pPr>
            <w:r>
              <w:rPr>
                <w:rFonts w:hint="eastAsia"/>
                <w:sz w:val="21"/>
                <w:szCs w:val="21"/>
                <w:u w:val="none"/>
                <w:vertAlign w:val="baseline"/>
                <w:lang w:val="en-US" w:eastAsia="zh-CN"/>
              </w:rPr>
              <w:t>履约保证金的数额不得超过政府采购合同金额的10%：对于单价合同，其数额不得超过采购预算的10%</w:t>
            </w:r>
          </w:p>
        </w:tc>
      </w:tr>
      <w:tr w14:paraId="0D127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779" w:type="dxa"/>
            <w:vMerge w:val="continue"/>
            <w:vAlign w:val="top"/>
          </w:tcPr>
          <w:p w14:paraId="71B445E2">
            <w:pPr>
              <w:jc w:val="center"/>
              <w:rPr>
                <w:sz w:val="21"/>
                <w:szCs w:val="21"/>
                <w:vertAlign w:val="baseline"/>
              </w:rPr>
            </w:pPr>
          </w:p>
        </w:tc>
        <w:tc>
          <w:tcPr>
            <w:tcW w:w="1277" w:type="dxa"/>
            <w:vMerge w:val="continue"/>
            <w:vAlign w:val="top"/>
          </w:tcPr>
          <w:p w14:paraId="3728D8DC">
            <w:pPr>
              <w:jc w:val="center"/>
              <w:rPr>
                <w:rFonts w:hint="default"/>
                <w:sz w:val="21"/>
                <w:szCs w:val="21"/>
                <w:vertAlign w:val="baseline"/>
                <w:lang w:val="en-US"/>
              </w:rPr>
            </w:pPr>
          </w:p>
        </w:tc>
        <w:tc>
          <w:tcPr>
            <w:tcW w:w="7138" w:type="dxa"/>
            <w:vAlign w:val="top"/>
          </w:tcPr>
          <w:p w14:paraId="4D46557D">
            <w:pPr>
              <w:jc w:val="both"/>
              <w:rPr>
                <w:rFonts w:hint="eastAsia" w:eastAsia="宋体"/>
                <w:sz w:val="21"/>
                <w:szCs w:val="21"/>
                <w:vertAlign w:val="baseline"/>
                <w:lang w:val="en-US" w:eastAsia="zh-CN"/>
              </w:rPr>
            </w:pPr>
            <w:r>
              <w:rPr>
                <w:rFonts w:hint="eastAsia" w:ascii="宋体" w:hAnsi="宋体" w:eastAsia="宋体" w:cs="宋体"/>
                <w:sz w:val="21"/>
                <w:szCs w:val="21"/>
                <w:vertAlign w:val="baseline"/>
              </w:rPr>
              <w:t>○</w:t>
            </w:r>
            <w:r>
              <w:rPr>
                <w:rFonts w:hint="eastAsia" w:eastAsia="宋体"/>
                <w:sz w:val="21"/>
                <w:szCs w:val="21"/>
                <w:vertAlign w:val="baseline"/>
                <w:lang w:val="en-US" w:eastAsia="zh-CN"/>
              </w:rPr>
              <w:t>由采购单位自行收退</w:t>
            </w:r>
          </w:p>
          <w:p w14:paraId="3575EDDD">
            <w:pPr>
              <w:jc w:val="both"/>
              <w:rPr>
                <w:rFonts w:hint="eastAsia" w:eastAsia="宋体"/>
                <w:sz w:val="21"/>
                <w:szCs w:val="21"/>
                <w:vertAlign w:val="baseline"/>
                <w:lang w:val="en-US" w:eastAsia="zh-CN"/>
              </w:rPr>
            </w:pPr>
            <w:r>
              <w:rPr>
                <w:rFonts w:hint="default" w:ascii="Arial" w:hAnsi="Arial" w:eastAsia="宋体" w:cs="Arial"/>
                <w:sz w:val="21"/>
                <w:szCs w:val="21"/>
                <w:vertAlign w:val="baseline"/>
              </w:rPr>
              <w:t>√</w:t>
            </w:r>
            <w:r>
              <w:rPr>
                <w:rFonts w:hint="eastAsia" w:ascii="Arial" w:hAnsi="Arial" w:eastAsia="宋体" w:cs="Arial"/>
                <w:sz w:val="21"/>
                <w:szCs w:val="21"/>
                <w:vertAlign w:val="baseline"/>
                <w:lang w:val="en-US" w:eastAsia="zh-CN"/>
              </w:rPr>
              <w:t xml:space="preserve"> 无</w:t>
            </w:r>
          </w:p>
        </w:tc>
      </w:tr>
      <w:tr w14:paraId="5A98C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779" w:type="dxa"/>
            <w:vAlign w:val="top"/>
          </w:tcPr>
          <w:p w14:paraId="2F09AF4F">
            <w:pPr>
              <w:jc w:val="center"/>
              <w:rPr>
                <w:rFonts w:hint="eastAsia"/>
                <w:sz w:val="21"/>
                <w:szCs w:val="21"/>
                <w:vertAlign w:val="baseline"/>
                <w:lang w:val="en-US" w:eastAsia="zh-CN"/>
              </w:rPr>
            </w:pPr>
          </w:p>
          <w:p w14:paraId="0EF450E0">
            <w:pPr>
              <w:jc w:val="center"/>
              <w:rPr>
                <w:rFonts w:hint="eastAsia" w:eastAsiaTheme="minorEastAsia"/>
                <w:sz w:val="21"/>
                <w:szCs w:val="21"/>
                <w:vertAlign w:val="baseline"/>
                <w:lang w:val="en-US" w:eastAsia="zh-CN"/>
              </w:rPr>
            </w:pPr>
            <w:r>
              <w:rPr>
                <w:rFonts w:hint="eastAsia"/>
                <w:sz w:val="21"/>
                <w:szCs w:val="21"/>
                <w:vertAlign w:val="baseline"/>
                <w:lang w:val="en-US" w:eastAsia="zh-CN"/>
              </w:rPr>
              <w:t>7</w:t>
            </w:r>
          </w:p>
        </w:tc>
        <w:tc>
          <w:tcPr>
            <w:tcW w:w="1277" w:type="dxa"/>
            <w:vAlign w:val="top"/>
          </w:tcPr>
          <w:p w14:paraId="6795D18C">
            <w:pPr>
              <w:jc w:val="center"/>
              <w:rPr>
                <w:rFonts w:hint="eastAsia"/>
                <w:sz w:val="21"/>
                <w:szCs w:val="21"/>
                <w:vertAlign w:val="baseline"/>
                <w:lang w:val="en-US" w:eastAsia="zh-CN"/>
              </w:rPr>
            </w:pPr>
          </w:p>
          <w:p w14:paraId="1796381F">
            <w:pPr>
              <w:jc w:val="center"/>
              <w:rPr>
                <w:rFonts w:hint="eastAsia" w:eastAsiaTheme="minorEastAsia"/>
                <w:sz w:val="21"/>
                <w:szCs w:val="21"/>
                <w:vertAlign w:val="baseline"/>
                <w:lang w:val="en-US" w:eastAsia="zh-CN"/>
              </w:rPr>
            </w:pPr>
            <w:r>
              <w:rPr>
                <w:rFonts w:hint="eastAsia"/>
                <w:sz w:val="21"/>
                <w:szCs w:val="21"/>
                <w:vertAlign w:val="baseline"/>
                <w:lang w:val="en-US" w:eastAsia="zh-CN"/>
              </w:rPr>
              <w:t>集中答疑</w:t>
            </w:r>
          </w:p>
        </w:tc>
        <w:tc>
          <w:tcPr>
            <w:tcW w:w="7138" w:type="dxa"/>
            <w:vAlign w:val="top"/>
          </w:tcPr>
          <w:p w14:paraId="10DF16F2">
            <w:pPr>
              <w:jc w:val="both"/>
              <w:rPr>
                <w:rFonts w:hint="eastAsia" w:eastAsia="宋体"/>
                <w:sz w:val="21"/>
                <w:szCs w:val="21"/>
                <w:u w:val="single"/>
                <w:vertAlign w:val="baseline"/>
                <w:lang w:val="en-US" w:eastAsia="zh-CN"/>
              </w:rPr>
            </w:pPr>
            <w:r>
              <w:rPr>
                <w:rFonts w:hint="eastAsia" w:ascii="宋体" w:hAnsi="宋体" w:eastAsia="宋体" w:cs="宋体"/>
                <w:sz w:val="21"/>
                <w:szCs w:val="21"/>
                <w:vertAlign w:val="baseline"/>
              </w:rPr>
              <w:t>○</w:t>
            </w:r>
            <w:r>
              <w:rPr>
                <w:rFonts w:hint="eastAsia" w:eastAsia="宋体"/>
                <w:sz w:val="21"/>
                <w:szCs w:val="21"/>
                <w:vertAlign w:val="baseline"/>
                <w:lang w:val="en-US" w:eastAsia="zh-CN"/>
              </w:rPr>
              <w:t>组织，答疑地点为：</w:t>
            </w:r>
            <w:r>
              <w:rPr>
                <w:rFonts w:hint="eastAsia" w:eastAsia="宋体"/>
                <w:sz w:val="21"/>
                <w:szCs w:val="21"/>
                <w:u w:val="single"/>
                <w:vertAlign w:val="baseline"/>
                <w:lang w:val="en-US" w:eastAsia="zh-CN"/>
              </w:rPr>
              <w:t xml:space="preserve">                     </w:t>
            </w:r>
          </w:p>
          <w:p w14:paraId="74A8F277">
            <w:pPr>
              <w:jc w:val="both"/>
              <w:rPr>
                <w:rFonts w:hint="default" w:eastAsia="宋体"/>
                <w:sz w:val="21"/>
                <w:szCs w:val="21"/>
                <w:u w:val="none"/>
                <w:vertAlign w:val="baseline"/>
                <w:lang w:val="en-US" w:eastAsia="zh-CN"/>
              </w:rPr>
            </w:pPr>
            <w:r>
              <w:rPr>
                <w:rFonts w:hint="default" w:ascii="Arial" w:hAnsi="Arial" w:eastAsia="宋体" w:cs="Arial"/>
                <w:sz w:val="21"/>
                <w:szCs w:val="21"/>
                <w:vertAlign w:val="baseline"/>
              </w:rPr>
              <w:t>√</w:t>
            </w:r>
            <w:r>
              <w:rPr>
                <w:rFonts w:hint="eastAsia" w:eastAsia="宋体"/>
                <w:sz w:val="21"/>
                <w:szCs w:val="21"/>
                <w:u w:val="none"/>
                <w:vertAlign w:val="baseline"/>
                <w:lang w:val="en-US" w:eastAsia="zh-CN"/>
              </w:rPr>
              <w:t>不组织</w:t>
            </w:r>
          </w:p>
        </w:tc>
      </w:tr>
      <w:tr w14:paraId="52298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9" w:hRule="atLeast"/>
        </w:trPr>
        <w:tc>
          <w:tcPr>
            <w:tcW w:w="779" w:type="dxa"/>
            <w:vAlign w:val="top"/>
          </w:tcPr>
          <w:p w14:paraId="0FD65D28">
            <w:pPr>
              <w:jc w:val="center"/>
              <w:rPr>
                <w:rFonts w:hint="eastAsia"/>
                <w:sz w:val="21"/>
                <w:szCs w:val="21"/>
                <w:vertAlign w:val="baseline"/>
                <w:lang w:val="en-US" w:eastAsia="zh-CN"/>
              </w:rPr>
            </w:pPr>
          </w:p>
          <w:p w14:paraId="7342EB8A">
            <w:pPr>
              <w:jc w:val="center"/>
              <w:rPr>
                <w:rFonts w:hint="eastAsia"/>
                <w:sz w:val="21"/>
                <w:szCs w:val="21"/>
                <w:vertAlign w:val="baseline"/>
                <w:lang w:val="en-US" w:eastAsia="zh-CN"/>
              </w:rPr>
            </w:pPr>
          </w:p>
          <w:p w14:paraId="73561E0C">
            <w:pPr>
              <w:jc w:val="center"/>
              <w:rPr>
                <w:rFonts w:hint="eastAsia"/>
                <w:sz w:val="21"/>
                <w:szCs w:val="21"/>
                <w:vertAlign w:val="baseline"/>
                <w:lang w:val="en-US" w:eastAsia="zh-CN"/>
              </w:rPr>
            </w:pPr>
          </w:p>
          <w:p w14:paraId="3B1AE7EC">
            <w:pPr>
              <w:jc w:val="center"/>
              <w:rPr>
                <w:rFonts w:hint="eastAsia" w:eastAsiaTheme="minorEastAsia"/>
                <w:sz w:val="21"/>
                <w:szCs w:val="21"/>
                <w:vertAlign w:val="baseline"/>
                <w:lang w:val="en-US" w:eastAsia="zh-CN"/>
              </w:rPr>
            </w:pPr>
            <w:r>
              <w:rPr>
                <w:rFonts w:hint="eastAsia"/>
                <w:sz w:val="21"/>
                <w:szCs w:val="21"/>
                <w:vertAlign w:val="baseline"/>
                <w:lang w:val="en-US" w:eastAsia="zh-CN"/>
              </w:rPr>
              <w:t>8</w:t>
            </w:r>
          </w:p>
        </w:tc>
        <w:tc>
          <w:tcPr>
            <w:tcW w:w="1277" w:type="dxa"/>
            <w:vAlign w:val="top"/>
          </w:tcPr>
          <w:p w14:paraId="7C82A19F">
            <w:pPr>
              <w:jc w:val="center"/>
              <w:rPr>
                <w:rFonts w:hint="eastAsia"/>
                <w:sz w:val="21"/>
                <w:szCs w:val="21"/>
                <w:vertAlign w:val="baseline"/>
                <w:lang w:val="en-US" w:eastAsia="zh-CN"/>
              </w:rPr>
            </w:pPr>
          </w:p>
          <w:p w14:paraId="269F8745">
            <w:pPr>
              <w:jc w:val="center"/>
              <w:rPr>
                <w:rFonts w:hint="eastAsia"/>
                <w:sz w:val="21"/>
                <w:szCs w:val="21"/>
                <w:vertAlign w:val="baseline"/>
                <w:lang w:val="en-US" w:eastAsia="zh-CN"/>
              </w:rPr>
            </w:pPr>
          </w:p>
          <w:p w14:paraId="3454E078">
            <w:pPr>
              <w:jc w:val="center"/>
              <w:rPr>
                <w:rFonts w:hint="eastAsia"/>
                <w:sz w:val="21"/>
                <w:szCs w:val="21"/>
                <w:vertAlign w:val="baseline"/>
                <w:lang w:val="en-US" w:eastAsia="zh-CN"/>
              </w:rPr>
            </w:pPr>
          </w:p>
          <w:p w14:paraId="57C2A766">
            <w:pPr>
              <w:jc w:val="center"/>
              <w:rPr>
                <w:rFonts w:hint="default" w:eastAsiaTheme="minorEastAsia"/>
                <w:sz w:val="21"/>
                <w:szCs w:val="21"/>
                <w:vertAlign w:val="baseline"/>
                <w:lang w:val="en-US" w:eastAsia="zh-CN"/>
              </w:rPr>
            </w:pPr>
            <w:r>
              <w:rPr>
                <w:rFonts w:hint="eastAsia"/>
                <w:sz w:val="21"/>
                <w:szCs w:val="21"/>
                <w:vertAlign w:val="baseline"/>
                <w:lang w:val="en-US" w:eastAsia="zh-CN"/>
              </w:rPr>
              <w:t>价格分比重</w:t>
            </w:r>
          </w:p>
        </w:tc>
        <w:tc>
          <w:tcPr>
            <w:tcW w:w="7138" w:type="dxa"/>
            <w:vAlign w:val="top"/>
          </w:tcPr>
          <w:p w14:paraId="019C9A29">
            <w:pPr>
              <w:jc w:val="both"/>
              <w:rPr>
                <w:rFonts w:hint="eastAsia"/>
                <w:sz w:val="21"/>
                <w:szCs w:val="21"/>
                <w:u w:val="none"/>
                <w:vertAlign w:val="baseline"/>
                <w:lang w:val="en-US" w:eastAsia="zh-CN"/>
              </w:rPr>
            </w:pPr>
            <w:r>
              <w:rPr>
                <w:rFonts w:hint="eastAsia"/>
                <w:sz w:val="21"/>
                <w:szCs w:val="21"/>
                <w:vertAlign w:val="baseline"/>
                <w:lang w:val="en-US" w:eastAsia="zh-CN"/>
              </w:rPr>
              <w:t>占总分值的</w:t>
            </w:r>
            <w:r>
              <w:rPr>
                <w:rFonts w:hint="eastAsia"/>
                <w:sz w:val="21"/>
                <w:szCs w:val="21"/>
                <w:u w:val="single"/>
                <w:vertAlign w:val="baseline"/>
                <w:lang w:val="en-US" w:eastAsia="zh-CN"/>
              </w:rPr>
              <w:t>10</w:t>
            </w:r>
            <w:r>
              <w:rPr>
                <w:rFonts w:hint="eastAsia"/>
                <w:sz w:val="21"/>
                <w:szCs w:val="21"/>
                <w:u w:val="none"/>
                <w:vertAlign w:val="baseline"/>
                <w:lang w:val="en-US" w:eastAsia="zh-CN"/>
              </w:rPr>
              <w:t>%</w:t>
            </w:r>
          </w:p>
          <w:p w14:paraId="16C1AE84">
            <w:pPr>
              <w:jc w:val="both"/>
              <w:rPr>
                <w:rFonts w:hint="eastAsia"/>
                <w:sz w:val="21"/>
                <w:szCs w:val="21"/>
                <w:u w:val="none"/>
                <w:vertAlign w:val="baseline"/>
                <w:lang w:val="en-US" w:eastAsia="zh-CN"/>
              </w:rPr>
            </w:pPr>
            <w:r>
              <w:rPr>
                <w:rFonts w:hint="eastAsia"/>
                <w:sz w:val="21"/>
                <w:szCs w:val="21"/>
                <w:u w:val="none"/>
                <w:vertAlign w:val="baseline"/>
                <w:lang w:val="en-US" w:eastAsia="zh-CN"/>
              </w:rPr>
              <w:t>[招标]根据《政府采购货物和服务招标投标管理办法》（财政部87号令）的规定，综合评分法服务项目的价格分值占总分值的比重不得低于10%。执行国家统一定价标准和采用固定价格采购的项目，其价格不列为评审因素。[磋商]根据《政府采购竞争性磋商采购方式管理暂行办法》（财库{2014}214号）的规定，服务项目的价格分值占总分值的比重（即权值）为10%—30%。</w:t>
            </w:r>
          </w:p>
          <w:p w14:paraId="3E897B44">
            <w:pPr>
              <w:jc w:val="both"/>
              <w:rPr>
                <w:rFonts w:hint="default"/>
                <w:sz w:val="21"/>
                <w:szCs w:val="21"/>
                <w:u w:val="none"/>
                <w:vertAlign w:val="baseline"/>
                <w:lang w:val="en-US" w:eastAsia="zh-CN"/>
              </w:rPr>
            </w:pPr>
            <w:r>
              <w:rPr>
                <w:rFonts w:hint="eastAsia"/>
                <w:sz w:val="21"/>
                <w:szCs w:val="21"/>
                <w:u w:val="none"/>
                <w:vertAlign w:val="baseline"/>
                <w:lang w:val="en-US" w:eastAsia="zh-CN"/>
              </w:rPr>
              <w:t>[其他采购方式]无须设置。</w:t>
            </w:r>
          </w:p>
        </w:tc>
      </w:tr>
      <w:tr w14:paraId="1E3D9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779" w:type="dxa"/>
            <w:vAlign w:val="top"/>
          </w:tcPr>
          <w:p w14:paraId="046C2318">
            <w:pPr>
              <w:jc w:val="center"/>
              <w:rPr>
                <w:rFonts w:hint="eastAsia" w:eastAsiaTheme="minorEastAsia"/>
                <w:sz w:val="21"/>
                <w:szCs w:val="21"/>
                <w:vertAlign w:val="baseline"/>
                <w:lang w:val="en-US" w:eastAsia="zh-CN"/>
              </w:rPr>
            </w:pPr>
            <w:r>
              <w:rPr>
                <w:rFonts w:hint="eastAsia"/>
                <w:sz w:val="21"/>
                <w:szCs w:val="21"/>
                <w:vertAlign w:val="baseline"/>
                <w:lang w:val="en-US" w:eastAsia="zh-CN"/>
              </w:rPr>
              <w:t>9</w:t>
            </w:r>
          </w:p>
        </w:tc>
        <w:tc>
          <w:tcPr>
            <w:tcW w:w="1277" w:type="dxa"/>
            <w:vAlign w:val="top"/>
          </w:tcPr>
          <w:p w14:paraId="65ED908B">
            <w:pPr>
              <w:jc w:val="center"/>
              <w:rPr>
                <w:rFonts w:hint="eastAsia" w:eastAsiaTheme="minorEastAsia"/>
                <w:sz w:val="21"/>
                <w:szCs w:val="21"/>
                <w:vertAlign w:val="baseline"/>
                <w:lang w:val="en-US" w:eastAsia="zh-CN"/>
              </w:rPr>
            </w:pPr>
            <w:r>
              <w:rPr>
                <w:rFonts w:hint="eastAsia"/>
                <w:sz w:val="21"/>
                <w:szCs w:val="21"/>
                <w:highlight w:val="none"/>
                <w:vertAlign w:val="baseline"/>
                <w:lang w:val="en-US" w:eastAsia="zh-CN"/>
              </w:rPr>
              <w:t>合同类型</w:t>
            </w:r>
          </w:p>
        </w:tc>
        <w:tc>
          <w:tcPr>
            <w:tcW w:w="7138" w:type="dxa"/>
            <w:vAlign w:val="top"/>
          </w:tcPr>
          <w:p w14:paraId="3C66DD72">
            <w:pPr>
              <w:jc w:val="both"/>
              <w:rPr>
                <w:rFonts w:hint="eastAsia" w:eastAsia="宋体"/>
                <w:color w:val="000000" w:themeColor="text1"/>
                <w:sz w:val="21"/>
                <w:szCs w:val="21"/>
                <w:vertAlign w:val="baseline"/>
                <w:lang w:val="en-US" w:eastAsia="zh-CN"/>
                <w14:textFill>
                  <w14:solidFill>
                    <w14:schemeClr w14:val="tx1"/>
                  </w14:solidFill>
                </w14:textFill>
              </w:rPr>
            </w:pPr>
            <w:r>
              <w:rPr>
                <w:rFonts w:hint="default" w:ascii="Arial" w:hAnsi="Arial" w:eastAsia="宋体" w:cs="Arial"/>
                <w:color w:val="000000" w:themeColor="text1"/>
                <w:sz w:val="21"/>
                <w:szCs w:val="21"/>
                <w:vertAlign w:val="baseline"/>
                <w14:textFill>
                  <w14:solidFill>
                    <w14:schemeClr w14:val="tx1"/>
                  </w14:solidFill>
                </w14:textFill>
              </w:rPr>
              <w:t>√</w:t>
            </w:r>
            <w:r>
              <w:rPr>
                <w:rFonts w:hint="eastAsia" w:eastAsia="宋体"/>
                <w:color w:val="000000" w:themeColor="text1"/>
                <w:sz w:val="21"/>
                <w:szCs w:val="21"/>
                <w:vertAlign w:val="baseline"/>
                <w:lang w:val="en-US" w:eastAsia="zh-CN"/>
                <w14:textFill>
                  <w14:solidFill>
                    <w14:schemeClr w14:val="tx1"/>
                  </w14:solidFill>
                </w14:textFill>
              </w:rPr>
              <w:t>固定总价</w:t>
            </w:r>
          </w:p>
          <w:p w14:paraId="12D52B2D">
            <w:pPr>
              <w:jc w:val="both"/>
              <w:rPr>
                <w:rFonts w:hint="eastAsia" w:eastAsia="宋体"/>
                <w:color w:val="000000" w:themeColor="text1"/>
                <w:sz w:val="21"/>
                <w:szCs w:val="21"/>
                <w:vertAlign w:val="baseline"/>
                <w:lang w:val="en-US" w:eastAsia="zh-CN"/>
                <w14:textFill>
                  <w14:solidFill>
                    <w14:schemeClr w14:val="tx1"/>
                  </w14:solidFill>
                </w14:textFill>
              </w:rPr>
            </w:pPr>
            <w:r>
              <w:rPr>
                <w:rFonts w:hint="eastAsia" w:ascii="宋体" w:hAnsi="宋体" w:eastAsia="宋体" w:cs="宋体"/>
                <w:color w:val="000000" w:themeColor="text1"/>
                <w:sz w:val="21"/>
                <w:szCs w:val="21"/>
                <w:vertAlign w:val="baseline"/>
                <w:lang w:val="en-US" w:eastAsia="zh-CN"/>
                <w14:textFill>
                  <w14:solidFill>
                    <w14:schemeClr w14:val="tx1"/>
                  </w14:solidFill>
                </w14:textFill>
              </w:rPr>
              <w:t>○</w:t>
            </w:r>
            <w:r>
              <w:rPr>
                <w:rFonts w:hint="eastAsia" w:eastAsia="宋体"/>
                <w:color w:val="000000" w:themeColor="text1"/>
                <w:sz w:val="21"/>
                <w:szCs w:val="21"/>
                <w:vertAlign w:val="baseline"/>
                <w:lang w:val="en-US" w:eastAsia="zh-CN"/>
                <w14:textFill>
                  <w14:solidFill>
                    <w14:schemeClr w14:val="tx1"/>
                  </w14:solidFill>
                </w14:textFill>
              </w:rPr>
              <w:t>固定单价（适用于采购数量不定的情形）</w:t>
            </w:r>
          </w:p>
          <w:p w14:paraId="5D30A6A6">
            <w:pPr>
              <w:jc w:val="both"/>
              <w:rPr>
                <w:rFonts w:hint="default" w:eastAsia="宋体"/>
                <w:sz w:val="21"/>
                <w:szCs w:val="21"/>
                <w:u w:val="none"/>
                <w:vertAlign w:val="baseline"/>
                <w:lang w:val="en-US" w:eastAsia="zh-CN"/>
              </w:rPr>
            </w:pPr>
            <w:r>
              <w:rPr>
                <w:rFonts w:hint="eastAsia" w:ascii="宋体" w:hAnsi="宋体" w:eastAsia="宋体" w:cs="宋体"/>
                <w:color w:val="000000" w:themeColor="text1"/>
                <w:sz w:val="21"/>
                <w:szCs w:val="21"/>
                <w:vertAlign w:val="baseline"/>
                <w:lang w:val="en-US" w:eastAsia="zh-CN"/>
                <w14:textFill>
                  <w14:solidFill>
                    <w14:schemeClr w14:val="tx1"/>
                  </w14:solidFill>
                </w14:textFill>
              </w:rPr>
              <w:t>○</w:t>
            </w:r>
            <w:r>
              <w:rPr>
                <w:rFonts w:hint="eastAsia" w:eastAsia="宋体"/>
                <w:color w:val="000000" w:themeColor="text1"/>
                <w:sz w:val="21"/>
                <w:szCs w:val="21"/>
                <w:vertAlign w:val="baseline"/>
                <w:lang w:val="en-US" w:eastAsia="zh-CN"/>
                <w14:textFill>
                  <w14:solidFill>
                    <w14:schemeClr w14:val="tx1"/>
                  </w14:solidFill>
                </w14:textFill>
              </w:rPr>
              <w:t>其他：</w:t>
            </w:r>
            <w:r>
              <w:rPr>
                <w:rFonts w:hint="eastAsia" w:eastAsia="宋体"/>
                <w:color w:val="000000" w:themeColor="text1"/>
                <w:sz w:val="21"/>
                <w:szCs w:val="21"/>
                <w:u w:val="single"/>
                <w:vertAlign w:val="baseline"/>
                <w:lang w:val="en-US" w:eastAsia="zh-CN"/>
                <w14:textFill>
                  <w14:solidFill>
                    <w14:schemeClr w14:val="tx1"/>
                  </w14:solidFill>
                </w14:textFill>
              </w:rPr>
              <w:t xml:space="preserve">                    </w:t>
            </w:r>
          </w:p>
        </w:tc>
      </w:tr>
      <w:tr w14:paraId="03D23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779" w:type="dxa"/>
          </w:tcPr>
          <w:p w14:paraId="6E2FEB6D">
            <w:pPr>
              <w:jc w:val="center"/>
              <w:rPr>
                <w:rFonts w:hint="eastAsia"/>
                <w:sz w:val="21"/>
                <w:szCs w:val="21"/>
                <w:vertAlign w:val="baseline"/>
                <w:lang w:val="en-US" w:eastAsia="zh-CN"/>
              </w:rPr>
            </w:pPr>
          </w:p>
          <w:p w14:paraId="22B6FD8E">
            <w:pPr>
              <w:jc w:val="center"/>
              <w:rPr>
                <w:rFonts w:hint="default" w:eastAsiaTheme="minorEastAsia"/>
                <w:sz w:val="21"/>
                <w:szCs w:val="21"/>
                <w:vertAlign w:val="baseline"/>
                <w:lang w:val="en-US" w:eastAsia="zh-CN"/>
              </w:rPr>
            </w:pPr>
            <w:r>
              <w:rPr>
                <w:rFonts w:hint="eastAsia"/>
                <w:sz w:val="21"/>
                <w:szCs w:val="21"/>
                <w:vertAlign w:val="baseline"/>
                <w:lang w:val="en-US" w:eastAsia="zh-CN"/>
              </w:rPr>
              <w:t>10</w:t>
            </w:r>
          </w:p>
        </w:tc>
        <w:tc>
          <w:tcPr>
            <w:tcW w:w="1277" w:type="dxa"/>
          </w:tcPr>
          <w:p w14:paraId="5BD25F22">
            <w:pPr>
              <w:jc w:val="center"/>
              <w:rPr>
                <w:rFonts w:hint="eastAsia"/>
                <w:sz w:val="21"/>
                <w:szCs w:val="21"/>
                <w:vertAlign w:val="baseline"/>
                <w:lang w:val="en-US" w:eastAsia="zh-CN"/>
              </w:rPr>
            </w:pPr>
          </w:p>
          <w:p w14:paraId="5626D84C">
            <w:pPr>
              <w:jc w:val="center"/>
              <w:rPr>
                <w:rFonts w:hint="eastAsia"/>
                <w:sz w:val="21"/>
                <w:szCs w:val="21"/>
                <w:vertAlign w:val="baseline"/>
                <w:lang w:val="en-US" w:eastAsia="zh-CN"/>
              </w:rPr>
            </w:pPr>
            <w:r>
              <w:rPr>
                <w:rFonts w:hint="eastAsia"/>
                <w:sz w:val="21"/>
                <w:szCs w:val="21"/>
                <w:vertAlign w:val="baseline"/>
                <w:lang w:val="en-US" w:eastAsia="zh-CN"/>
              </w:rPr>
              <w:t>争议解决</w:t>
            </w:r>
          </w:p>
          <w:p w14:paraId="066746D4">
            <w:pPr>
              <w:jc w:val="center"/>
              <w:rPr>
                <w:rFonts w:hint="default" w:eastAsiaTheme="minorEastAsia"/>
                <w:sz w:val="21"/>
                <w:szCs w:val="21"/>
                <w:vertAlign w:val="baseline"/>
                <w:lang w:val="en-US" w:eastAsia="zh-CN"/>
              </w:rPr>
            </w:pPr>
            <w:r>
              <w:rPr>
                <w:rFonts w:hint="eastAsia"/>
                <w:sz w:val="21"/>
                <w:szCs w:val="21"/>
                <w:vertAlign w:val="baseline"/>
                <w:lang w:val="en-US" w:eastAsia="zh-CN"/>
              </w:rPr>
              <w:t>途径</w:t>
            </w:r>
          </w:p>
        </w:tc>
        <w:tc>
          <w:tcPr>
            <w:tcW w:w="7138" w:type="dxa"/>
          </w:tcPr>
          <w:p w14:paraId="1A5B2491">
            <w:pPr>
              <w:jc w:val="both"/>
              <w:rPr>
                <w:rFonts w:hint="eastAsia" w:eastAsia="宋体"/>
                <w:sz w:val="21"/>
                <w:szCs w:val="21"/>
                <w:vertAlign w:val="baseline"/>
                <w:lang w:val="en-US" w:eastAsia="zh-CN"/>
              </w:rPr>
            </w:pPr>
            <w:r>
              <w:rPr>
                <w:rFonts w:hint="default" w:ascii="Arial" w:hAnsi="Arial" w:eastAsia="宋体" w:cs="Arial"/>
                <w:sz w:val="21"/>
                <w:szCs w:val="21"/>
                <w:vertAlign w:val="baseline"/>
              </w:rPr>
              <w:t>√</w:t>
            </w:r>
            <w:r>
              <w:rPr>
                <w:rFonts w:hint="eastAsia" w:eastAsia="宋体"/>
                <w:sz w:val="21"/>
                <w:szCs w:val="21"/>
                <w:vertAlign w:val="baseline"/>
                <w:lang w:val="en-US" w:eastAsia="zh-CN"/>
              </w:rPr>
              <w:t>向有管辖权的人民法院提起诉讼</w:t>
            </w:r>
          </w:p>
          <w:p w14:paraId="198BDB05">
            <w:pPr>
              <w:jc w:val="both"/>
              <w:rPr>
                <w:rFonts w:hint="eastAsia" w:eastAsia="宋体"/>
                <w:sz w:val="21"/>
                <w:szCs w:val="21"/>
                <w:vertAlign w:val="baseline"/>
                <w:lang w:val="en-US" w:eastAsia="zh-CN"/>
              </w:rPr>
            </w:pPr>
            <w:r>
              <w:rPr>
                <w:rFonts w:hint="eastAsia" w:ascii="宋体" w:hAnsi="宋体" w:eastAsia="宋体" w:cs="宋体"/>
                <w:sz w:val="21"/>
                <w:szCs w:val="21"/>
                <w:vertAlign w:val="baseline"/>
                <w:lang w:val="en-US" w:eastAsia="zh-CN"/>
              </w:rPr>
              <w:t>○</w:t>
            </w:r>
            <w:r>
              <w:rPr>
                <w:rFonts w:hint="eastAsia" w:eastAsia="宋体"/>
                <w:sz w:val="21"/>
                <w:szCs w:val="21"/>
                <w:vertAlign w:val="baseline"/>
                <w:lang w:val="en-US" w:eastAsia="zh-CN"/>
              </w:rPr>
              <w:t>向西安仲裁委员会提请仲裁</w:t>
            </w:r>
          </w:p>
          <w:p w14:paraId="7120C6B2">
            <w:pPr>
              <w:jc w:val="both"/>
              <w:rPr>
                <w:rFonts w:hint="default" w:eastAsia="宋体"/>
                <w:sz w:val="21"/>
                <w:szCs w:val="21"/>
                <w:vertAlign w:val="baseline"/>
                <w:lang w:val="en-US" w:eastAsia="zh-CN"/>
              </w:rPr>
            </w:pPr>
            <w:r>
              <w:rPr>
                <w:rFonts w:hint="eastAsia" w:ascii="宋体" w:hAnsi="宋体" w:eastAsia="宋体" w:cs="宋体"/>
                <w:sz w:val="21"/>
                <w:szCs w:val="21"/>
                <w:vertAlign w:val="baseline"/>
                <w:lang w:val="en-US" w:eastAsia="zh-CN"/>
              </w:rPr>
              <w:t>○</w:t>
            </w:r>
            <w:r>
              <w:rPr>
                <w:rFonts w:hint="eastAsia" w:eastAsia="宋体"/>
                <w:sz w:val="21"/>
                <w:szCs w:val="21"/>
                <w:vertAlign w:val="baseline"/>
                <w:lang w:val="en-US" w:eastAsia="zh-CN"/>
              </w:rPr>
              <w:t>由供应商作出选择</w:t>
            </w:r>
          </w:p>
        </w:tc>
      </w:tr>
      <w:tr w14:paraId="6D03F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dxa"/>
          </w:tcPr>
          <w:p w14:paraId="55CF94E4">
            <w:pPr>
              <w:jc w:val="center"/>
              <w:rPr>
                <w:rFonts w:hint="eastAsia"/>
                <w:sz w:val="21"/>
                <w:szCs w:val="21"/>
                <w:vertAlign w:val="baseline"/>
                <w:lang w:val="en-US" w:eastAsia="zh-CN"/>
              </w:rPr>
            </w:pPr>
          </w:p>
          <w:p w14:paraId="11B8A401">
            <w:pPr>
              <w:jc w:val="center"/>
              <w:rPr>
                <w:rFonts w:hint="default" w:eastAsiaTheme="minorEastAsia"/>
                <w:sz w:val="21"/>
                <w:szCs w:val="21"/>
                <w:vertAlign w:val="baseline"/>
                <w:lang w:val="en-US" w:eastAsia="zh-CN"/>
              </w:rPr>
            </w:pPr>
            <w:r>
              <w:rPr>
                <w:rFonts w:hint="eastAsia"/>
                <w:sz w:val="21"/>
                <w:szCs w:val="21"/>
                <w:vertAlign w:val="baseline"/>
                <w:lang w:val="en-US" w:eastAsia="zh-CN"/>
              </w:rPr>
              <w:t>11</w:t>
            </w:r>
          </w:p>
        </w:tc>
        <w:tc>
          <w:tcPr>
            <w:tcW w:w="1277" w:type="dxa"/>
          </w:tcPr>
          <w:p w14:paraId="3786BB0C">
            <w:pPr>
              <w:jc w:val="center"/>
              <w:rPr>
                <w:rFonts w:hint="eastAsia"/>
                <w:sz w:val="21"/>
                <w:szCs w:val="21"/>
                <w:vertAlign w:val="baseline"/>
                <w:lang w:val="en-US" w:eastAsia="zh-CN"/>
              </w:rPr>
            </w:pPr>
          </w:p>
          <w:p w14:paraId="27DD954E">
            <w:pPr>
              <w:jc w:val="center"/>
              <w:rPr>
                <w:rFonts w:hint="eastAsia" w:eastAsiaTheme="minorEastAsia"/>
                <w:sz w:val="21"/>
                <w:szCs w:val="21"/>
                <w:vertAlign w:val="baseline"/>
                <w:lang w:val="en-US" w:eastAsia="zh-CN"/>
              </w:rPr>
            </w:pPr>
            <w:r>
              <w:rPr>
                <w:rFonts w:hint="eastAsia"/>
                <w:sz w:val="21"/>
                <w:szCs w:val="21"/>
                <w:highlight w:val="none"/>
                <w:vertAlign w:val="baseline"/>
                <w:lang w:val="en-US" w:eastAsia="zh-CN"/>
              </w:rPr>
              <w:t>联系方式</w:t>
            </w:r>
          </w:p>
        </w:tc>
        <w:tc>
          <w:tcPr>
            <w:tcW w:w="7138" w:type="dxa"/>
          </w:tcPr>
          <w:p w14:paraId="7F5C0025">
            <w:pPr>
              <w:jc w:val="both"/>
              <w:rPr>
                <w:rFonts w:hint="default"/>
                <w:sz w:val="21"/>
                <w:szCs w:val="21"/>
                <w:vertAlign w:val="baseline"/>
                <w:lang w:val="en-US" w:eastAsia="zh-CN"/>
              </w:rPr>
            </w:pPr>
            <w:r>
              <w:rPr>
                <w:rFonts w:hint="eastAsia"/>
                <w:sz w:val="21"/>
                <w:szCs w:val="21"/>
                <w:vertAlign w:val="baseline"/>
                <w:lang w:val="en-US" w:eastAsia="zh-CN"/>
              </w:rPr>
              <w:t>项目对接人：</w:t>
            </w:r>
            <w:r>
              <w:rPr>
                <w:rFonts w:hint="eastAsia"/>
                <w:sz w:val="21"/>
                <w:szCs w:val="21"/>
                <w:u w:val="single"/>
                <w:vertAlign w:val="baseline"/>
                <w:lang w:val="en-US" w:eastAsia="zh-CN"/>
              </w:rPr>
              <w:t>陈平</w:t>
            </w:r>
          </w:p>
          <w:p w14:paraId="7D2B6F1C">
            <w:pPr>
              <w:jc w:val="both"/>
              <w:rPr>
                <w:rFonts w:hint="eastAsia"/>
                <w:sz w:val="21"/>
                <w:szCs w:val="21"/>
                <w:u w:val="single"/>
                <w:vertAlign w:val="baseline"/>
                <w:lang w:val="en-US" w:eastAsia="zh-CN"/>
              </w:rPr>
            </w:pPr>
            <w:r>
              <w:rPr>
                <w:rFonts w:hint="eastAsia"/>
                <w:sz w:val="21"/>
                <w:szCs w:val="21"/>
                <w:vertAlign w:val="baseline"/>
                <w:lang w:val="en-US" w:eastAsia="zh-CN"/>
              </w:rPr>
              <w:t>联系电话：</w:t>
            </w:r>
            <w:r>
              <w:rPr>
                <w:rFonts w:hint="eastAsia"/>
                <w:sz w:val="21"/>
                <w:szCs w:val="21"/>
                <w:u w:val="single"/>
                <w:vertAlign w:val="baseline"/>
                <w:lang w:val="en-US" w:eastAsia="zh-CN"/>
              </w:rPr>
              <w:t>13519137343</w:t>
            </w:r>
          </w:p>
          <w:p w14:paraId="7CC85CCD">
            <w:pPr>
              <w:jc w:val="both"/>
              <w:rPr>
                <w:rFonts w:hint="default"/>
                <w:sz w:val="21"/>
                <w:szCs w:val="21"/>
                <w:u w:val="single"/>
                <w:vertAlign w:val="baseline"/>
                <w:lang w:val="en-US" w:eastAsia="zh-CN"/>
              </w:rPr>
            </w:pPr>
            <w:r>
              <w:rPr>
                <w:rFonts w:hint="eastAsia"/>
                <w:sz w:val="21"/>
                <w:szCs w:val="21"/>
                <w:vertAlign w:val="baseline"/>
                <w:lang w:val="en-US" w:eastAsia="zh-CN"/>
              </w:rPr>
              <w:t>电子邮箱：</w:t>
            </w:r>
            <w:r>
              <w:rPr>
                <w:rFonts w:hint="eastAsia"/>
                <w:sz w:val="21"/>
                <w:szCs w:val="21"/>
                <w:u w:val="single"/>
                <w:vertAlign w:val="baseline"/>
                <w:lang w:val="en-US" w:eastAsia="zh-CN"/>
              </w:rPr>
              <w:t xml:space="preserve">  /    </w:t>
            </w:r>
          </w:p>
        </w:tc>
      </w:tr>
    </w:tbl>
    <w:p w14:paraId="2C457AB8">
      <w:pPr>
        <w:jc w:val="center"/>
        <w:rPr>
          <w:sz w:val="21"/>
          <w:szCs w:val="21"/>
        </w:rPr>
      </w:pPr>
    </w:p>
    <w:p w14:paraId="763741A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需求框架（服务类）</w:t>
      </w:r>
    </w:p>
    <w:p w14:paraId="183844AE">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项目概况</w:t>
      </w:r>
    </w:p>
    <w:p w14:paraId="2A2A090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b w:val="0"/>
          <w:bCs w:val="0"/>
          <w:sz w:val="21"/>
          <w:szCs w:val="21"/>
          <w:u w:val="none"/>
          <w:lang w:val="en-US" w:eastAsia="zh-CN"/>
        </w:rPr>
      </w:pPr>
      <w:r>
        <w:rPr>
          <w:rFonts w:hint="eastAsia" w:asciiTheme="minorEastAsia" w:hAnsiTheme="minorEastAsia" w:eastAsiaTheme="minorEastAsia" w:cstheme="minorEastAsia"/>
          <w:b w:val="0"/>
          <w:bCs w:val="0"/>
          <w:sz w:val="21"/>
          <w:szCs w:val="21"/>
          <w:u w:val="none"/>
          <w:lang w:val="en-US" w:eastAsia="zh-CN"/>
        </w:rPr>
        <w:t>服务内容：蓝田县公安局刑侦大队大数据智能分析平台建设</w:t>
      </w:r>
    </w:p>
    <w:p w14:paraId="39386D1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hanging="630" w:hangingChars="300"/>
        <w:jc w:val="both"/>
        <w:textAlignment w:val="auto"/>
        <w:rPr>
          <w:rFonts w:hint="eastAsia" w:asciiTheme="minorEastAsia" w:hAnsiTheme="minorEastAsia" w:eastAsiaTheme="minorEastAsia" w:cstheme="minorEastAsia"/>
          <w:b w:val="0"/>
          <w:bCs w:val="0"/>
          <w:sz w:val="21"/>
          <w:szCs w:val="21"/>
          <w:u w:val="none"/>
          <w:lang w:val="en-US" w:eastAsia="zh-CN"/>
        </w:rPr>
      </w:pPr>
      <w:r>
        <w:rPr>
          <w:rFonts w:hint="eastAsia" w:asciiTheme="minorEastAsia" w:hAnsiTheme="minorEastAsia" w:eastAsiaTheme="minorEastAsia" w:cstheme="minorEastAsia"/>
          <w:b w:val="0"/>
          <w:bCs w:val="0"/>
          <w:sz w:val="21"/>
          <w:szCs w:val="21"/>
          <w:u w:val="none"/>
          <w:lang w:val="en-US" w:eastAsia="zh-CN"/>
        </w:rPr>
        <w:t>用途：建立完善“专业+机制+大数据”的新型警务模式，加强刑侦大队专业研判力量</w:t>
      </w:r>
      <w:r>
        <w:rPr>
          <w:rFonts w:hint="eastAsia" w:asciiTheme="minorEastAsia" w:hAnsiTheme="minorEastAsia" w:cstheme="minorEastAsia"/>
          <w:b w:val="0"/>
          <w:bCs w:val="0"/>
          <w:sz w:val="21"/>
          <w:szCs w:val="21"/>
          <w:u w:val="none"/>
          <w:lang w:val="en-US" w:eastAsia="zh-CN"/>
        </w:rPr>
        <w:t>。</w:t>
      </w:r>
    </w:p>
    <w:p w14:paraId="103CBC8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b w:val="0"/>
          <w:bCs w:val="0"/>
          <w:sz w:val="21"/>
          <w:szCs w:val="21"/>
          <w:u w:val="none"/>
          <w:lang w:val="en-US" w:eastAsia="zh-CN"/>
        </w:rPr>
      </w:pPr>
      <w:r>
        <w:rPr>
          <w:rFonts w:hint="eastAsia" w:asciiTheme="minorEastAsia" w:hAnsiTheme="minorEastAsia" w:eastAsiaTheme="minorEastAsia" w:cstheme="minorEastAsia"/>
          <w:b w:val="0"/>
          <w:bCs w:val="0"/>
          <w:sz w:val="21"/>
          <w:szCs w:val="21"/>
          <w:u w:val="none"/>
          <w:lang w:val="en-US" w:eastAsia="zh-CN"/>
        </w:rPr>
        <w:t>资金性质：财政资金</w:t>
      </w:r>
    </w:p>
    <w:p w14:paraId="0342571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b w:val="0"/>
          <w:bCs w:val="0"/>
          <w:sz w:val="21"/>
          <w:szCs w:val="21"/>
          <w:u w:val="none"/>
          <w:lang w:val="en-US" w:eastAsia="zh-CN"/>
        </w:rPr>
      </w:pPr>
      <w:r>
        <w:rPr>
          <w:rFonts w:hint="eastAsia" w:asciiTheme="minorEastAsia" w:hAnsiTheme="minorEastAsia" w:eastAsiaTheme="minorEastAsia" w:cstheme="minorEastAsia"/>
          <w:b w:val="0"/>
          <w:bCs w:val="0"/>
          <w:sz w:val="21"/>
          <w:szCs w:val="21"/>
          <w:u w:val="none"/>
          <w:lang w:val="en-US" w:eastAsia="zh-CN"/>
        </w:rPr>
        <w:t>预算金额:40万元</w:t>
      </w:r>
    </w:p>
    <w:p w14:paraId="43E128A6">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jc w:val="both"/>
        <w:textAlignment w:val="auto"/>
        <w:rPr>
          <w:rFonts w:hint="eastAsia"/>
          <w:lang w:val="en-US" w:eastAsia="zh-CN"/>
        </w:rPr>
      </w:pPr>
      <w:r>
        <w:rPr>
          <w:rFonts w:hint="eastAsia" w:asciiTheme="minorEastAsia" w:hAnsiTheme="minorEastAsia" w:eastAsiaTheme="minorEastAsia" w:cstheme="minorEastAsia"/>
          <w:b/>
          <w:bCs/>
          <w:sz w:val="21"/>
          <w:szCs w:val="21"/>
          <w:u w:val="none"/>
          <w:lang w:val="en-US" w:eastAsia="zh-CN"/>
        </w:rPr>
        <w:t>服务内容（包括工作区域、工作内容等</w:t>
      </w:r>
      <w:r>
        <w:rPr>
          <w:rFonts w:hint="eastAsia" w:asciiTheme="minorEastAsia" w:hAnsiTheme="minorEastAsia" w:cstheme="minorEastAsia"/>
          <w:b/>
          <w:bCs/>
          <w:sz w:val="21"/>
          <w:szCs w:val="21"/>
          <w:u w:val="none"/>
          <w:lang w:val="en-US" w:eastAsia="zh-CN"/>
        </w:rPr>
        <w:t>）</w:t>
      </w:r>
      <w:r>
        <w:rPr>
          <w:rFonts w:hint="eastAsia" w:asciiTheme="minorEastAsia" w:hAnsiTheme="minorEastAsia" w:eastAsiaTheme="minorEastAsia" w:cstheme="minorEastAsia"/>
          <w:b w:val="0"/>
          <w:bCs w:val="0"/>
          <w:sz w:val="21"/>
          <w:szCs w:val="21"/>
          <w:u w:val="none"/>
          <w:lang w:val="en-US" w:eastAsia="zh-CN"/>
        </w:rPr>
        <w:t xml:space="preserve"> </w:t>
      </w:r>
    </w:p>
    <w:p w14:paraId="2BE08B9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lang w:val="en-US" w:eastAsia="zh-CN"/>
        </w:rPr>
      </w:pPr>
      <w:r>
        <w:rPr>
          <w:rFonts w:hint="eastAsia"/>
          <w:lang w:val="en-US" w:eastAsia="zh-CN"/>
        </w:rPr>
        <w:t>大数据智能分析平台建设（案件智能研判、多维线索解析、案件管理、用户中心、系统管理）</w:t>
      </w:r>
    </w:p>
    <w:p w14:paraId="5BD77A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Theme="minorEastAsia" w:hAnsiTheme="minorEastAsia" w:eastAsiaTheme="minorEastAsia" w:cstheme="minorEastAsia"/>
          <w:b/>
          <w:bCs/>
          <w:color w:val="auto"/>
          <w:sz w:val="21"/>
          <w:szCs w:val="21"/>
          <w:highlight w:val="none"/>
          <w:u w:val="none"/>
          <w:lang w:val="en-US" w:eastAsia="zh-CN"/>
        </w:rPr>
      </w:pPr>
      <w:r>
        <w:rPr>
          <w:rFonts w:hint="eastAsia" w:asciiTheme="minorEastAsia" w:hAnsiTheme="minorEastAsia" w:cstheme="minorEastAsia"/>
          <w:b/>
          <w:bCs/>
          <w:color w:val="auto"/>
          <w:sz w:val="21"/>
          <w:szCs w:val="21"/>
          <w:u w:val="none"/>
          <w:lang w:val="en-US" w:eastAsia="zh-CN"/>
        </w:rPr>
        <w:t>三、</w:t>
      </w:r>
      <w:r>
        <w:rPr>
          <w:rFonts w:hint="eastAsia" w:asciiTheme="minorEastAsia" w:hAnsiTheme="minorEastAsia" w:eastAsiaTheme="minorEastAsia" w:cstheme="minorEastAsia"/>
          <w:b/>
          <w:bCs/>
          <w:color w:val="auto"/>
          <w:sz w:val="21"/>
          <w:szCs w:val="21"/>
          <w:u w:val="none"/>
          <w:lang w:val="en-US" w:eastAsia="zh-CN"/>
        </w:rPr>
        <w:t>服务要求</w:t>
      </w:r>
      <w:r>
        <w:rPr>
          <w:rFonts w:hint="eastAsia" w:asciiTheme="minorEastAsia" w:hAnsiTheme="minorEastAsia" w:eastAsiaTheme="minorEastAsia" w:cstheme="minorEastAsia"/>
          <w:b/>
          <w:bCs/>
          <w:color w:val="auto"/>
          <w:sz w:val="21"/>
          <w:szCs w:val="21"/>
          <w:highlight w:val="none"/>
          <w:u w:val="none"/>
          <w:lang w:val="en-US" w:eastAsia="zh-CN"/>
        </w:rPr>
        <w:t>（如对人员配置、专业设备、服务标准等）</w:t>
      </w:r>
    </w:p>
    <w:p w14:paraId="0E40E1C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Theme="minorEastAsia" w:hAnsiTheme="minorEastAsia" w:eastAsiaTheme="minorEastAsia" w:cstheme="minorEastAsia"/>
          <w:b w:val="0"/>
          <w:bCs w:val="0"/>
          <w:color w:val="auto"/>
          <w:sz w:val="21"/>
          <w:szCs w:val="21"/>
          <w:highlight w:val="none"/>
          <w:u w:val="none"/>
          <w:lang w:val="en-US" w:eastAsia="zh-CN"/>
        </w:rPr>
      </w:pPr>
      <w:r>
        <w:rPr>
          <w:rFonts w:hint="eastAsia" w:asciiTheme="minorEastAsia" w:hAnsiTheme="minorEastAsia" w:eastAsiaTheme="minorEastAsia" w:cstheme="minorEastAsia"/>
          <w:b w:val="0"/>
          <w:bCs w:val="0"/>
          <w:color w:val="auto"/>
          <w:sz w:val="21"/>
          <w:szCs w:val="21"/>
          <w:highlight w:val="none"/>
          <w:u w:val="none"/>
          <w:lang w:val="en-US" w:eastAsia="zh-CN"/>
        </w:rPr>
        <w:t>1、</w:t>
      </w:r>
      <w:r>
        <w:rPr>
          <w:rFonts w:hint="eastAsia" w:asciiTheme="minorEastAsia" w:hAnsiTheme="minorEastAsia" w:cstheme="minorEastAsia"/>
          <w:b w:val="0"/>
          <w:bCs w:val="0"/>
          <w:color w:val="auto"/>
          <w:sz w:val="21"/>
          <w:szCs w:val="21"/>
          <w:highlight w:val="none"/>
          <w:u w:val="none"/>
          <w:lang w:val="en-US" w:eastAsia="zh-CN"/>
        </w:rPr>
        <w:t>人员配置</w:t>
      </w:r>
      <w:r>
        <w:rPr>
          <w:rFonts w:hint="eastAsia" w:asciiTheme="minorEastAsia" w:hAnsiTheme="minorEastAsia" w:eastAsiaTheme="minorEastAsia" w:cstheme="minorEastAsia"/>
          <w:b w:val="0"/>
          <w:bCs w:val="0"/>
          <w:color w:val="auto"/>
          <w:sz w:val="21"/>
          <w:szCs w:val="21"/>
          <w:highlight w:val="none"/>
          <w:u w:val="none"/>
          <w:lang w:val="en-US" w:eastAsia="zh-CN"/>
        </w:rPr>
        <w:t>。</w:t>
      </w:r>
      <w:r>
        <w:rPr>
          <w:rFonts w:hint="eastAsia" w:asciiTheme="minorEastAsia" w:hAnsiTheme="minorEastAsia" w:cstheme="minorEastAsia"/>
          <w:b w:val="0"/>
          <w:bCs w:val="0"/>
          <w:color w:val="auto"/>
          <w:sz w:val="21"/>
          <w:szCs w:val="21"/>
          <w:highlight w:val="none"/>
          <w:u w:val="none"/>
          <w:lang w:val="en-US" w:eastAsia="zh-CN"/>
        </w:rPr>
        <w:t>具有针对本项目配置的项目负责人</w:t>
      </w:r>
      <w:r>
        <w:rPr>
          <w:rFonts w:hint="eastAsia" w:asciiTheme="minorEastAsia" w:hAnsiTheme="minorEastAsia" w:eastAsiaTheme="minorEastAsia" w:cstheme="minorEastAsia"/>
          <w:b w:val="0"/>
          <w:bCs w:val="0"/>
          <w:color w:val="auto"/>
          <w:sz w:val="21"/>
          <w:szCs w:val="21"/>
          <w:highlight w:val="none"/>
          <w:u w:val="none"/>
          <w:lang w:val="en-US" w:eastAsia="zh-CN"/>
        </w:rPr>
        <w:t>。</w:t>
      </w:r>
    </w:p>
    <w:p w14:paraId="1CD9E9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Theme="minorEastAsia" w:hAnsiTheme="minorEastAsia" w:eastAsiaTheme="minorEastAsia" w:cstheme="minorEastAsia"/>
          <w:b w:val="0"/>
          <w:bCs w:val="0"/>
          <w:color w:val="auto"/>
          <w:sz w:val="21"/>
          <w:szCs w:val="21"/>
          <w:highlight w:val="none"/>
          <w:u w:val="none"/>
          <w:lang w:val="en-US" w:eastAsia="zh-CN"/>
        </w:rPr>
      </w:pPr>
      <w:r>
        <w:rPr>
          <w:rFonts w:hint="eastAsia" w:asciiTheme="minorEastAsia" w:hAnsiTheme="minorEastAsia" w:eastAsiaTheme="minorEastAsia" w:cstheme="minorEastAsia"/>
          <w:b w:val="0"/>
          <w:bCs w:val="0"/>
          <w:color w:val="auto"/>
          <w:sz w:val="21"/>
          <w:szCs w:val="21"/>
          <w:highlight w:val="none"/>
          <w:u w:val="none"/>
          <w:lang w:val="en-US" w:eastAsia="zh-CN"/>
        </w:rPr>
        <w:t>2、</w:t>
      </w:r>
      <w:r>
        <w:rPr>
          <w:rFonts w:hint="eastAsia" w:asciiTheme="minorEastAsia" w:hAnsiTheme="minorEastAsia" w:cstheme="minorEastAsia"/>
          <w:b w:val="0"/>
          <w:bCs w:val="0"/>
          <w:color w:val="auto"/>
          <w:sz w:val="21"/>
          <w:szCs w:val="21"/>
          <w:highlight w:val="none"/>
          <w:u w:val="none"/>
          <w:lang w:val="en-US" w:eastAsia="zh-CN"/>
        </w:rPr>
        <w:t>专业设备</w:t>
      </w:r>
      <w:r>
        <w:rPr>
          <w:rFonts w:hint="eastAsia" w:asciiTheme="minorEastAsia" w:hAnsiTheme="minorEastAsia" w:eastAsiaTheme="minorEastAsia" w:cstheme="minorEastAsia"/>
          <w:b w:val="0"/>
          <w:bCs w:val="0"/>
          <w:color w:val="auto"/>
          <w:sz w:val="21"/>
          <w:szCs w:val="21"/>
          <w:highlight w:val="none"/>
          <w:u w:val="none"/>
          <w:lang w:val="en-US" w:eastAsia="zh-CN"/>
        </w:rPr>
        <w:t>。</w:t>
      </w:r>
      <w:r>
        <w:rPr>
          <w:rFonts w:hint="eastAsia" w:asciiTheme="minorEastAsia" w:hAnsiTheme="minorEastAsia" w:cstheme="minorEastAsia"/>
          <w:b w:val="0"/>
          <w:bCs w:val="0"/>
          <w:color w:val="auto"/>
          <w:sz w:val="21"/>
          <w:szCs w:val="21"/>
          <w:highlight w:val="none"/>
          <w:u w:val="none"/>
          <w:lang w:val="en-US" w:eastAsia="zh-CN"/>
        </w:rPr>
        <w:t>具有履行合同所必须的专业技术能力和设备</w:t>
      </w:r>
      <w:r>
        <w:rPr>
          <w:rFonts w:hint="eastAsia" w:asciiTheme="minorEastAsia" w:hAnsiTheme="minorEastAsia" w:eastAsiaTheme="minorEastAsia" w:cstheme="minorEastAsia"/>
          <w:b w:val="0"/>
          <w:bCs w:val="0"/>
          <w:color w:val="auto"/>
          <w:sz w:val="21"/>
          <w:szCs w:val="21"/>
          <w:highlight w:val="none"/>
          <w:u w:val="none"/>
          <w:lang w:val="en-US" w:eastAsia="zh-CN"/>
        </w:rPr>
        <w:t>。</w:t>
      </w:r>
    </w:p>
    <w:p w14:paraId="2C1795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Theme="minorEastAsia" w:hAnsiTheme="minorEastAsia" w:eastAsiaTheme="minorEastAsia" w:cstheme="minorEastAsia"/>
          <w:b w:val="0"/>
          <w:bCs w:val="0"/>
          <w:color w:val="auto"/>
          <w:sz w:val="21"/>
          <w:szCs w:val="21"/>
          <w:highlight w:val="none"/>
          <w:u w:val="none"/>
          <w:lang w:val="en-US" w:eastAsia="zh-CN"/>
        </w:rPr>
      </w:pPr>
      <w:r>
        <w:rPr>
          <w:rFonts w:hint="eastAsia" w:asciiTheme="minorEastAsia" w:hAnsiTheme="minorEastAsia" w:eastAsiaTheme="minorEastAsia" w:cstheme="minorEastAsia"/>
          <w:b w:val="0"/>
          <w:bCs w:val="0"/>
          <w:color w:val="auto"/>
          <w:sz w:val="21"/>
          <w:szCs w:val="21"/>
          <w:highlight w:val="none"/>
          <w:u w:val="none"/>
          <w:lang w:val="en-US" w:eastAsia="zh-CN"/>
        </w:rPr>
        <w:t>3、</w:t>
      </w:r>
      <w:r>
        <w:rPr>
          <w:rFonts w:hint="eastAsia" w:asciiTheme="minorEastAsia" w:hAnsiTheme="minorEastAsia" w:cstheme="minorEastAsia"/>
          <w:b w:val="0"/>
          <w:bCs w:val="0"/>
          <w:color w:val="auto"/>
          <w:sz w:val="21"/>
          <w:szCs w:val="21"/>
          <w:highlight w:val="none"/>
          <w:u w:val="none"/>
          <w:lang w:val="en-US" w:eastAsia="zh-CN"/>
        </w:rPr>
        <w:t>服务标准</w:t>
      </w:r>
      <w:r>
        <w:rPr>
          <w:rFonts w:hint="eastAsia" w:asciiTheme="minorEastAsia" w:hAnsiTheme="minorEastAsia" w:eastAsiaTheme="minorEastAsia" w:cstheme="minorEastAsia"/>
          <w:b w:val="0"/>
          <w:bCs w:val="0"/>
          <w:color w:val="auto"/>
          <w:sz w:val="21"/>
          <w:szCs w:val="21"/>
          <w:highlight w:val="none"/>
          <w:u w:val="none"/>
          <w:lang w:val="en-US" w:eastAsia="zh-CN"/>
        </w:rPr>
        <w:t>。本次项目实施充分利用现有先进、成熟技术，坚持需求主导、深化应用的原则，统一规划、统一布局、统一设计、规范标准、突出重点、分步实施，在规划、设计中遵循以下实施原则：</w:t>
      </w:r>
    </w:p>
    <w:p w14:paraId="4CA05C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Theme="minorEastAsia" w:hAnsiTheme="minorEastAsia" w:eastAsiaTheme="minorEastAsia" w:cstheme="minorEastAsia"/>
          <w:b w:val="0"/>
          <w:bCs w:val="0"/>
          <w:color w:val="auto"/>
          <w:sz w:val="21"/>
          <w:szCs w:val="21"/>
          <w:highlight w:val="none"/>
          <w:u w:val="none"/>
          <w:lang w:val="en-US" w:eastAsia="zh-CN"/>
        </w:rPr>
      </w:pPr>
      <w:r>
        <w:rPr>
          <w:rFonts w:hint="eastAsia" w:asciiTheme="minorEastAsia" w:hAnsiTheme="minorEastAsia" w:eastAsiaTheme="minorEastAsia" w:cstheme="minorEastAsia"/>
          <w:b w:val="0"/>
          <w:bCs w:val="0"/>
          <w:color w:val="auto"/>
          <w:sz w:val="21"/>
          <w:szCs w:val="21"/>
          <w:highlight w:val="none"/>
          <w:u w:val="none"/>
          <w:lang w:val="en-US" w:eastAsia="zh-CN"/>
        </w:rPr>
        <w:t>（一）标准和规范化原则</w:t>
      </w:r>
    </w:p>
    <w:p w14:paraId="5FAEDD0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Theme="minorEastAsia" w:hAnsiTheme="minorEastAsia" w:eastAsiaTheme="minorEastAsia" w:cstheme="minorEastAsia"/>
          <w:b w:val="0"/>
          <w:bCs w:val="0"/>
          <w:color w:val="auto"/>
          <w:sz w:val="21"/>
          <w:szCs w:val="21"/>
          <w:highlight w:val="none"/>
          <w:u w:val="none"/>
          <w:lang w:val="en-US" w:eastAsia="zh-CN"/>
        </w:rPr>
      </w:pPr>
      <w:r>
        <w:rPr>
          <w:rFonts w:hint="eastAsia" w:asciiTheme="minorEastAsia" w:hAnsiTheme="minorEastAsia" w:eastAsiaTheme="minorEastAsia" w:cstheme="minorEastAsia"/>
          <w:b w:val="0"/>
          <w:bCs w:val="0"/>
          <w:color w:val="auto"/>
          <w:sz w:val="21"/>
          <w:szCs w:val="21"/>
          <w:highlight w:val="none"/>
          <w:u w:val="none"/>
          <w:lang w:val="en-US" w:eastAsia="zh-CN"/>
        </w:rPr>
        <w:t>坚持“统一领导，统一规划，统一标准”的原则全面推进项目实施。</w:t>
      </w:r>
    </w:p>
    <w:p w14:paraId="6DB529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Theme="minorEastAsia" w:hAnsiTheme="minorEastAsia" w:eastAsiaTheme="minorEastAsia" w:cstheme="minorEastAsia"/>
          <w:b w:val="0"/>
          <w:bCs w:val="0"/>
          <w:color w:val="auto"/>
          <w:sz w:val="21"/>
          <w:szCs w:val="21"/>
          <w:highlight w:val="none"/>
          <w:u w:val="none"/>
          <w:lang w:val="en-US" w:eastAsia="zh-CN"/>
        </w:rPr>
      </w:pPr>
      <w:r>
        <w:rPr>
          <w:rFonts w:hint="eastAsia" w:asciiTheme="minorEastAsia" w:hAnsiTheme="minorEastAsia" w:eastAsiaTheme="minorEastAsia" w:cstheme="minorEastAsia"/>
          <w:b w:val="0"/>
          <w:bCs w:val="0"/>
          <w:color w:val="auto"/>
          <w:sz w:val="21"/>
          <w:szCs w:val="21"/>
          <w:highlight w:val="none"/>
          <w:u w:val="none"/>
          <w:lang w:val="en-US" w:eastAsia="zh-CN"/>
        </w:rPr>
        <w:t>（二）架构先进性原则</w:t>
      </w:r>
    </w:p>
    <w:p w14:paraId="6CE1BC4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Theme="minorEastAsia" w:hAnsiTheme="minorEastAsia" w:eastAsiaTheme="minorEastAsia" w:cstheme="minorEastAsia"/>
          <w:b w:val="0"/>
          <w:bCs w:val="0"/>
          <w:color w:val="auto"/>
          <w:sz w:val="21"/>
          <w:szCs w:val="21"/>
          <w:highlight w:val="none"/>
          <w:u w:val="none"/>
          <w:lang w:val="en-US" w:eastAsia="zh-CN"/>
        </w:rPr>
      </w:pPr>
      <w:r>
        <w:rPr>
          <w:rFonts w:hint="eastAsia" w:asciiTheme="minorEastAsia" w:hAnsiTheme="minorEastAsia" w:eastAsiaTheme="minorEastAsia" w:cstheme="minorEastAsia"/>
          <w:b w:val="0"/>
          <w:bCs w:val="0"/>
          <w:color w:val="auto"/>
          <w:sz w:val="21"/>
          <w:szCs w:val="21"/>
          <w:highlight w:val="none"/>
          <w:u w:val="none"/>
          <w:lang w:val="en-US" w:eastAsia="zh-CN"/>
        </w:rPr>
        <w:t>在系统的总体设计上，将借鉴各类系统的成功经验，同时注重考虑同类系统的建设教训。在技术上，采用微服务架构设计，将平台拆分为多个可以插拔的服务，服务之间可以复用，隔离，独立演化；微服务架构方式是松耦合的，可以提供更高的灵活性，实现高内聚，低耦合；</w:t>
      </w:r>
    </w:p>
    <w:p w14:paraId="42DA04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Theme="minorEastAsia" w:hAnsiTheme="minorEastAsia" w:eastAsiaTheme="minorEastAsia" w:cstheme="minorEastAsia"/>
          <w:b w:val="0"/>
          <w:bCs w:val="0"/>
          <w:color w:val="auto"/>
          <w:sz w:val="21"/>
          <w:szCs w:val="21"/>
          <w:highlight w:val="none"/>
          <w:u w:val="none"/>
          <w:lang w:val="en-US" w:eastAsia="zh-CN"/>
        </w:rPr>
      </w:pPr>
      <w:r>
        <w:rPr>
          <w:rFonts w:hint="eastAsia" w:asciiTheme="minorEastAsia" w:hAnsiTheme="minorEastAsia" w:eastAsiaTheme="minorEastAsia" w:cstheme="minorEastAsia"/>
          <w:b w:val="0"/>
          <w:bCs w:val="0"/>
          <w:color w:val="auto"/>
          <w:sz w:val="21"/>
          <w:szCs w:val="21"/>
          <w:highlight w:val="none"/>
          <w:u w:val="none"/>
          <w:lang w:val="en-US" w:eastAsia="zh-CN"/>
        </w:rPr>
        <w:t>（三）可扩展性原则</w:t>
      </w:r>
    </w:p>
    <w:p w14:paraId="4286D89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Theme="minorEastAsia" w:hAnsiTheme="minorEastAsia" w:eastAsiaTheme="minorEastAsia" w:cstheme="minorEastAsia"/>
          <w:b w:val="0"/>
          <w:bCs w:val="0"/>
          <w:color w:val="auto"/>
          <w:sz w:val="21"/>
          <w:szCs w:val="21"/>
          <w:highlight w:val="none"/>
          <w:u w:val="none"/>
          <w:lang w:val="en-US" w:eastAsia="zh-CN"/>
        </w:rPr>
      </w:pPr>
      <w:r>
        <w:rPr>
          <w:rFonts w:hint="eastAsia" w:asciiTheme="minorEastAsia" w:hAnsiTheme="minorEastAsia" w:eastAsiaTheme="minorEastAsia" w:cstheme="minorEastAsia"/>
          <w:b w:val="0"/>
          <w:bCs w:val="0"/>
          <w:color w:val="auto"/>
          <w:sz w:val="21"/>
          <w:szCs w:val="21"/>
          <w:highlight w:val="none"/>
          <w:u w:val="none"/>
          <w:lang w:val="en-US" w:eastAsia="zh-CN"/>
        </w:rPr>
        <w:t>系统的设计和实施要充分考虑网络、硬件的扩展需要、应用系统二次开发的需要、以及支持未来可能出现的组织调整的需要。系统应采用开放的可扩充模块结构，保证以后可以方便地升级和不断增加新功能、增加容量、以及在同一平台上扩充其他业务应用功能。</w:t>
      </w:r>
    </w:p>
    <w:p w14:paraId="725D9DF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Theme="minorEastAsia" w:hAnsiTheme="minorEastAsia" w:eastAsiaTheme="minorEastAsia" w:cstheme="minorEastAsia"/>
          <w:b w:val="0"/>
          <w:bCs w:val="0"/>
          <w:color w:val="auto"/>
          <w:sz w:val="21"/>
          <w:szCs w:val="21"/>
          <w:highlight w:val="none"/>
          <w:u w:val="none"/>
          <w:lang w:val="en-US" w:eastAsia="zh-CN"/>
        </w:rPr>
      </w:pPr>
      <w:r>
        <w:rPr>
          <w:rFonts w:hint="eastAsia" w:asciiTheme="minorEastAsia" w:hAnsiTheme="minorEastAsia" w:eastAsiaTheme="minorEastAsia" w:cstheme="minorEastAsia"/>
          <w:b w:val="0"/>
          <w:bCs w:val="0"/>
          <w:color w:val="auto"/>
          <w:sz w:val="21"/>
          <w:szCs w:val="21"/>
          <w:highlight w:val="none"/>
          <w:u w:val="none"/>
          <w:lang w:val="en-US" w:eastAsia="zh-CN"/>
        </w:rPr>
        <w:t>（四）安全和易用性原则</w:t>
      </w:r>
    </w:p>
    <w:p w14:paraId="0119726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Theme="minorEastAsia" w:hAnsiTheme="minorEastAsia" w:eastAsiaTheme="minorEastAsia" w:cstheme="minorEastAsia"/>
          <w:b w:val="0"/>
          <w:bCs w:val="0"/>
          <w:color w:val="auto"/>
          <w:sz w:val="21"/>
          <w:szCs w:val="21"/>
          <w:highlight w:val="none"/>
          <w:u w:val="none"/>
          <w:lang w:val="en-US" w:eastAsia="zh-CN"/>
        </w:rPr>
      </w:pPr>
      <w:r>
        <w:rPr>
          <w:rFonts w:hint="eastAsia" w:asciiTheme="minorEastAsia" w:hAnsiTheme="minorEastAsia" w:eastAsiaTheme="minorEastAsia" w:cstheme="minorEastAsia"/>
          <w:b w:val="0"/>
          <w:bCs w:val="0"/>
          <w:color w:val="auto"/>
          <w:sz w:val="21"/>
          <w:szCs w:val="21"/>
          <w:highlight w:val="none"/>
          <w:u w:val="none"/>
          <w:lang w:val="en-US" w:eastAsia="zh-CN"/>
        </w:rPr>
        <w:t>在系统建设方案设计时，依托国家电子政务建设的各种信息技术标准（环境、技术、信息、安全、信息交换标准等），制订项目各项技术标准，结合电子政务应用的特点，强化信息安全建设。并针对不同层面的使用者的应用水平，充分考虑系统的易用性，保障本项目实施后的应用与推广。</w:t>
      </w:r>
    </w:p>
    <w:p w14:paraId="09A1202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Theme="minorEastAsia" w:hAnsiTheme="minorEastAsia" w:eastAsiaTheme="minorEastAsia" w:cstheme="minorEastAsia"/>
          <w:b w:val="0"/>
          <w:bCs w:val="0"/>
          <w:color w:val="auto"/>
          <w:sz w:val="21"/>
          <w:szCs w:val="21"/>
          <w:highlight w:val="none"/>
          <w:u w:val="none"/>
          <w:lang w:val="en-US" w:eastAsia="zh-CN"/>
        </w:rPr>
      </w:pPr>
      <w:r>
        <w:rPr>
          <w:rFonts w:hint="eastAsia" w:asciiTheme="minorEastAsia" w:hAnsiTheme="minorEastAsia" w:eastAsiaTheme="minorEastAsia" w:cstheme="minorEastAsia"/>
          <w:b w:val="0"/>
          <w:bCs w:val="0"/>
          <w:color w:val="auto"/>
          <w:sz w:val="21"/>
          <w:szCs w:val="21"/>
          <w:highlight w:val="none"/>
          <w:u w:val="none"/>
          <w:lang w:val="en-US" w:eastAsia="zh-CN"/>
        </w:rPr>
        <w:t>项目的实施要保证软、硬件安全、可靠的运行。能够采用先进的安全保密技术进行用户身份认证。将系统级身份认证和应用级身份认证统一灵活应用于各应用系统的登录、流转等功能模块中，操作方式应简单快捷。应具备完善的日志管理等功能，能够追踪记录每次操作情况，并对非法操作进行告警。</w:t>
      </w:r>
    </w:p>
    <w:p w14:paraId="41ED20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Theme="minorEastAsia" w:hAnsiTheme="minorEastAsia" w:eastAsiaTheme="minorEastAsia" w:cstheme="minorEastAsia"/>
          <w:b w:val="0"/>
          <w:bCs w:val="0"/>
          <w:color w:val="auto"/>
          <w:sz w:val="21"/>
          <w:szCs w:val="21"/>
          <w:highlight w:val="none"/>
          <w:u w:val="none"/>
          <w:lang w:val="en-US" w:eastAsia="zh-CN"/>
        </w:rPr>
      </w:pPr>
      <w:r>
        <w:rPr>
          <w:rFonts w:hint="eastAsia" w:asciiTheme="minorEastAsia" w:hAnsiTheme="minorEastAsia" w:eastAsiaTheme="minorEastAsia" w:cstheme="minorEastAsia"/>
          <w:b w:val="0"/>
          <w:bCs w:val="0"/>
          <w:color w:val="auto"/>
          <w:sz w:val="21"/>
          <w:szCs w:val="21"/>
          <w:highlight w:val="none"/>
          <w:u w:val="none"/>
          <w:lang w:val="en-US" w:eastAsia="zh-CN"/>
        </w:rPr>
        <w:t>本平台须符合网络与信息安全、国产密码的相关要求。</w:t>
      </w:r>
    </w:p>
    <w:p w14:paraId="59B0AAE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Theme="minorEastAsia" w:hAnsiTheme="minorEastAsia" w:eastAsiaTheme="minorEastAsia" w:cstheme="minorEastAsia"/>
          <w:b w:val="0"/>
          <w:bCs w:val="0"/>
          <w:color w:val="auto"/>
          <w:sz w:val="21"/>
          <w:szCs w:val="21"/>
          <w:highlight w:val="none"/>
          <w:u w:val="none"/>
          <w:lang w:val="en-US" w:eastAsia="zh-CN"/>
        </w:rPr>
      </w:pPr>
      <w:r>
        <w:rPr>
          <w:rFonts w:hint="eastAsia" w:asciiTheme="minorEastAsia" w:hAnsiTheme="minorEastAsia" w:eastAsiaTheme="minorEastAsia" w:cstheme="minorEastAsia"/>
          <w:b w:val="0"/>
          <w:bCs w:val="0"/>
          <w:color w:val="auto"/>
          <w:sz w:val="21"/>
          <w:szCs w:val="21"/>
          <w:highlight w:val="none"/>
          <w:u w:val="none"/>
          <w:lang w:val="en-US" w:eastAsia="zh-CN"/>
        </w:rPr>
        <w:t>系统统一的界面风格，统一用户操作流程，统一用户体验。</w:t>
      </w:r>
    </w:p>
    <w:p w14:paraId="153E1C7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Theme="minorEastAsia" w:hAnsiTheme="minorEastAsia" w:eastAsiaTheme="minorEastAsia" w:cstheme="minorEastAsia"/>
          <w:b w:val="0"/>
          <w:bCs w:val="0"/>
          <w:color w:val="auto"/>
          <w:sz w:val="21"/>
          <w:szCs w:val="21"/>
          <w:highlight w:val="none"/>
          <w:u w:val="none"/>
          <w:lang w:val="en-US" w:eastAsia="zh-CN"/>
        </w:rPr>
      </w:pPr>
      <w:r>
        <w:rPr>
          <w:rFonts w:hint="eastAsia" w:asciiTheme="minorEastAsia" w:hAnsiTheme="minorEastAsia" w:eastAsiaTheme="minorEastAsia" w:cstheme="minorEastAsia"/>
          <w:b w:val="0"/>
          <w:bCs w:val="0"/>
          <w:color w:val="auto"/>
          <w:sz w:val="21"/>
          <w:szCs w:val="21"/>
          <w:highlight w:val="none"/>
          <w:u w:val="none"/>
          <w:lang w:val="en-US" w:eastAsia="zh-CN"/>
        </w:rPr>
        <w:t>（五）易于管理和可维护性原则</w:t>
      </w:r>
    </w:p>
    <w:p w14:paraId="68327CF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Theme="minorEastAsia" w:hAnsiTheme="minorEastAsia" w:eastAsiaTheme="minorEastAsia" w:cstheme="minorEastAsia"/>
          <w:b w:val="0"/>
          <w:bCs w:val="0"/>
          <w:color w:val="auto"/>
          <w:sz w:val="21"/>
          <w:szCs w:val="21"/>
          <w:highlight w:val="none"/>
          <w:u w:val="none"/>
          <w:lang w:val="en-US" w:eastAsia="zh-CN"/>
        </w:rPr>
      </w:pPr>
      <w:r>
        <w:rPr>
          <w:rFonts w:hint="eastAsia" w:asciiTheme="minorEastAsia" w:hAnsiTheme="minorEastAsia" w:eastAsiaTheme="minorEastAsia" w:cstheme="minorEastAsia"/>
          <w:b w:val="0"/>
          <w:bCs w:val="0"/>
          <w:color w:val="auto"/>
          <w:sz w:val="21"/>
          <w:szCs w:val="21"/>
          <w:highlight w:val="none"/>
          <w:u w:val="none"/>
          <w:lang w:val="en-US" w:eastAsia="zh-CN"/>
        </w:rPr>
        <w:t>必须保证整个系统的可管理性，通过流程配置、表单管理、方案管理等后台配置方式，动态渲染可视化页面，实现系统整体可配，降低以降低管理、维护成本，为用户提供方便、灵活的维护手段，方便应用人员的维护和管理</w:t>
      </w:r>
      <w:r>
        <w:rPr>
          <w:rFonts w:hint="eastAsia" w:asciiTheme="minorEastAsia" w:hAnsiTheme="minorEastAsia" w:cstheme="minorEastAsia"/>
          <w:b w:val="0"/>
          <w:bCs w:val="0"/>
          <w:color w:val="auto"/>
          <w:sz w:val="21"/>
          <w:szCs w:val="21"/>
          <w:highlight w:val="none"/>
          <w:u w:val="none"/>
          <w:lang w:val="en-US" w:eastAsia="zh-CN"/>
        </w:rPr>
        <w:t>。</w:t>
      </w:r>
    </w:p>
    <w:p w14:paraId="29B0A52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lang w:val="en-US" w:eastAsia="zh-CN"/>
        </w:rPr>
      </w:pPr>
      <w:r>
        <w:rPr>
          <w:rFonts w:hint="eastAsia" w:asciiTheme="minorEastAsia" w:hAnsiTheme="minorEastAsia" w:cstheme="minorEastAsia"/>
          <w:b/>
          <w:bCs/>
          <w:sz w:val="21"/>
          <w:szCs w:val="21"/>
          <w:u w:val="none"/>
          <w:lang w:val="en-US" w:eastAsia="zh-CN"/>
        </w:rPr>
        <w:t>四、</w:t>
      </w:r>
      <w:r>
        <w:rPr>
          <w:rFonts w:hint="eastAsia" w:asciiTheme="minorEastAsia" w:hAnsiTheme="minorEastAsia" w:eastAsiaTheme="minorEastAsia" w:cstheme="minorEastAsia"/>
          <w:b/>
          <w:bCs/>
          <w:sz w:val="21"/>
          <w:szCs w:val="21"/>
          <w:u w:val="none"/>
          <w:lang w:val="en-US" w:eastAsia="zh-CN"/>
        </w:rPr>
        <w:t>商务要求（如服务期限、款项结算等）</w:t>
      </w:r>
    </w:p>
    <w:p w14:paraId="6770A8A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10" w:firstLineChars="100"/>
        <w:jc w:val="both"/>
        <w:textAlignment w:val="auto"/>
        <w:rPr>
          <w:rFonts w:hint="eastAsia" w:asciiTheme="minorEastAsia" w:hAnsiTheme="minorEastAsia" w:eastAsiaTheme="minorEastAsia" w:cstheme="minorEastAsia"/>
          <w:b w:val="0"/>
          <w:bCs w:val="0"/>
          <w:color w:val="auto"/>
          <w:sz w:val="21"/>
          <w:szCs w:val="21"/>
          <w:u w:val="none"/>
          <w:lang w:val="en-US" w:eastAsia="zh-CN"/>
        </w:rPr>
      </w:pPr>
      <w:r>
        <w:rPr>
          <w:rFonts w:hint="eastAsia" w:asciiTheme="minorEastAsia" w:hAnsiTheme="minorEastAsia" w:cstheme="minorEastAsia"/>
          <w:b w:val="0"/>
          <w:bCs w:val="0"/>
          <w:color w:val="auto"/>
          <w:sz w:val="21"/>
          <w:szCs w:val="21"/>
          <w:u w:val="none"/>
          <w:lang w:val="en-US" w:eastAsia="zh-CN"/>
        </w:rPr>
        <w:t>（一）建设</w:t>
      </w:r>
      <w:r>
        <w:rPr>
          <w:rFonts w:hint="eastAsia" w:asciiTheme="minorEastAsia" w:hAnsiTheme="minorEastAsia" w:eastAsiaTheme="minorEastAsia" w:cstheme="minorEastAsia"/>
          <w:b w:val="0"/>
          <w:bCs w:val="0"/>
          <w:color w:val="auto"/>
          <w:sz w:val="21"/>
          <w:szCs w:val="21"/>
          <w:u w:val="none"/>
          <w:lang w:val="en-US" w:eastAsia="zh-CN"/>
        </w:rPr>
        <w:t>期限</w:t>
      </w:r>
    </w:p>
    <w:p w14:paraId="705E54C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210" w:firstLineChars="100"/>
        <w:jc w:val="both"/>
        <w:textAlignment w:val="auto"/>
        <w:rPr>
          <w:rFonts w:hint="eastAsia" w:asciiTheme="minorEastAsia" w:hAnsiTheme="minorEastAsia" w:cstheme="minorEastAsia"/>
          <w:b w:val="0"/>
          <w:bCs w:val="0"/>
          <w:color w:val="auto"/>
          <w:sz w:val="21"/>
          <w:szCs w:val="21"/>
          <w:u w:val="none"/>
          <w:lang w:val="en-US" w:eastAsia="zh-CN"/>
        </w:rPr>
      </w:pPr>
      <w:r>
        <w:rPr>
          <w:rFonts w:hint="eastAsia" w:asciiTheme="minorEastAsia" w:hAnsiTheme="minorEastAsia" w:cstheme="minorEastAsia"/>
          <w:b w:val="0"/>
          <w:bCs w:val="0"/>
          <w:color w:val="auto"/>
          <w:sz w:val="21"/>
          <w:szCs w:val="21"/>
          <w:u w:val="none"/>
          <w:lang w:val="en-US" w:eastAsia="zh-CN"/>
        </w:rPr>
        <w:t>平台建设期限：自合同签订之日起90日历天</w:t>
      </w:r>
    </w:p>
    <w:p w14:paraId="03968F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210" w:firstLineChars="100"/>
        <w:jc w:val="both"/>
        <w:textAlignment w:val="auto"/>
        <w:rPr>
          <w:rFonts w:hint="eastAsia" w:asciiTheme="minorEastAsia" w:hAnsiTheme="minorEastAsia" w:eastAsiaTheme="minorEastAsia" w:cstheme="minorEastAsia"/>
          <w:b w:val="0"/>
          <w:bCs w:val="0"/>
          <w:color w:val="auto"/>
          <w:sz w:val="21"/>
          <w:szCs w:val="21"/>
          <w:highlight w:val="none"/>
          <w:u w:val="none"/>
          <w:lang w:val="en-US" w:eastAsia="zh-CN"/>
        </w:rPr>
      </w:pPr>
      <w:r>
        <w:rPr>
          <w:rFonts w:hint="eastAsia" w:asciiTheme="minorEastAsia" w:hAnsiTheme="minorEastAsia" w:eastAsiaTheme="minorEastAsia" w:cstheme="minorEastAsia"/>
          <w:b w:val="0"/>
          <w:bCs w:val="0"/>
          <w:color w:val="auto"/>
          <w:sz w:val="21"/>
          <w:szCs w:val="21"/>
          <w:highlight w:val="none"/>
          <w:u w:val="none"/>
          <w:lang w:val="en-US" w:eastAsia="zh-CN"/>
        </w:rPr>
        <w:t>（二）款项结算</w:t>
      </w:r>
    </w:p>
    <w:p w14:paraId="1E3AC73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Theme="minorEastAsia" w:hAnsiTheme="minorEastAsia" w:eastAsiaTheme="minorEastAsia" w:cstheme="minorEastAsia"/>
          <w:b w:val="0"/>
          <w:bCs w:val="0"/>
          <w:color w:val="auto"/>
          <w:sz w:val="21"/>
          <w:szCs w:val="21"/>
          <w:highlight w:val="none"/>
          <w:u w:val="none"/>
          <w:lang w:val="en-US" w:eastAsia="zh-CN"/>
        </w:rPr>
      </w:pPr>
      <w:r>
        <w:rPr>
          <w:rFonts w:hint="eastAsia" w:asciiTheme="minorEastAsia" w:hAnsiTheme="minorEastAsia" w:eastAsiaTheme="minorEastAsia" w:cstheme="minorEastAsia"/>
          <w:b w:val="0"/>
          <w:bCs w:val="0"/>
          <w:color w:val="auto"/>
          <w:sz w:val="21"/>
          <w:szCs w:val="21"/>
          <w:highlight w:val="none"/>
          <w:u w:val="none"/>
          <w:lang w:val="en-US" w:eastAsia="zh-CN"/>
        </w:rPr>
        <w:t>1.项目经采购人履约验收合格后,采购人向供应商支付至合同总价的100%；</w:t>
      </w:r>
    </w:p>
    <w:p w14:paraId="1861DE6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Theme="minorEastAsia" w:hAnsiTheme="minorEastAsia" w:eastAsiaTheme="minorEastAsia" w:cstheme="minorEastAsia"/>
          <w:b w:val="0"/>
          <w:bCs w:val="0"/>
          <w:color w:val="auto"/>
          <w:sz w:val="21"/>
          <w:szCs w:val="21"/>
          <w:highlight w:val="none"/>
          <w:u w:val="none"/>
          <w:lang w:val="en-US" w:eastAsia="zh-CN"/>
        </w:rPr>
      </w:pPr>
      <w:r>
        <w:rPr>
          <w:rFonts w:hint="eastAsia" w:asciiTheme="minorEastAsia" w:hAnsiTheme="minorEastAsia" w:eastAsiaTheme="minorEastAsia" w:cstheme="minorEastAsia"/>
          <w:b w:val="0"/>
          <w:bCs w:val="0"/>
          <w:color w:val="auto"/>
          <w:sz w:val="21"/>
          <w:szCs w:val="21"/>
          <w:highlight w:val="none"/>
          <w:u w:val="none"/>
          <w:lang w:val="en-US" w:eastAsia="zh-CN"/>
        </w:rPr>
        <w:t>2.付款前，乙方应向甲方提供等额合法有效发票，附详细清单。</w:t>
      </w:r>
      <w:bookmarkStart w:id="0" w:name="_GoBack"/>
      <w:bookmarkEnd w:id="0"/>
      <w:r>
        <w:rPr>
          <w:rFonts w:hint="eastAsia" w:asciiTheme="minorEastAsia" w:hAnsiTheme="minorEastAsia" w:eastAsiaTheme="minorEastAsia" w:cstheme="minorEastAsia"/>
          <w:b w:val="0"/>
          <w:bCs w:val="0"/>
          <w:color w:val="auto"/>
          <w:sz w:val="21"/>
          <w:szCs w:val="21"/>
          <w:highlight w:val="none"/>
          <w:u w:val="none"/>
          <w:lang w:val="en-US" w:eastAsia="zh-CN"/>
        </w:rPr>
        <w:t>。</w:t>
      </w:r>
    </w:p>
    <w:p w14:paraId="23345BD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Theme="minorEastAsia" w:hAnsiTheme="minorEastAsia" w:eastAsiaTheme="minorEastAsia" w:cstheme="minorEastAsia"/>
          <w:b/>
          <w:bCs/>
          <w:sz w:val="21"/>
          <w:szCs w:val="21"/>
          <w:u w:val="none"/>
          <w:lang w:val="en-US" w:eastAsia="zh-CN"/>
        </w:rPr>
      </w:pPr>
      <w:r>
        <w:rPr>
          <w:rFonts w:hint="eastAsia" w:asciiTheme="minorEastAsia" w:hAnsiTheme="minorEastAsia" w:cstheme="minorEastAsia"/>
          <w:b/>
          <w:bCs/>
          <w:sz w:val="21"/>
          <w:szCs w:val="21"/>
          <w:u w:val="none"/>
          <w:lang w:val="en-US" w:eastAsia="zh-CN"/>
        </w:rPr>
        <w:t>五、</w:t>
      </w:r>
      <w:r>
        <w:rPr>
          <w:rFonts w:hint="eastAsia" w:asciiTheme="minorEastAsia" w:hAnsiTheme="minorEastAsia" w:eastAsiaTheme="minorEastAsia" w:cstheme="minorEastAsia"/>
          <w:b/>
          <w:bCs/>
          <w:sz w:val="21"/>
          <w:szCs w:val="21"/>
          <w:u w:val="none"/>
          <w:lang w:val="en-US" w:eastAsia="zh-CN"/>
        </w:rPr>
        <w:t>其他</w:t>
      </w:r>
    </w:p>
    <w:p w14:paraId="082B71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10" w:firstLineChars="10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（一）对服务商的业绩要求</w:t>
      </w:r>
    </w:p>
    <w:p w14:paraId="4A4D98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提供近三年类似业绩</w:t>
      </w:r>
    </w:p>
    <w:p w14:paraId="55BB3A15">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210" w:firstLineChars="100"/>
        <w:jc w:val="both"/>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进度要求</w:t>
      </w:r>
    </w:p>
    <w:p w14:paraId="1E94E1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1、成交人应在合同签订后</w:t>
      </w:r>
      <w:r>
        <w:rPr>
          <w:rFonts w:hint="eastAsia" w:asciiTheme="minorEastAsia" w:hAnsiTheme="minorEastAsia" w:cstheme="minorEastAsia"/>
          <w:color w:val="auto"/>
          <w:sz w:val="21"/>
          <w:szCs w:val="21"/>
          <w:lang w:val="en-US" w:eastAsia="zh-CN"/>
        </w:rPr>
        <w:t>5</w:t>
      </w:r>
      <w:r>
        <w:rPr>
          <w:rFonts w:hint="eastAsia" w:asciiTheme="minorEastAsia" w:hAnsiTheme="minorEastAsia" w:eastAsiaTheme="minorEastAsia" w:cstheme="minorEastAsia"/>
          <w:color w:val="auto"/>
          <w:sz w:val="21"/>
          <w:szCs w:val="21"/>
          <w:lang w:val="en-US" w:eastAsia="zh-CN"/>
        </w:rPr>
        <w:t>个日历日内安排人员与采购人就本项目实施等工作进行安排、部署。</w:t>
      </w:r>
    </w:p>
    <w:p w14:paraId="4E1628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2、若未能在服务期限内完成合同规定的义务，由此对采购人造成的延误和一切损失，由成交人承担和赔偿。</w:t>
      </w:r>
    </w:p>
    <w:p w14:paraId="55E3B86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10" w:firstLineChars="10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（三）成果交付要求</w:t>
      </w:r>
    </w:p>
    <w:p w14:paraId="7D56922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10" w:firstLineChars="10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1、采购活动受国家法律保护和约束。双方遵守法律、法规和职业道德，凡在采购过程中弄虚作假，一经查出，追究责任方的法律、经济责任。</w:t>
      </w:r>
    </w:p>
    <w:p w14:paraId="2710D72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10" w:firstLineChars="10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2、双方发生合同争议时，应友好协商解决，不能达成协议时，及时向有关部门要求调解、仲裁或诉讼，发生索赔按现行法律、法规和合同执行。</w:t>
      </w:r>
    </w:p>
    <w:p w14:paraId="390765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10" w:firstLineChars="10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3、本文件未尽事宜按《中华人民共和国政府采购法》、《中华人民共和国政府采购法实施条例》及有关规定执行。</w:t>
      </w:r>
    </w:p>
    <w:p w14:paraId="22CA047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10" w:firstLineChars="10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4、成交单位不得对本项目分包或转包。否则采购人有权终止合同，成交单位要承担由此造成的一切经济损失。     </w:t>
      </w:r>
    </w:p>
    <w:p w14:paraId="39D1D7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10" w:firstLineChars="10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lang w:val="en-US" w:eastAsia="zh-CN"/>
        </w:rPr>
        <w:t>（四）质量验收标准或规范</w:t>
      </w:r>
    </w:p>
    <w:p w14:paraId="4406D60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10" w:firstLineChars="10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符合现行的国家标准或国家行政部门颁布的法律法规、规章制度。 </w:t>
      </w:r>
    </w:p>
    <w:p w14:paraId="5B5BFA3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（五）违约责任</w:t>
      </w:r>
    </w:p>
    <w:p w14:paraId="1438316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10" w:firstLineChars="10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1、按《中华人民共和国民法典》中的相关条款执行。</w:t>
      </w:r>
    </w:p>
    <w:p w14:paraId="2839803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10" w:firstLineChars="10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2、未按合同要求提供服务或服务质量不能满足服务要求和标准，采购人有权终止合同，并对供方违约行为进行追究，同时按《政府采购法》的有关规定进行处罚。</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7B4D9">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018D76">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F018D76">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B19571"/>
    <w:multiLevelType w:val="singleLevel"/>
    <w:tmpl w:val="86B19571"/>
    <w:lvl w:ilvl="0" w:tentative="0">
      <w:start w:val="2"/>
      <w:numFmt w:val="chineseCounting"/>
      <w:suff w:val="nothing"/>
      <w:lvlText w:val="（%1）"/>
      <w:lvlJc w:val="left"/>
      <w:rPr>
        <w:rFonts w:hint="eastAsia"/>
      </w:rPr>
    </w:lvl>
  </w:abstractNum>
  <w:abstractNum w:abstractNumId="1">
    <w:nsid w:val="AD7D08B8"/>
    <w:multiLevelType w:val="singleLevel"/>
    <w:tmpl w:val="AD7D08B8"/>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xMDI2OWY3ZTA3NDE0NDIxZGE0NDQ1OGE4ZDBmNTcifQ=="/>
  </w:docVars>
  <w:rsids>
    <w:rsidRoot w:val="00000000"/>
    <w:rsid w:val="00B3266A"/>
    <w:rsid w:val="046B19E4"/>
    <w:rsid w:val="048830F0"/>
    <w:rsid w:val="05CE48FA"/>
    <w:rsid w:val="05F000AA"/>
    <w:rsid w:val="087D3A94"/>
    <w:rsid w:val="0B1A623E"/>
    <w:rsid w:val="0BA924CC"/>
    <w:rsid w:val="0C5B0590"/>
    <w:rsid w:val="0E075EB5"/>
    <w:rsid w:val="0EB47CC1"/>
    <w:rsid w:val="10566B3C"/>
    <w:rsid w:val="10B40097"/>
    <w:rsid w:val="110634A6"/>
    <w:rsid w:val="113D64B6"/>
    <w:rsid w:val="116A5D86"/>
    <w:rsid w:val="119A5915"/>
    <w:rsid w:val="123249D8"/>
    <w:rsid w:val="128871F9"/>
    <w:rsid w:val="138A52B7"/>
    <w:rsid w:val="14BE346A"/>
    <w:rsid w:val="14C8253B"/>
    <w:rsid w:val="15C4581C"/>
    <w:rsid w:val="15F46946"/>
    <w:rsid w:val="16434E64"/>
    <w:rsid w:val="17307F7D"/>
    <w:rsid w:val="176F1CF2"/>
    <w:rsid w:val="17A414CF"/>
    <w:rsid w:val="182F530D"/>
    <w:rsid w:val="1AAF4FD1"/>
    <w:rsid w:val="1B5F25D3"/>
    <w:rsid w:val="1B7E4241"/>
    <w:rsid w:val="1B8C7EBA"/>
    <w:rsid w:val="1C8454B4"/>
    <w:rsid w:val="1CF56A69"/>
    <w:rsid w:val="1CFF739B"/>
    <w:rsid w:val="1DE30541"/>
    <w:rsid w:val="1F617814"/>
    <w:rsid w:val="207672EF"/>
    <w:rsid w:val="20847EA9"/>
    <w:rsid w:val="20D00412"/>
    <w:rsid w:val="218066B0"/>
    <w:rsid w:val="22665141"/>
    <w:rsid w:val="22C20ADB"/>
    <w:rsid w:val="230C622E"/>
    <w:rsid w:val="23A404BB"/>
    <w:rsid w:val="23D66830"/>
    <w:rsid w:val="24852176"/>
    <w:rsid w:val="24B14B08"/>
    <w:rsid w:val="25BC21A1"/>
    <w:rsid w:val="2628717D"/>
    <w:rsid w:val="26B0508C"/>
    <w:rsid w:val="28904F27"/>
    <w:rsid w:val="2A28353A"/>
    <w:rsid w:val="2A9413E1"/>
    <w:rsid w:val="2BFC32C8"/>
    <w:rsid w:val="2CA80B9C"/>
    <w:rsid w:val="2D2B0A3A"/>
    <w:rsid w:val="2DB7618A"/>
    <w:rsid w:val="2DEC26AE"/>
    <w:rsid w:val="32C41C27"/>
    <w:rsid w:val="3564546C"/>
    <w:rsid w:val="35F71D12"/>
    <w:rsid w:val="37E14EFC"/>
    <w:rsid w:val="38A345A1"/>
    <w:rsid w:val="396E3D71"/>
    <w:rsid w:val="3C5207B8"/>
    <w:rsid w:val="3CF022CD"/>
    <w:rsid w:val="3DDE3450"/>
    <w:rsid w:val="3E782F40"/>
    <w:rsid w:val="3ED468D0"/>
    <w:rsid w:val="3FF67080"/>
    <w:rsid w:val="40C96B6F"/>
    <w:rsid w:val="42301FC8"/>
    <w:rsid w:val="461F1684"/>
    <w:rsid w:val="4642189D"/>
    <w:rsid w:val="473C453F"/>
    <w:rsid w:val="47A554F2"/>
    <w:rsid w:val="491D011C"/>
    <w:rsid w:val="49320CD7"/>
    <w:rsid w:val="4A097D81"/>
    <w:rsid w:val="4A7270E7"/>
    <w:rsid w:val="4A8E7CB4"/>
    <w:rsid w:val="4AE84FD3"/>
    <w:rsid w:val="4C23620E"/>
    <w:rsid w:val="4C8E1923"/>
    <w:rsid w:val="4EA42EC7"/>
    <w:rsid w:val="51522462"/>
    <w:rsid w:val="52475F29"/>
    <w:rsid w:val="52AC3B6E"/>
    <w:rsid w:val="53581C37"/>
    <w:rsid w:val="535D687F"/>
    <w:rsid w:val="536D5E88"/>
    <w:rsid w:val="54297BF9"/>
    <w:rsid w:val="54337806"/>
    <w:rsid w:val="56C97BC2"/>
    <w:rsid w:val="58AE6A61"/>
    <w:rsid w:val="59F44805"/>
    <w:rsid w:val="5AD036F7"/>
    <w:rsid w:val="5B1F50E3"/>
    <w:rsid w:val="5B574753"/>
    <w:rsid w:val="5C7E485A"/>
    <w:rsid w:val="5E44553F"/>
    <w:rsid w:val="5F8A2927"/>
    <w:rsid w:val="65047D44"/>
    <w:rsid w:val="65E32857"/>
    <w:rsid w:val="67BD7203"/>
    <w:rsid w:val="67CC0633"/>
    <w:rsid w:val="69F8745E"/>
    <w:rsid w:val="6C2A1D68"/>
    <w:rsid w:val="6D394EF9"/>
    <w:rsid w:val="6F751A88"/>
    <w:rsid w:val="700960F0"/>
    <w:rsid w:val="70182BA3"/>
    <w:rsid w:val="71513435"/>
    <w:rsid w:val="72075BD1"/>
    <w:rsid w:val="727465F2"/>
    <w:rsid w:val="72EB6F15"/>
    <w:rsid w:val="75137DDD"/>
    <w:rsid w:val="760342F6"/>
    <w:rsid w:val="76CC23AB"/>
    <w:rsid w:val="76D4359C"/>
    <w:rsid w:val="77333FD5"/>
    <w:rsid w:val="79876FEC"/>
    <w:rsid w:val="79905EE0"/>
    <w:rsid w:val="79C45D45"/>
    <w:rsid w:val="7A304B50"/>
    <w:rsid w:val="7ADB5CC8"/>
    <w:rsid w:val="7AFF3963"/>
    <w:rsid w:val="7B7C6A2F"/>
    <w:rsid w:val="7C0004DA"/>
    <w:rsid w:val="7C2D5C29"/>
    <w:rsid w:val="7DBC40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3">
    <w:name w:val="Normal Indent"/>
    <w:next w:val="4"/>
    <w:autoRedefine/>
    <w:qFormat/>
    <w:uiPriority w:val="0"/>
    <w:pPr>
      <w:widowControl w:val="0"/>
      <w:ind w:firstLine="420"/>
      <w:jc w:val="both"/>
    </w:pPr>
    <w:rPr>
      <w:rFonts w:ascii="Times New Roman" w:hAnsi="Times New Roman" w:eastAsia="宋体" w:cs="Times New Roman"/>
      <w:kern w:val="2"/>
      <w:sz w:val="21"/>
      <w:szCs w:val="21"/>
      <w:lang w:val="en-US" w:eastAsia="zh-CN" w:bidi="ar-SA"/>
    </w:rPr>
  </w:style>
  <w:style w:type="paragraph" w:styleId="4">
    <w:name w:val="toc 4"/>
    <w:next w:val="1"/>
    <w:autoRedefine/>
    <w:unhideWhenUsed/>
    <w:qFormat/>
    <w:uiPriority w:val="39"/>
    <w:pPr>
      <w:widowControl w:val="0"/>
      <w:jc w:val="both"/>
    </w:pPr>
    <w:rPr>
      <w:rFonts w:ascii="Times New Roman" w:hAnsi="Times New Roman" w:eastAsia="宋体" w:cs="Times New Roman"/>
      <w:kern w:val="2"/>
      <w:sz w:val="21"/>
      <w:lang w:val="en-US" w:eastAsia="zh-CN" w:bidi="ar-SA"/>
    </w:rPr>
  </w:style>
  <w:style w:type="paragraph" w:styleId="5">
    <w:name w:val="caption"/>
    <w:basedOn w:val="1"/>
    <w:next w:val="1"/>
    <w:autoRedefine/>
    <w:semiHidden/>
    <w:unhideWhenUsed/>
    <w:qFormat/>
    <w:uiPriority w:val="0"/>
    <w:rPr>
      <w:rFonts w:ascii="Arial" w:hAnsi="Arial" w:eastAsia="黑体"/>
      <w:sz w:val="20"/>
    </w:rPr>
  </w:style>
  <w:style w:type="paragraph" w:styleId="6">
    <w:name w:val="Body Text"/>
    <w:basedOn w:val="1"/>
    <w:next w:val="1"/>
    <w:autoRedefine/>
    <w:unhideWhenUsed/>
    <w:qFormat/>
    <w:uiPriority w:val="0"/>
    <w:pPr>
      <w:widowControl w:val="0"/>
      <w:spacing w:after="120"/>
      <w:jc w:val="both"/>
    </w:pPr>
    <w:rPr>
      <w:rFonts w:ascii="宋体" w:hAnsi="宋体" w:eastAsia="仿宋_GB2312" w:cs="宋体"/>
      <w:kern w:val="2"/>
      <w:sz w:val="24"/>
      <w:szCs w:val="24"/>
      <w:lang w:val="en-US" w:eastAsia="zh-CN" w:bidi="ar-SA"/>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font11"/>
    <w:basedOn w:val="11"/>
    <w:autoRedefine/>
    <w:qFormat/>
    <w:uiPriority w:val="0"/>
    <w:rPr>
      <w:rFonts w:hint="default" w:ascii="仿宋_GB2312" w:eastAsia="仿宋_GB2312" w:cs="仿宋_GB2312"/>
      <w:b/>
      <w:bCs/>
      <w:color w:val="0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2858</Words>
  <Characters>2959</Characters>
  <Lines>0</Lines>
  <Paragraphs>0</Paragraphs>
  <TotalTime>0</TotalTime>
  <ScaleCrop>false</ScaleCrop>
  <LinksUpToDate>false</LinksUpToDate>
  <CharactersWithSpaces>3048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一个人看熊出没</cp:lastModifiedBy>
  <dcterms:modified xsi:type="dcterms:W3CDTF">2024-11-03T07:15:14Z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E26DB5A1B9D049B7A9E6717555DEB63E</vt:lpwstr>
  </property>
</Properties>
</file>