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2F8B1">
      <w:pPr>
        <w:adjustRightInd w:val="0"/>
        <w:snapToGrid w:val="0"/>
        <w:spacing w:before="60" w:after="60" w:line="360" w:lineRule="auto"/>
        <w:ind w:right="-6" w:rightChars="-3"/>
        <w:jc w:val="center"/>
        <w:rPr>
          <w:rFonts w:hint="eastAsia" w:ascii="仿宋" w:hAnsi="仿宋" w:eastAsia="仿宋" w:cs="仿宋"/>
          <w:b/>
          <w:bCs/>
          <w:color w:val="auto"/>
          <w:kern w:val="16"/>
          <w:sz w:val="72"/>
          <w:szCs w:val="72"/>
          <w:highlight w:val="none"/>
        </w:rPr>
      </w:pPr>
    </w:p>
    <w:p w14:paraId="0704703D">
      <w:pPr>
        <w:adjustRightInd w:val="0"/>
        <w:snapToGrid w:val="0"/>
        <w:spacing w:before="60" w:after="60" w:line="360" w:lineRule="auto"/>
        <w:ind w:right="-6" w:rightChars="-3"/>
        <w:jc w:val="center"/>
        <w:rPr>
          <w:rFonts w:hint="eastAsia" w:ascii="仿宋" w:hAnsi="仿宋" w:eastAsia="仿宋" w:cs="仿宋"/>
          <w:b/>
          <w:bCs/>
          <w:color w:val="auto"/>
          <w:kern w:val="16"/>
          <w:sz w:val="72"/>
          <w:szCs w:val="72"/>
          <w:highlight w:val="none"/>
        </w:rPr>
      </w:pPr>
      <w:r>
        <w:rPr>
          <w:rFonts w:hint="eastAsia" w:ascii="仿宋" w:hAnsi="仿宋" w:eastAsia="仿宋" w:cs="仿宋"/>
          <w:b/>
          <w:bCs/>
          <w:color w:val="auto"/>
          <w:kern w:val="16"/>
          <w:sz w:val="72"/>
          <w:szCs w:val="72"/>
          <w:highlight w:val="none"/>
        </w:rPr>
        <w:t>建设工程施工合同</w:t>
      </w:r>
    </w:p>
    <w:p w14:paraId="2444A0DF">
      <w:pPr>
        <w:adjustRightInd w:val="0"/>
        <w:snapToGrid w:val="0"/>
        <w:spacing w:before="60" w:after="60" w:line="360" w:lineRule="auto"/>
        <w:ind w:right="-6" w:rightChars="-3"/>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 xml:space="preserve"> </w:t>
      </w:r>
    </w:p>
    <w:p w14:paraId="047F11EB">
      <w:pPr>
        <w:adjustRightInd w:val="0"/>
        <w:snapToGrid w:val="0"/>
        <w:spacing w:before="60" w:after="60" w:line="360" w:lineRule="auto"/>
        <w:ind w:right="-6" w:rightChars="-3"/>
        <w:rPr>
          <w:rFonts w:hint="eastAsia" w:ascii="仿宋" w:hAnsi="仿宋" w:eastAsia="仿宋" w:cs="仿宋"/>
          <w:color w:val="auto"/>
          <w:sz w:val="24"/>
          <w:highlight w:val="none"/>
        </w:rPr>
      </w:pPr>
    </w:p>
    <w:p w14:paraId="3A90CCDC">
      <w:pPr>
        <w:adjustRightInd w:val="0"/>
        <w:snapToGrid w:val="0"/>
        <w:spacing w:before="60" w:after="60" w:line="360" w:lineRule="auto"/>
        <w:ind w:right="-6" w:rightChars="-3"/>
        <w:rPr>
          <w:rFonts w:hint="eastAsia" w:ascii="仿宋" w:hAnsi="仿宋" w:eastAsia="仿宋" w:cs="仿宋"/>
          <w:color w:val="auto"/>
          <w:sz w:val="24"/>
          <w:highlight w:val="none"/>
        </w:rPr>
      </w:pPr>
    </w:p>
    <w:p w14:paraId="285DD92D">
      <w:pPr>
        <w:adjustRightInd w:val="0"/>
        <w:snapToGrid w:val="0"/>
        <w:spacing w:before="60" w:after="60" w:line="360" w:lineRule="auto"/>
        <w:ind w:right="-6" w:rightChars="-3"/>
        <w:rPr>
          <w:rFonts w:hint="eastAsia" w:ascii="仿宋" w:hAnsi="仿宋" w:eastAsia="仿宋" w:cs="仿宋"/>
          <w:color w:val="auto"/>
          <w:sz w:val="24"/>
          <w:highlight w:val="none"/>
        </w:rPr>
      </w:pPr>
    </w:p>
    <w:p w14:paraId="6E0DB79F">
      <w:pPr>
        <w:adjustRightInd w:val="0"/>
        <w:snapToGrid w:val="0"/>
        <w:spacing w:before="60" w:after="60" w:line="360" w:lineRule="auto"/>
        <w:ind w:right="-6" w:rightChars="-3"/>
        <w:rPr>
          <w:rFonts w:hint="eastAsia" w:ascii="仿宋" w:hAnsi="仿宋" w:eastAsia="仿宋" w:cs="仿宋"/>
          <w:color w:val="auto"/>
          <w:sz w:val="24"/>
          <w:highlight w:val="none"/>
        </w:rPr>
      </w:pPr>
    </w:p>
    <w:p w14:paraId="41245D45">
      <w:pPr>
        <w:adjustRightInd w:val="0"/>
        <w:snapToGrid w:val="0"/>
        <w:spacing w:before="60" w:after="60" w:line="360" w:lineRule="auto"/>
        <w:ind w:right="-6" w:rightChars="-3"/>
        <w:rPr>
          <w:rFonts w:hint="eastAsia" w:ascii="仿宋" w:hAnsi="仿宋" w:eastAsia="仿宋" w:cs="仿宋"/>
          <w:color w:val="auto"/>
          <w:sz w:val="24"/>
          <w:highlight w:val="none"/>
        </w:rPr>
      </w:pPr>
    </w:p>
    <w:p w14:paraId="119D8815">
      <w:pPr>
        <w:adjustRightInd w:val="0"/>
        <w:snapToGrid w:val="0"/>
        <w:spacing w:before="60" w:after="60" w:line="360" w:lineRule="auto"/>
        <w:ind w:right="-6" w:rightChars="-3"/>
        <w:rPr>
          <w:rFonts w:hint="eastAsia" w:ascii="仿宋" w:hAnsi="仿宋" w:eastAsia="仿宋" w:cs="仿宋"/>
          <w:color w:val="auto"/>
          <w:sz w:val="24"/>
          <w:highlight w:val="none"/>
        </w:rPr>
      </w:pPr>
    </w:p>
    <w:p w14:paraId="581181B0">
      <w:pPr>
        <w:adjustRightInd w:val="0"/>
        <w:snapToGrid w:val="0"/>
        <w:spacing w:before="60" w:after="60" w:line="360" w:lineRule="auto"/>
        <w:ind w:right="-6" w:rightChars="-3"/>
        <w:rPr>
          <w:rFonts w:hint="eastAsia" w:ascii="仿宋" w:hAnsi="仿宋" w:eastAsia="仿宋" w:cs="仿宋"/>
          <w:color w:val="auto"/>
          <w:sz w:val="24"/>
          <w:highlight w:val="none"/>
        </w:rPr>
      </w:pPr>
    </w:p>
    <w:p w14:paraId="392AC884">
      <w:pPr>
        <w:adjustRightInd w:val="0"/>
        <w:snapToGrid w:val="0"/>
        <w:spacing w:before="60" w:after="60" w:line="360" w:lineRule="auto"/>
        <w:ind w:right="-6" w:rightChars="-3"/>
        <w:rPr>
          <w:rFonts w:hint="eastAsia" w:ascii="仿宋" w:hAnsi="仿宋" w:eastAsia="仿宋" w:cs="仿宋"/>
          <w:color w:val="auto"/>
          <w:sz w:val="24"/>
          <w:highlight w:val="none"/>
        </w:rPr>
      </w:pPr>
    </w:p>
    <w:p w14:paraId="08C1DBBF">
      <w:pPr>
        <w:adjustRightInd w:val="0"/>
        <w:snapToGrid w:val="0"/>
        <w:spacing w:before="60" w:after="60" w:line="360" w:lineRule="auto"/>
        <w:ind w:right="-6" w:rightChars="-3"/>
        <w:rPr>
          <w:rFonts w:hint="eastAsia" w:ascii="仿宋" w:hAnsi="仿宋" w:eastAsia="仿宋" w:cs="仿宋"/>
          <w:color w:val="auto"/>
          <w:sz w:val="24"/>
          <w:highlight w:val="none"/>
        </w:rPr>
      </w:pPr>
    </w:p>
    <w:p w14:paraId="1C868AEC">
      <w:pPr>
        <w:adjustRightInd w:val="0"/>
        <w:snapToGrid w:val="0"/>
        <w:spacing w:before="60" w:after="60" w:line="360" w:lineRule="auto"/>
        <w:ind w:right="-6" w:rightChars="-3"/>
        <w:rPr>
          <w:rFonts w:hint="eastAsia" w:ascii="仿宋" w:hAnsi="仿宋" w:eastAsia="仿宋" w:cs="仿宋"/>
          <w:color w:val="auto"/>
          <w:sz w:val="24"/>
          <w:highlight w:val="none"/>
        </w:rPr>
      </w:pPr>
    </w:p>
    <w:p w14:paraId="7DEA0EB4">
      <w:pPr>
        <w:adjustRightInd w:val="0"/>
        <w:snapToGrid w:val="0"/>
        <w:spacing w:before="60" w:after="60" w:line="360" w:lineRule="auto"/>
        <w:ind w:right="-6" w:rightChars="-3"/>
        <w:rPr>
          <w:rFonts w:hint="eastAsia" w:ascii="仿宋" w:hAnsi="仿宋" w:eastAsia="仿宋" w:cs="仿宋"/>
          <w:color w:val="auto"/>
          <w:sz w:val="24"/>
          <w:highlight w:val="none"/>
        </w:rPr>
      </w:pPr>
    </w:p>
    <w:p w14:paraId="744D1FDB">
      <w:pPr>
        <w:adjustRightInd w:val="0"/>
        <w:snapToGrid w:val="0"/>
        <w:spacing w:before="60" w:after="60" w:line="360" w:lineRule="auto"/>
        <w:ind w:right="-6" w:rightChars="-3"/>
        <w:rPr>
          <w:rFonts w:hint="eastAsia" w:ascii="仿宋" w:hAnsi="仿宋" w:eastAsia="仿宋" w:cs="仿宋"/>
          <w:color w:val="auto"/>
          <w:sz w:val="24"/>
          <w:highlight w:val="none"/>
        </w:rPr>
      </w:pPr>
    </w:p>
    <w:p w14:paraId="27BE8B46">
      <w:pPr>
        <w:adjustRightInd w:val="0"/>
        <w:snapToGrid w:val="0"/>
        <w:spacing w:before="60" w:after="60" w:line="360" w:lineRule="auto"/>
        <w:ind w:right="-6" w:rightChars="-3"/>
        <w:rPr>
          <w:rFonts w:hint="eastAsia" w:ascii="仿宋" w:hAnsi="仿宋" w:eastAsia="仿宋" w:cs="仿宋"/>
          <w:color w:val="auto"/>
          <w:sz w:val="24"/>
          <w:highlight w:val="none"/>
        </w:rPr>
      </w:pPr>
    </w:p>
    <w:p w14:paraId="5980FA2D">
      <w:pPr>
        <w:adjustRightInd w:val="0"/>
        <w:snapToGrid w:val="0"/>
        <w:spacing w:before="60" w:after="60" w:line="360" w:lineRule="auto"/>
        <w:ind w:right="-6" w:rightChars="-3"/>
        <w:rPr>
          <w:rFonts w:hint="eastAsia" w:ascii="仿宋" w:hAnsi="仿宋" w:eastAsia="仿宋" w:cs="仿宋"/>
          <w:color w:val="auto"/>
          <w:sz w:val="24"/>
          <w:highlight w:val="none"/>
        </w:rPr>
      </w:pPr>
    </w:p>
    <w:p w14:paraId="3B32F1A9">
      <w:pPr>
        <w:adjustRightInd w:val="0"/>
        <w:snapToGrid w:val="0"/>
        <w:spacing w:before="60" w:after="60"/>
        <w:ind w:right="-6" w:rightChars="-3" w:firstLine="2411" w:firstLineChars="401"/>
        <w:rPr>
          <w:rFonts w:hint="eastAsia" w:ascii="仿宋" w:hAnsi="仿宋" w:eastAsia="仿宋" w:cs="仿宋"/>
          <w:b/>
          <w:bCs/>
          <w:color w:val="auto"/>
          <w:spacing w:val="140"/>
          <w:sz w:val="32"/>
          <w:szCs w:val="32"/>
          <w:highlight w:val="none"/>
        </w:rPr>
      </w:pPr>
      <w:r>
        <w:rPr>
          <w:rFonts w:hint="eastAsia" w:ascii="仿宋" w:hAnsi="仿宋" w:eastAsia="仿宋" w:cs="仿宋"/>
          <w:b/>
          <w:bCs/>
          <w:color w:val="auto"/>
          <w:spacing w:val="140"/>
          <w:sz w:val="32"/>
          <w:szCs w:val="32"/>
          <w:highlight w:val="none"/>
        </w:rPr>
        <w:t>陕西省建设厅</w:t>
      </w:r>
    </w:p>
    <w:p w14:paraId="11915611">
      <w:pPr>
        <w:adjustRightInd w:val="0"/>
        <w:snapToGrid w:val="0"/>
        <w:spacing w:before="60" w:after="60"/>
        <w:ind w:right="-6" w:rightChars="-3"/>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 xml:space="preserve">                     制 定</w:t>
      </w:r>
    </w:p>
    <w:p w14:paraId="4E68B6E5">
      <w:pPr>
        <w:adjustRightInd w:val="0"/>
        <w:snapToGrid w:val="0"/>
        <w:spacing w:before="60" w:after="60"/>
        <w:ind w:right="-6" w:rightChars="-3" w:firstLine="2416" w:firstLineChars="752"/>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陕西省工商行政管理局</w:t>
      </w:r>
    </w:p>
    <w:p w14:paraId="35A78FC0">
      <w:pPr>
        <w:adjustRightInd w:val="0"/>
        <w:snapToGrid w:val="0"/>
        <w:spacing w:before="60" w:after="60" w:line="360" w:lineRule="auto"/>
        <w:ind w:right="-6" w:rightChars="-3"/>
        <w:jc w:val="center"/>
        <w:rPr>
          <w:rFonts w:hint="eastAsia" w:ascii="仿宋" w:hAnsi="仿宋" w:eastAsia="仿宋" w:cs="仿宋"/>
          <w:color w:val="auto"/>
          <w:sz w:val="32"/>
          <w:szCs w:val="32"/>
          <w:highlight w:val="none"/>
        </w:rPr>
      </w:pPr>
    </w:p>
    <w:p w14:paraId="271FD824">
      <w:pPr>
        <w:adjustRightInd w:val="0"/>
        <w:snapToGrid w:val="0"/>
        <w:spacing w:before="60" w:after="60" w:line="360" w:lineRule="auto"/>
        <w:ind w:right="-6" w:rightChars="-3"/>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二○</w:t>
      </w:r>
      <w:r>
        <w:rPr>
          <w:rFonts w:hint="eastAsia" w:ascii="仿宋" w:hAnsi="仿宋" w:eastAsia="仿宋" w:cs="仿宋"/>
          <w:b/>
          <w:bCs/>
          <w:color w:val="auto"/>
          <w:sz w:val="32"/>
          <w:szCs w:val="32"/>
          <w:highlight w:val="none"/>
          <w:lang w:val="en-US" w:eastAsia="zh-CN"/>
        </w:rPr>
        <w:t>二四</w:t>
      </w:r>
      <w:r>
        <w:rPr>
          <w:rFonts w:hint="eastAsia" w:ascii="仿宋" w:hAnsi="仿宋" w:eastAsia="仿宋" w:cs="仿宋"/>
          <w:b/>
          <w:bCs/>
          <w:color w:val="auto"/>
          <w:sz w:val="32"/>
          <w:szCs w:val="32"/>
          <w:highlight w:val="none"/>
        </w:rPr>
        <w:t>年</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b/>
          <w:bCs/>
          <w:color w:val="auto"/>
          <w:sz w:val="32"/>
          <w:szCs w:val="32"/>
          <w:highlight w:val="none"/>
        </w:rPr>
        <w:t>月</w:t>
      </w:r>
    </w:p>
    <w:p w14:paraId="3B66840D">
      <w:pPr>
        <w:pStyle w:val="2"/>
        <w:spacing w:line="360" w:lineRule="auto"/>
        <w:ind w:right="-6" w:rightChars="-3"/>
        <w:jc w:val="center"/>
        <w:rPr>
          <w:rFonts w:hint="eastAsia" w:ascii="宋体" w:hAnsi="宋体" w:eastAsia="宋体" w:cs="宋体"/>
          <w:color w:val="auto"/>
          <w:sz w:val="36"/>
          <w:szCs w:val="36"/>
          <w:highlight w:val="none"/>
        </w:rPr>
        <w:sectPr>
          <w:pgSz w:w="11906" w:h="16838"/>
          <w:pgMar w:top="1440" w:right="1800" w:bottom="1440" w:left="1800" w:header="851" w:footer="992" w:gutter="0"/>
          <w:cols w:space="720" w:num="1"/>
          <w:docGrid w:type="lines" w:linePitch="312" w:charSpace="0"/>
        </w:sectPr>
      </w:pPr>
      <w:bookmarkStart w:id="0" w:name="_Toc173565637"/>
      <w:bookmarkStart w:id="1" w:name="_Toc534971323"/>
    </w:p>
    <w:p w14:paraId="7FD4839F">
      <w:pPr>
        <w:pStyle w:val="2"/>
        <w:spacing w:line="360" w:lineRule="auto"/>
        <w:ind w:right="-6" w:rightChars="-3"/>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 xml:space="preserve">第一部分  </w:t>
      </w:r>
      <w:bookmarkEnd w:id="0"/>
      <w:r>
        <w:rPr>
          <w:rFonts w:hint="eastAsia" w:ascii="宋体" w:hAnsi="宋体" w:eastAsia="宋体" w:cs="宋体"/>
          <w:color w:val="auto"/>
          <w:sz w:val="36"/>
          <w:szCs w:val="36"/>
          <w:highlight w:val="none"/>
        </w:rPr>
        <w:t>协议书</w:t>
      </w:r>
      <w:bookmarkEnd w:id="1"/>
    </w:p>
    <w:p w14:paraId="202FC64A">
      <w:pPr>
        <w:adjustRightInd w:val="0"/>
        <w:snapToGrid w:val="0"/>
        <w:spacing w:line="360" w:lineRule="auto"/>
        <w:ind w:right="-6" w:rightChars="-3"/>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蓝田县城市管理和综合执法局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226B1848">
      <w:pPr>
        <w:tabs>
          <w:tab w:val="left" w:pos="630"/>
        </w:tabs>
        <w:adjustRightInd w:val="0"/>
        <w:snapToGrid w:val="0"/>
        <w:spacing w:line="360" w:lineRule="auto"/>
        <w:ind w:right="-6" w:rightChars="-3"/>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承包人（全称）</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p>
    <w:p w14:paraId="33AA53D2">
      <w:pPr>
        <w:pStyle w:val="8"/>
        <w:ind w:left="0" w:right="-6" w:rightChars="-3"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依照《中华人民共和国</w:t>
      </w:r>
      <w:r>
        <w:rPr>
          <w:rFonts w:hint="eastAsia" w:ascii="宋体" w:hAnsi="宋体" w:eastAsia="宋体" w:cs="宋体"/>
          <w:color w:val="auto"/>
          <w:sz w:val="24"/>
          <w:szCs w:val="24"/>
          <w:highlight w:val="none"/>
          <w:lang w:val="en-US" w:eastAsia="zh-CN"/>
        </w:rPr>
        <w:t>民法典</w:t>
      </w:r>
      <w:r>
        <w:rPr>
          <w:rFonts w:hint="eastAsia" w:ascii="宋体" w:hAnsi="宋体" w:eastAsia="宋体" w:cs="宋体"/>
          <w:color w:val="auto"/>
          <w:sz w:val="24"/>
          <w:szCs w:val="24"/>
          <w:highlight w:val="none"/>
        </w:rPr>
        <w:t>》、《中华人民共和国建筑法》及其他有关法律、行政法规，遵循平等、自愿、公平和诚实信用的原则，双方就本建设工程施工协商一致，订立本合同。</w:t>
      </w:r>
    </w:p>
    <w:p w14:paraId="165C0932">
      <w:pPr>
        <w:numPr>
          <w:ilvl w:val="0"/>
          <w:numId w:val="1"/>
        </w:numPr>
        <w:adjustRightInd w:val="0"/>
        <w:snapToGrid w:val="0"/>
        <w:spacing w:before="160" w:line="360" w:lineRule="auto"/>
        <w:ind w:right="-6" w:rightChars="-3" w:firstLine="525" w:firstLineChars="218"/>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工程概况</w:t>
      </w:r>
    </w:p>
    <w:p w14:paraId="0F05BC1C">
      <w:pPr>
        <w:adjustRightInd w:val="0"/>
        <w:snapToGrid w:val="0"/>
        <w:spacing w:line="360" w:lineRule="auto"/>
        <w:ind w:right="-6" w:rightChars="-3" w:firstLine="523" w:firstLineChars="21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工程名称：</w:t>
      </w:r>
      <w:r>
        <w:rPr>
          <w:rFonts w:hint="eastAsia" w:ascii="宋体" w:hAnsi="宋体" w:cs="宋体"/>
          <w:color w:val="auto"/>
          <w:sz w:val="24"/>
          <w:szCs w:val="24"/>
          <w:highlight w:val="none"/>
          <w:u w:val="single"/>
          <w:lang w:eastAsia="zh-CN"/>
        </w:rPr>
        <w:t>2023年垃圾焚烧生态补偿费(2024年农村公厕改造)</w:t>
      </w:r>
    </w:p>
    <w:p w14:paraId="3EE6986B">
      <w:pPr>
        <w:adjustRightInd w:val="0"/>
        <w:snapToGrid w:val="0"/>
        <w:spacing w:line="360" w:lineRule="auto"/>
        <w:ind w:right="-6" w:rightChars="-3"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工程地点：</w:t>
      </w:r>
      <w:r>
        <w:rPr>
          <w:rFonts w:hint="eastAsia" w:ascii="宋体" w:hAnsi="宋体" w:eastAsia="宋体" w:cs="宋体"/>
          <w:color w:val="auto"/>
          <w:sz w:val="24"/>
          <w:szCs w:val="24"/>
          <w:highlight w:val="none"/>
          <w:u w:val="single"/>
        </w:rPr>
        <w:t xml:space="preserve">  </w:t>
      </w:r>
      <w:r>
        <w:rPr>
          <w:rFonts w:hint="eastAsia" w:ascii="宋体" w:hAnsi="宋体" w:cs="宋体"/>
          <w:b w:val="0"/>
          <w:bCs w:val="0"/>
          <w:color w:val="auto"/>
          <w:spacing w:val="-1"/>
          <w:sz w:val="24"/>
          <w:szCs w:val="24"/>
          <w:highlight w:val="none"/>
          <w:u w:val="single"/>
          <w:lang w:val="en-US" w:eastAsia="zh-CN"/>
        </w:rPr>
        <w:t>蓝田县</w:t>
      </w:r>
      <w:r>
        <w:rPr>
          <w:rFonts w:hint="eastAsia" w:ascii="宋体" w:hAnsi="宋体" w:eastAsia="宋体" w:cs="宋体"/>
          <w:color w:val="auto"/>
          <w:sz w:val="24"/>
          <w:szCs w:val="24"/>
          <w:highlight w:val="none"/>
          <w:u w:val="single"/>
        </w:rPr>
        <w:t xml:space="preserve">     </w:t>
      </w:r>
    </w:p>
    <w:p w14:paraId="73C33FE3">
      <w:pPr>
        <w:numPr>
          <w:ilvl w:val="0"/>
          <w:numId w:val="1"/>
        </w:numPr>
        <w:adjustRightInd w:val="0"/>
        <w:snapToGrid w:val="0"/>
        <w:spacing w:before="160" w:line="360" w:lineRule="auto"/>
        <w:ind w:right="-6" w:rightChars="-3" w:firstLine="525" w:firstLineChars="218"/>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工程承包范围 </w:t>
      </w:r>
    </w:p>
    <w:p w14:paraId="462DA1B8">
      <w:pPr>
        <w:adjustRightInd w:val="0"/>
        <w:snapToGrid w:val="0"/>
        <w:spacing w:line="360" w:lineRule="auto"/>
        <w:ind w:right="-6" w:rightChars="-3" w:firstLine="523" w:firstLineChars="218"/>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承包范围：</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图纸设计及工程量清单内容</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b/>
          <w:color w:val="auto"/>
          <w:sz w:val="24"/>
          <w:szCs w:val="24"/>
          <w:highlight w:val="none"/>
        </w:rPr>
        <w:t xml:space="preserve">         </w:t>
      </w:r>
    </w:p>
    <w:p w14:paraId="4CEDF648">
      <w:pPr>
        <w:numPr>
          <w:ilvl w:val="0"/>
          <w:numId w:val="1"/>
        </w:numPr>
        <w:adjustRightInd w:val="0"/>
        <w:snapToGrid w:val="0"/>
        <w:spacing w:before="160" w:line="360" w:lineRule="auto"/>
        <w:ind w:right="-6" w:rightChars="-3" w:firstLine="525" w:firstLineChars="218"/>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合同工期</w:t>
      </w:r>
    </w:p>
    <w:p w14:paraId="23591064">
      <w:pPr>
        <w:adjustRightInd w:val="0"/>
        <w:snapToGrid w:val="0"/>
        <w:spacing w:before="160" w:line="360" w:lineRule="auto"/>
        <w:ind w:right="-6" w:rightChars="-3"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总日历天数</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120</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val="en-US" w:eastAsia="zh-CN"/>
        </w:rPr>
        <w:t>日历</w:t>
      </w:r>
      <w:r>
        <w:rPr>
          <w:rFonts w:hint="eastAsia" w:ascii="宋体" w:hAnsi="宋体" w:eastAsia="宋体" w:cs="宋体"/>
          <w:color w:val="auto"/>
          <w:sz w:val="24"/>
          <w:szCs w:val="24"/>
          <w:highlight w:val="none"/>
        </w:rPr>
        <w:t>天</w:t>
      </w:r>
    </w:p>
    <w:p w14:paraId="1A981CE3">
      <w:pPr>
        <w:adjustRightInd w:val="0"/>
        <w:snapToGrid w:val="0"/>
        <w:spacing w:line="360" w:lineRule="auto"/>
        <w:ind w:right="-6" w:rightChars="-3"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年</w:t>
      </w:r>
      <w:r>
        <w:rPr>
          <w:rFonts w:hint="eastAsia" w:ascii="宋体" w:hAnsi="宋体" w:eastAsia="宋体" w:cs="宋体"/>
          <w:color w:val="auto"/>
          <w:sz w:val="24"/>
          <w:szCs w:val="24"/>
          <w:highlight w:val="none"/>
          <w:u w:val="single"/>
          <w:lang w:val="en-US" w:eastAsia="zh-CN"/>
        </w:rPr>
        <w:t xml:space="preserve">     月     日</w:t>
      </w:r>
      <w:r>
        <w:rPr>
          <w:rFonts w:hint="eastAsia" w:ascii="宋体" w:hAnsi="宋体" w:eastAsia="宋体" w:cs="宋体"/>
          <w:color w:val="auto"/>
          <w:sz w:val="24"/>
          <w:szCs w:val="24"/>
          <w:highlight w:val="none"/>
          <w:u w:val="single"/>
        </w:rPr>
        <w:t xml:space="preserve">      </w:t>
      </w:r>
    </w:p>
    <w:p w14:paraId="394D9A30">
      <w:pPr>
        <w:adjustRightInd w:val="0"/>
        <w:snapToGrid w:val="0"/>
        <w:spacing w:line="360" w:lineRule="auto"/>
        <w:ind w:right="-6" w:rightChars="-3" w:firstLine="523" w:firstLineChars="21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竣工日期：</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年</w:t>
      </w:r>
      <w:r>
        <w:rPr>
          <w:rFonts w:hint="eastAsia" w:ascii="宋体" w:hAnsi="宋体" w:eastAsia="宋体" w:cs="宋体"/>
          <w:color w:val="auto"/>
          <w:sz w:val="24"/>
          <w:szCs w:val="24"/>
          <w:highlight w:val="none"/>
          <w:u w:val="single"/>
          <w:lang w:val="en-US" w:eastAsia="zh-CN"/>
        </w:rPr>
        <w:t xml:space="preserve">     月     日</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4"/>
          <w:szCs w:val="24"/>
          <w:highlight w:val="none"/>
          <w:u w:val="single"/>
        </w:rPr>
        <w:t xml:space="preserve">   </w:t>
      </w:r>
    </w:p>
    <w:p w14:paraId="330F95C6">
      <w:pPr>
        <w:numPr>
          <w:ilvl w:val="0"/>
          <w:numId w:val="1"/>
        </w:numPr>
        <w:adjustRightInd w:val="0"/>
        <w:snapToGrid w:val="0"/>
        <w:spacing w:before="160" w:line="360" w:lineRule="auto"/>
        <w:ind w:right="-6" w:rightChars="-3" w:firstLine="525" w:firstLineChars="218"/>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质量标准</w:t>
      </w:r>
    </w:p>
    <w:p w14:paraId="71CCC19C">
      <w:pPr>
        <w:adjustRightInd w:val="0"/>
        <w:snapToGrid w:val="0"/>
        <w:spacing w:line="360" w:lineRule="auto"/>
        <w:ind w:right="-6" w:rightChars="-3" w:firstLine="523" w:firstLineChars="21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工程质量标准：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合格</w:t>
      </w:r>
      <w:r>
        <w:rPr>
          <w:rFonts w:hint="eastAsia" w:ascii="宋体" w:hAnsi="宋体" w:eastAsia="宋体" w:cs="宋体"/>
          <w:color w:val="auto"/>
          <w:sz w:val="24"/>
          <w:szCs w:val="24"/>
          <w:highlight w:val="none"/>
          <w:u w:val="single"/>
        </w:rPr>
        <w:t xml:space="preserve">  </w:t>
      </w:r>
    </w:p>
    <w:p w14:paraId="562BA623">
      <w:pPr>
        <w:adjustRightInd w:val="0"/>
        <w:snapToGrid w:val="0"/>
        <w:spacing w:line="360" w:lineRule="auto"/>
        <w:ind w:right="-6" w:rightChars="-3" w:firstLine="525" w:firstLineChars="218"/>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五、合同价款</w:t>
      </w:r>
    </w:p>
    <w:p w14:paraId="75556E6A">
      <w:pPr>
        <w:adjustRightInd w:val="0"/>
        <w:snapToGrid w:val="0"/>
        <w:spacing w:line="360" w:lineRule="auto"/>
        <w:ind w:right="-6" w:rightChars="-3"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1、合同总价(大写)：</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(人民币)元</w:t>
      </w:r>
    </w:p>
    <w:p w14:paraId="6D546E3F">
      <w:pPr>
        <w:adjustRightInd w:val="0"/>
        <w:snapToGrid w:val="0"/>
        <w:spacing w:line="360" w:lineRule="auto"/>
        <w:ind w:right="-6" w:rightChars="-3"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5656DF1B">
      <w:pPr>
        <w:rPr>
          <w:rFonts w:hint="eastAsia"/>
          <w:highlight w:val="none"/>
        </w:rPr>
      </w:pPr>
    </w:p>
    <w:p w14:paraId="7431B8BF">
      <w:pPr>
        <w:adjustRightInd w:val="0"/>
        <w:snapToGrid w:val="0"/>
        <w:spacing w:before="160" w:line="360" w:lineRule="auto"/>
        <w:ind w:left="420" w:right="-6" w:rightChars="-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六、组成合同的文件</w:t>
      </w:r>
    </w:p>
    <w:p w14:paraId="482881CE">
      <w:pPr>
        <w:adjustRightInd w:val="0"/>
        <w:snapToGrid w:val="0"/>
        <w:spacing w:line="360" w:lineRule="auto"/>
        <w:ind w:right="-6" w:rightChars="-3"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组成本合同的文件包括：</w:t>
      </w:r>
    </w:p>
    <w:p w14:paraId="6836A4C0">
      <w:pPr>
        <w:numPr>
          <w:ilvl w:val="1"/>
          <w:numId w:val="2"/>
        </w:numPr>
        <w:tabs>
          <w:tab w:val="left" w:pos="525"/>
          <w:tab w:val="clear" w:pos="1260"/>
        </w:tabs>
        <w:adjustRightInd w:val="0"/>
        <w:snapToGrid w:val="0"/>
        <w:spacing w:line="360" w:lineRule="auto"/>
        <w:ind w:left="0" w:right="-6" w:rightChars="-3"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本合同协议书 </w:t>
      </w:r>
    </w:p>
    <w:p w14:paraId="55D1E218">
      <w:pPr>
        <w:numPr>
          <w:ilvl w:val="1"/>
          <w:numId w:val="2"/>
        </w:numPr>
        <w:tabs>
          <w:tab w:val="left" w:pos="525"/>
          <w:tab w:val="clear" w:pos="1260"/>
        </w:tabs>
        <w:adjustRightInd w:val="0"/>
        <w:snapToGrid w:val="0"/>
        <w:spacing w:line="360" w:lineRule="auto"/>
        <w:ind w:left="0" w:right="-6" w:rightChars="-3"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本合同专用条款</w:t>
      </w:r>
    </w:p>
    <w:p w14:paraId="7E4E02D8">
      <w:pPr>
        <w:numPr>
          <w:ilvl w:val="1"/>
          <w:numId w:val="2"/>
        </w:numPr>
        <w:tabs>
          <w:tab w:val="left" w:pos="525"/>
          <w:tab w:val="clear" w:pos="1260"/>
        </w:tabs>
        <w:adjustRightInd w:val="0"/>
        <w:snapToGrid w:val="0"/>
        <w:spacing w:line="360" w:lineRule="auto"/>
        <w:ind w:left="0" w:right="-6" w:rightChars="-3"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本合同通用条款</w:t>
      </w:r>
    </w:p>
    <w:p w14:paraId="4EFBC9BA">
      <w:pPr>
        <w:numPr>
          <w:ilvl w:val="1"/>
          <w:numId w:val="2"/>
        </w:numPr>
        <w:tabs>
          <w:tab w:val="left" w:pos="525"/>
          <w:tab w:val="clear" w:pos="1260"/>
        </w:tabs>
        <w:adjustRightInd w:val="0"/>
        <w:snapToGrid w:val="0"/>
        <w:spacing w:line="360" w:lineRule="auto"/>
        <w:ind w:left="0" w:right="-6" w:rightChars="-3"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标准、规范及有关技术文件</w:t>
      </w:r>
    </w:p>
    <w:p w14:paraId="44B82EAC">
      <w:pPr>
        <w:tabs>
          <w:tab w:val="left" w:pos="525"/>
        </w:tabs>
        <w:adjustRightInd w:val="0"/>
        <w:snapToGrid w:val="0"/>
        <w:spacing w:line="360" w:lineRule="auto"/>
        <w:ind w:right="-6" w:rightChars="-3" w:firstLine="523" w:firstLineChars="218"/>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双方为履行本合同的有关洽商、变更等书面协议、文件视为本合同的组成部分。</w:t>
      </w:r>
    </w:p>
    <w:p w14:paraId="5C9E1CC3">
      <w:pPr>
        <w:tabs>
          <w:tab w:val="left" w:pos="1036"/>
        </w:tabs>
        <w:adjustRightInd w:val="0"/>
        <w:snapToGrid w:val="0"/>
        <w:spacing w:before="160" w:line="360" w:lineRule="auto"/>
        <w:ind w:left="420" w:right="-6" w:rightChars="-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七、本协议书中有关词语含义与本合同第二部分《通用条款》中赋予的定义相同。</w:t>
      </w:r>
    </w:p>
    <w:p w14:paraId="63D855BF">
      <w:pPr>
        <w:adjustRightInd w:val="0"/>
        <w:snapToGrid w:val="0"/>
        <w:spacing w:before="160" w:line="360" w:lineRule="auto"/>
        <w:ind w:left="420" w:right="-6" w:rightChars="-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八、承包人按照合同约定进行施工、竣工并在质量保修期内承担工程质量保修责任。</w:t>
      </w:r>
    </w:p>
    <w:p w14:paraId="6B279762">
      <w:pPr>
        <w:adjustRightInd w:val="0"/>
        <w:snapToGrid w:val="0"/>
        <w:spacing w:before="160" w:line="360" w:lineRule="auto"/>
        <w:ind w:left="420" w:right="-6" w:rightChars="-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九、发包人按照合同约定的期限和方式支付合同价款及其他应当支付的款项。</w:t>
      </w:r>
    </w:p>
    <w:p w14:paraId="01669DC3">
      <w:pPr>
        <w:adjustRightInd w:val="0"/>
        <w:snapToGrid w:val="0"/>
        <w:spacing w:before="160" w:line="360" w:lineRule="auto"/>
        <w:ind w:left="420" w:right="-6" w:rightChars="-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十、合同生效</w:t>
      </w:r>
    </w:p>
    <w:p w14:paraId="6DDB39F8">
      <w:pPr>
        <w:adjustRightInd w:val="0"/>
        <w:snapToGrid w:val="0"/>
        <w:spacing w:line="360" w:lineRule="auto"/>
        <w:ind w:right="-6" w:rightChars="-3"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10.1合同订立时间：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4DE381D">
      <w:pPr>
        <w:adjustRightInd w:val="0"/>
        <w:snapToGrid w:val="0"/>
        <w:spacing w:line="360" w:lineRule="auto"/>
        <w:ind w:right="-6" w:rightChars="-3" w:firstLine="523" w:firstLineChars="218"/>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 xml:space="preserve">10.2合同订立地点：  </w:t>
      </w:r>
      <w:r>
        <w:rPr>
          <w:rFonts w:hint="eastAsia" w:ascii="宋体" w:hAnsi="宋体" w:eastAsia="宋体" w:cs="宋体"/>
          <w:color w:val="auto"/>
          <w:sz w:val="24"/>
          <w:szCs w:val="24"/>
          <w:highlight w:val="none"/>
          <w:u w:val="single"/>
          <w:lang w:val="en-US" w:eastAsia="zh-CN"/>
        </w:rPr>
        <w:t xml:space="preserve">   蓝田县    </w:t>
      </w:r>
    </w:p>
    <w:p w14:paraId="64CCFA6E">
      <w:pPr>
        <w:adjustRightInd w:val="0"/>
        <w:snapToGrid w:val="0"/>
        <w:spacing w:line="360" w:lineRule="auto"/>
        <w:ind w:right="-6" w:rightChars="-3"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10.3本合同双方约定</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签字  </w:t>
      </w:r>
      <w:r>
        <w:rPr>
          <w:rFonts w:hint="eastAsia" w:ascii="宋体" w:hAnsi="宋体" w:eastAsia="宋体" w:cs="宋体"/>
          <w:color w:val="auto"/>
          <w:sz w:val="24"/>
          <w:szCs w:val="24"/>
          <w:highlight w:val="none"/>
        </w:rPr>
        <w:t>后生效。</w:t>
      </w:r>
    </w:p>
    <w:p w14:paraId="0F4BE0C2">
      <w:pPr>
        <w:adjustRightInd w:val="0"/>
        <w:snapToGrid w:val="0"/>
        <w:spacing w:line="360" w:lineRule="auto"/>
        <w:ind w:left="5339" w:leftChars="228" w:right="-6" w:rightChars="-3" w:hanging="4860" w:hangingChars="2025"/>
        <w:rPr>
          <w:rFonts w:hint="default" w:ascii="宋体" w:hAnsi="宋体" w:eastAsia="宋体" w:cs="宋体"/>
          <w:color w:val="0000FF"/>
          <w:sz w:val="24"/>
          <w:szCs w:val="24"/>
          <w:highlight w:val="none"/>
          <w:u w:val="single"/>
          <w:lang w:val="en-US" w:eastAsia="zh-CN"/>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蓝田县城市管理和综合执法局</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p>
    <w:p w14:paraId="4CA69D2D">
      <w:pPr>
        <w:autoSpaceDE w:val="0"/>
        <w:autoSpaceDN w:val="0"/>
        <w:adjustRightInd w:val="0"/>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法定代表人或其委托代理人：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法定代表人或其委托代理人：</w:t>
      </w:r>
    </w:p>
    <w:p w14:paraId="2D903C0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（签字或盖章）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（签字或盖章）</w:t>
      </w:r>
    </w:p>
    <w:p w14:paraId="0272B33F">
      <w:pPr>
        <w:adjustRightInd w:val="0"/>
        <w:snapToGrid w:val="0"/>
        <w:spacing w:line="360" w:lineRule="auto"/>
        <w:ind w:right="-6" w:rightChars="-3" w:firstLine="420" w:firstLineChars="175"/>
        <w:rPr>
          <w:rFonts w:hint="eastAsia" w:ascii="宋体" w:hAnsi="宋体" w:eastAsia="宋体" w:cs="宋体"/>
          <w:color w:val="auto"/>
          <w:sz w:val="24"/>
          <w:szCs w:val="24"/>
          <w:highlight w:val="none"/>
        </w:rPr>
      </w:pPr>
    </w:p>
    <w:p w14:paraId="2A4E6467">
      <w:pPr>
        <w:adjustRightInd w:val="0"/>
        <w:snapToGrid w:val="0"/>
        <w:spacing w:line="360" w:lineRule="auto"/>
        <w:ind w:left="5099" w:leftChars="228" w:right="-6" w:rightChars="-3" w:hanging="4620" w:hangingChars="192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地址：</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B26A3FA">
      <w:pPr>
        <w:adjustRightInd w:val="0"/>
        <w:snapToGrid w:val="0"/>
        <w:spacing w:line="360" w:lineRule="auto"/>
        <w:ind w:right="-6" w:rightChars="-3" w:firstLine="420" w:firstLineChars="175"/>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36CE3CB">
      <w:pPr>
        <w:pStyle w:val="2"/>
        <w:spacing w:line="360" w:lineRule="auto"/>
        <w:ind w:right="-6" w:rightChars="-3"/>
        <w:jc w:val="both"/>
        <w:rPr>
          <w:rFonts w:hint="eastAsia" w:ascii="宋体" w:hAnsi="宋体" w:eastAsia="宋体" w:cs="宋体"/>
          <w:color w:val="auto"/>
          <w:sz w:val="24"/>
          <w:szCs w:val="24"/>
          <w:highlight w:val="none"/>
        </w:rPr>
      </w:pPr>
      <w:bookmarkStart w:id="2" w:name="_Toc534971324"/>
      <w:bookmarkStart w:id="3" w:name="_Toc173565638"/>
    </w:p>
    <w:p w14:paraId="2BEA05CD">
      <w:pPr>
        <w:rPr>
          <w:rFonts w:hint="eastAsia" w:ascii="宋体" w:hAnsi="宋体" w:eastAsia="宋体" w:cs="宋体"/>
          <w:color w:val="auto"/>
          <w:sz w:val="24"/>
          <w:szCs w:val="24"/>
          <w:highlight w:val="none"/>
        </w:rPr>
      </w:pPr>
    </w:p>
    <w:p w14:paraId="5D5D1654">
      <w:pPr>
        <w:pStyle w:val="4"/>
        <w:rPr>
          <w:rFonts w:hint="eastAsia"/>
          <w:highlight w:val="none"/>
        </w:rPr>
      </w:pPr>
    </w:p>
    <w:p w14:paraId="70258A7A">
      <w:pPr>
        <w:rPr>
          <w:rFonts w:hint="eastAsia"/>
          <w:highlight w:val="none"/>
        </w:rPr>
      </w:pPr>
    </w:p>
    <w:p w14:paraId="3B14FD79">
      <w:pPr>
        <w:pStyle w:val="4"/>
        <w:rPr>
          <w:rFonts w:hint="eastAsia"/>
          <w:highlight w:val="none"/>
        </w:rPr>
      </w:pPr>
    </w:p>
    <w:p w14:paraId="5D736520">
      <w:pPr>
        <w:rPr>
          <w:rFonts w:hint="eastAsia"/>
          <w:highlight w:val="none"/>
        </w:rPr>
      </w:pPr>
    </w:p>
    <w:p w14:paraId="7D092EA8">
      <w:pPr>
        <w:pStyle w:val="4"/>
        <w:rPr>
          <w:rFonts w:hint="eastAsia"/>
        </w:rPr>
      </w:pPr>
    </w:p>
    <w:p w14:paraId="66E1B029">
      <w:pPr>
        <w:pStyle w:val="4"/>
        <w:rPr>
          <w:rFonts w:hint="eastAsia"/>
          <w:highlight w:val="none"/>
        </w:rPr>
      </w:pPr>
    </w:p>
    <w:p w14:paraId="71691B7E">
      <w:pPr>
        <w:pStyle w:val="2"/>
        <w:spacing w:line="360" w:lineRule="auto"/>
        <w:ind w:right="-6" w:rightChars="-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第二部分  通用条款</w:t>
      </w:r>
      <w:bookmarkEnd w:id="2"/>
      <w:bookmarkEnd w:id="3"/>
    </w:p>
    <w:p w14:paraId="6C38BF3C">
      <w:pPr>
        <w:spacing w:after="160" w:line="460" w:lineRule="exact"/>
        <w:ind w:firstLine="422"/>
        <w:jc w:val="left"/>
        <w:outlineLvl w:val="0"/>
        <w:rPr>
          <w:rFonts w:hint="eastAsia" w:ascii="宋体" w:hAnsi="宋体" w:eastAsia="宋体" w:cs="宋体"/>
          <w:b/>
          <w:color w:val="auto"/>
          <w:sz w:val="24"/>
          <w:szCs w:val="24"/>
          <w:highlight w:val="none"/>
        </w:rPr>
      </w:pPr>
      <w:bookmarkStart w:id="4" w:name="_Toc470593930"/>
      <w:r>
        <w:rPr>
          <w:rFonts w:hint="eastAsia" w:ascii="宋体" w:hAnsi="宋体" w:eastAsia="宋体" w:cs="宋体"/>
          <w:b/>
          <w:color w:val="auto"/>
          <w:sz w:val="24"/>
          <w:szCs w:val="24"/>
          <w:highlight w:val="none"/>
        </w:rPr>
        <w:t>一、词语定义及合同文件</w:t>
      </w:r>
      <w:bookmarkEnd w:id="4"/>
    </w:p>
    <w:p w14:paraId="31268C18">
      <w:pPr>
        <w:spacing w:after="160" w:line="460" w:lineRule="exact"/>
        <w:ind w:firstLine="420"/>
        <w:jc w:val="left"/>
        <w:outlineLvl w:val="0"/>
        <w:rPr>
          <w:rFonts w:hint="eastAsia" w:ascii="宋体" w:hAnsi="宋体" w:eastAsia="宋体" w:cs="宋体"/>
          <w:color w:val="auto"/>
          <w:sz w:val="24"/>
          <w:szCs w:val="24"/>
          <w:highlight w:val="none"/>
        </w:rPr>
      </w:pPr>
      <w:bookmarkStart w:id="5" w:name="_Toc470593931"/>
      <w:r>
        <w:rPr>
          <w:rFonts w:hint="eastAsia" w:ascii="宋体" w:hAnsi="宋体" w:eastAsia="宋体" w:cs="宋体"/>
          <w:color w:val="auto"/>
          <w:sz w:val="24"/>
          <w:szCs w:val="24"/>
          <w:highlight w:val="none"/>
        </w:rPr>
        <w:t>１、词语定义</w:t>
      </w:r>
      <w:bookmarkEnd w:id="5"/>
    </w:p>
    <w:p w14:paraId="0C50BE6F">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下列词语除专用条款另有约定外，应具有本条所赋予的定义：</w:t>
      </w:r>
    </w:p>
    <w:p w14:paraId="4ECF8CF4">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1.1通用条款：是根据法律、行政法规规定及建设工程施工的需要订立，通用于建设工程施工的条款。</w:t>
      </w:r>
    </w:p>
    <w:p w14:paraId="59E5D27A">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1.2专用条款：是发包人与承包人根据法律、行政法规规定，结合具体工程实际，经协商达成一致意见的条款，是对通用条款的具体化、补充或修改。</w:t>
      </w:r>
    </w:p>
    <w:p w14:paraId="4374B4A5">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1.3发包人：指在协议书中约定，具有工程发包主体资格和支付工程价款能力的当事人以及取得该当事人资格的合法继承人。</w:t>
      </w:r>
    </w:p>
    <w:p w14:paraId="75E9497D">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1.4承包人：指在协议书中约定，被发包人接受的具有工程施工承包主体资格的当事人以及取得该当事人资格的合法继承人。</w:t>
      </w:r>
    </w:p>
    <w:p w14:paraId="3FCF4F82">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1.5项目经理：指承包人在专用条款中指定的具有执业资格的负责施工管理和合同履行的代表。</w:t>
      </w:r>
    </w:p>
    <w:p w14:paraId="200CE662">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1.6设计单位：指发包人委托的负责本工程设计并取得相应工程设计资质等级证书的单位。</w:t>
      </w:r>
    </w:p>
    <w:p w14:paraId="06E9E61C">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1.7监理单位：指发包人委托的负责本工程监理并取得相应工程监理资质等级证书的单位。</w:t>
      </w:r>
    </w:p>
    <w:p w14:paraId="23418C03">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1.8工程师：指本工程监理单位委派的总监理工程师或发包人指定的履行本合同的代表，其具体身份和职权由发包人承包人在专用条款中约定。</w:t>
      </w:r>
    </w:p>
    <w:p w14:paraId="77673E37">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1.9工程造价管理部门：指国务院有关部门、县级以上人民政府建设行政主管部门或其委托的工程造价管理机构。</w:t>
      </w:r>
    </w:p>
    <w:p w14:paraId="3024206E">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1.10工程：指发包人承包人在协议书中约定的承包范围内的工程。</w:t>
      </w:r>
    </w:p>
    <w:p w14:paraId="6654CF65">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1.11工程量清单：表现拟建工程的分部分项工程项目、措施项目、其他项目名称和相应数量的明细清单。</w:t>
      </w:r>
    </w:p>
    <w:p w14:paraId="63B51E25">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1.12综合单价：完成工程量清单中一个规定计量单位项目所需的人工费、材料费、机械使用费、管理费和利润，并考虑风险因素。</w:t>
      </w:r>
    </w:p>
    <w:p w14:paraId="678025C7">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1.13合同价款：指发包人承包人在协议书中约定，发包人用以支付承包人按照合同约定完成承包范围内全部工程并承担质量保修责任的款项。</w:t>
      </w:r>
    </w:p>
    <w:p w14:paraId="6CAF5CFA">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1.14预留金：指发包人为可能发生的工程量变更而预留的款额。</w:t>
      </w:r>
    </w:p>
    <w:p w14:paraId="2349BD33">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1.15工程分包和材料购置费：指发包人将按有关规定准予分包的工作、指定分包人或指定材料供应商供应材料而预留的款额。</w:t>
      </w:r>
    </w:p>
    <w:p w14:paraId="0D95CE6E">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1.16总承包服务费：为配合协调发包人进行的工程分包和材料采购所需的费用。</w:t>
      </w:r>
    </w:p>
    <w:p w14:paraId="5115892D">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1.17零星工作项目费：完成发包人提出的工程量暂估的零星工作所需的费用。</w:t>
      </w:r>
    </w:p>
    <w:p w14:paraId="03F4DC2F">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1.18追加合同价款：指在合同履行中发生需要增加合同价款的情况，经发包人确认后按计算合同价款的方法增加的合同价款。</w:t>
      </w:r>
    </w:p>
    <w:p w14:paraId="74E5461B">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1.19费用：指不包含在合同价款之内的应当由发包人或承包人承担的经济支出。</w:t>
      </w:r>
    </w:p>
    <w:p w14:paraId="2FE739C7">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1.20工期：指发包人承包人在协议书中约定，按总日历天数（包括法定节假日）计算的承包天数。</w:t>
      </w:r>
    </w:p>
    <w:p w14:paraId="5CA4E371">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1.21开工日期：指发包人承包人在协议书中约定，承包人开始施工的绝对或相对的日期。</w:t>
      </w:r>
    </w:p>
    <w:p w14:paraId="52629F05">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1.22竣工日期：指发包人承包人在协议书中约定，承包人完成承包范围内工程的绝对或相对的日期。</w:t>
      </w:r>
    </w:p>
    <w:p w14:paraId="61C7BE63">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1.23图纸：指由发包人提供或由承包人提供并经发包人批准，满足承包人施工需要的所有图纸（包括配套说明和有关资料）。</w:t>
      </w:r>
    </w:p>
    <w:p w14:paraId="7243B658">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1.24施工场地：指由发包人提供的用于工程施工的场所以及发包人在图纸中具体指定的供施工使用的任何其他场所。</w:t>
      </w:r>
    </w:p>
    <w:p w14:paraId="562AAC6B">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1.25书面形式：指合同书、信件和数据电文（包括电报、电传、传真、电子数据交换和电子邮件）等可以有形地表现所载内容的形式。</w:t>
      </w:r>
    </w:p>
    <w:p w14:paraId="0B514CD9">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1.26违约责任：指合同一方不履行合同义务或履行合同义务不符合约定所应承担的责任。</w:t>
      </w:r>
    </w:p>
    <w:p w14:paraId="34CDEBE8">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1.27索赔：指在合同履行过程中，对于并非自己的过错，而是应由对方承担责任的情况造成的实际损失，向对方提出经济补偿和（或）工期顺延的要求。</w:t>
      </w:r>
    </w:p>
    <w:p w14:paraId="75E4E132">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1.28不可抗力：指不能预见、不能避免并不能克服的客观情况。</w:t>
      </w:r>
    </w:p>
    <w:p w14:paraId="5B289C57">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DE64EAB">
      <w:pPr>
        <w:spacing w:after="160" w:line="460" w:lineRule="exact"/>
        <w:ind w:firstLine="420"/>
        <w:jc w:val="left"/>
        <w:outlineLvl w:val="0"/>
        <w:rPr>
          <w:rFonts w:hint="eastAsia" w:ascii="宋体" w:hAnsi="宋体" w:eastAsia="宋体" w:cs="宋体"/>
          <w:color w:val="auto"/>
          <w:sz w:val="24"/>
          <w:szCs w:val="24"/>
          <w:highlight w:val="none"/>
        </w:rPr>
      </w:pPr>
      <w:bookmarkStart w:id="6" w:name="_Toc470593932"/>
      <w:r>
        <w:rPr>
          <w:rFonts w:hint="eastAsia" w:ascii="宋体" w:hAnsi="宋体" w:eastAsia="宋体" w:cs="宋体"/>
          <w:color w:val="auto"/>
          <w:sz w:val="24"/>
          <w:szCs w:val="24"/>
          <w:highlight w:val="none"/>
        </w:rPr>
        <w:t>２、合同文件及解释顺序</w:t>
      </w:r>
      <w:bookmarkEnd w:id="6"/>
    </w:p>
    <w:p w14:paraId="040D8795">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2.1合同文件应能相互解释，互为说明。除专用条款另有约定外，组成本合同的文件及优先解释顺序如下：</w:t>
      </w:r>
    </w:p>
    <w:p w14:paraId="209E19FB">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1、本合同协议书</w:t>
      </w:r>
    </w:p>
    <w:p w14:paraId="3AA7A47B">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2、本合同专用条款</w:t>
      </w:r>
    </w:p>
    <w:p w14:paraId="00E1C704">
      <w:pPr>
        <w:spacing w:after="160" w:line="460" w:lineRule="exact"/>
        <w:ind w:firstLine="420"/>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3、本合同通用条款</w:t>
      </w:r>
    </w:p>
    <w:p w14:paraId="3782AB00">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、标准、规范及有关技术文件</w:t>
      </w:r>
    </w:p>
    <w:p w14:paraId="2418537D">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双方为履行本合同的有关洽商、变更等书面协议、文件，视为本合同的组成部分。</w:t>
      </w:r>
    </w:p>
    <w:p w14:paraId="4C1A1875">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30704283">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3、语言文字和适用法律、标准及规范</w:t>
      </w:r>
    </w:p>
    <w:p w14:paraId="32777C9A">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3.1语言文字</w:t>
      </w:r>
    </w:p>
    <w:p w14:paraId="7C426101">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本合同文件使用汉语语言文字书写、解释和说明。如专用条款约定使用两种以上（含两种）语言文字时，汉语应为解释和说明本合同的标准语言文字。</w:t>
      </w:r>
    </w:p>
    <w:p w14:paraId="38113DEE">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3.2适用法律和法规</w:t>
      </w:r>
    </w:p>
    <w:p w14:paraId="18AC81CF">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本合同文件适用国家的法律和行政法规。需要明示的法律、行政法规，由双方在专用条款中约定。</w:t>
      </w:r>
    </w:p>
    <w:p w14:paraId="02C11EBB">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3.3适用标准、规范</w:t>
      </w:r>
    </w:p>
    <w:p w14:paraId="06F4EF9C">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BD9919E">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4B181F6">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本条所发生的购买、翻译标准、规范或制定施工工艺的费用，由发包人承担。</w:t>
      </w:r>
    </w:p>
    <w:p w14:paraId="57942868">
      <w:pPr>
        <w:spacing w:after="160" w:line="460" w:lineRule="exact"/>
        <w:ind w:firstLine="420"/>
        <w:jc w:val="left"/>
        <w:outlineLvl w:val="0"/>
        <w:rPr>
          <w:rFonts w:hint="eastAsia" w:ascii="宋体" w:hAnsi="宋体" w:eastAsia="宋体" w:cs="宋体"/>
          <w:color w:val="auto"/>
          <w:sz w:val="24"/>
          <w:szCs w:val="24"/>
          <w:highlight w:val="none"/>
        </w:rPr>
      </w:pPr>
      <w:bookmarkStart w:id="7" w:name="_Toc470593933"/>
      <w:r>
        <w:rPr>
          <w:rFonts w:hint="eastAsia" w:ascii="宋体" w:hAnsi="宋体" w:eastAsia="宋体" w:cs="宋体"/>
          <w:color w:val="auto"/>
          <w:sz w:val="24"/>
          <w:szCs w:val="24"/>
          <w:highlight w:val="none"/>
        </w:rPr>
        <w:t>４、图纸</w:t>
      </w:r>
      <w:bookmarkEnd w:id="7"/>
    </w:p>
    <w:p w14:paraId="56B608CF">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9E745CF">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4.2承包人未经发包人同意，不得将本工程图纸转给第三人。工程质量保修期满后，除承包人存档需要的图纸外，应将全部图纸退还给发包人。</w:t>
      </w:r>
    </w:p>
    <w:p w14:paraId="66726E72">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4.3承包人应在施工现场保留一套完整图纸，供工程师及有关人员进行工程检查时使用。</w:t>
      </w:r>
    </w:p>
    <w:p w14:paraId="027902E3">
      <w:pPr>
        <w:spacing w:after="160" w:line="460" w:lineRule="exact"/>
        <w:ind w:firstLine="422"/>
        <w:jc w:val="left"/>
        <w:outlineLvl w:val="0"/>
        <w:rPr>
          <w:rFonts w:hint="eastAsia" w:ascii="宋体" w:hAnsi="宋体" w:eastAsia="宋体" w:cs="宋体"/>
          <w:b/>
          <w:color w:val="auto"/>
          <w:sz w:val="24"/>
          <w:szCs w:val="24"/>
          <w:highlight w:val="none"/>
        </w:rPr>
      </w:pPr>
      <w:bookmarkStart w:id="8" w:name="_Toc470593934"/>
      <w:r>
        <w:rPr>
          <w:rFonts w:hint="eastAsia" w:ascii="宋体" w:hAnsi="宋体" w:eastAsia="宋体" w:cs="宋体"/>
          <w:b/>
          <w:color w:val="auto"/>
          <w:sz w:val="24"/>
          <w:szCs w:val="24"/>
          <w:highlight w:val="none"/>
        </w:rPr>
        <w:t>二、双方一般权利和义务</w:t>
      </w:r>
      <w:bookmarkEnd w:id="8"/>
    </w:p>
    <w:p w14:paraId="372B59C8">
      <w:pPr>
        <w:spacing w:after="160" w:line="460" w:lineRule="exact"/>
        <w:ind w:firstLine="420"/>
        <w:jc w:val="left"/>
        <w:outlineLvl w:val="0"/>
        <w:rPr>
          <w:rFonts w:hint="eastAsia" w:ascii="宋体" w:hAnsi="宋体" w:eastAsia="宋体" w:cs="宋体"/>
          <w:color w:val="auto"/>
          <w:sz w:val="24"/>
          <w:szCs w:val="24"/>
          <w:highlight w:val="none"/>
        </w:rPr>
      </w:pPr>
      <w:bookmarkStart w:id="9" w:name="_Toc470593935"/>
      <w:r>
        <w:rPr>
          <w:rFonts w:hint="eastAsia" w:ascii="宋体" w:hAnsi="宋体" w:eastAsia="宋体" w:cs="宋体"/>
          <w:color w:val="auto"/>
          <w:sz w:val="24"/>
          <w:szCs w:val="24"/>
          <w:highlight w:val="none"/>
        </w:rPr>
        <w:t>５、工程师</w:t>
      </w:r>
      <w:bookmarkEnd w:id="9"/>
    </w:p>
    <w:p w14:paraId="27412D1D">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5.1实行工程监理的，发包人应在实施监理前将委托的监理单位名称、监理内容及监理权限以书面形式通知承包人。</w:t>
      </w:r>
    </w:p>
    <w:p w14:paraId="6B2180AC">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1A9A0F79">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50F02467">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4A62A26D">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5.5除合同内有明确约定或经发包人同意外，负责监理的工程师无权解除本合同约定的承包人的任何权利与义务。</w:t>
      </w:r>
    </w:p>
    <w:p w14:paraId="185DE034">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5.6不实行工程监理的，本合同中工程师专指发包人派驻施工场地履行合同的代表，其具体职权由发包人在专用条款内写明。</w:t>
      </w:r>
    </w:p>
    <w:p w14:paraId="2DE81DFC">
      <w:pPr>
        <w:spacing w:after="160" w:line="460" w:lineRule="exact"/>
        <w:ind w:firstLine="420"/>
        <w:jc w:val="left"/>
        <w:outlineLvl w:val="0"/>
        <w:rPr>
          <w:rFonts w:hint="eastAsia" w:ascii="宋体" w:hAnsi="宋体" w:eastAsia="宋体" w:cs="宋体"/>
          <w:color w:val="auto"/>
          <w:sz w:val="24"/>
          <w:szCs w:val="24"/>
          <w:highlight w:val="none"/>
        </w:rPr>
      </w:pPr>
      <w:bookmarkStart w:id="10" w:name="_Toc470593936"/>
      <w:r>
        <w:rPr>
          <w:rFonts w:hint="eastAsia" w:ascii="宋体" w:hAnsi="宋体" w:eastAsia="宋体" w:cs="宋体"/>
          <w:color w:val="auto"/>
          <w:sz w:val="24"/>
          <w:szCs w:val="24"/>
          <w:highlight w:val="none"/>
        </w:rPr>
        <w:t>６、工程师的委派和指令</w:t>
      </w:r>
      <w:bookmarkEnd w:id="10"/>
    </w:p>
    <w:p w14:paraId="276BE19B">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52071071">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2F550849">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除工程师或工程师代表外，发包人派驻工地的其他人员均无权向承包人发出任何指令。</w:t>
      </w:r>
    </w:p>
    <w:p w14:paraId="4501249B">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E08B4E0">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1DE2C17">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本款规定同样适用于由工程师代表发出的指令、通知。</w:t>
      </w:r>
    </w:p>
    <w:p w14:paraId="5FD6694F">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63CC073">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6.4如需更换工程师，发包人应至少提前7天以书面形式通知承包人，后任继续行使合同文件约定的前任的职权，履行前任的义务。</w:t>
      </w:r>
    </w:p>
    <w:p w14:paraId="71FCCC7B">
      <w:pPr>
        <w:spacing w:after="160" w:line="460" w:lineRule="exact"/>
        <w:ind w:firstLine="420"/>
        <w:jc w:val="left"/>
        <w:outlineLvl w:val="0"/>
        <w:rPr>
          <w:rFonts w:hint="eastAsia" w:ascii="宋体" w:hAnsi="宋体" w:eastAsia="宋体" w:cs="宋体"/>
          <w:color w:val="auto"/>
          <w:sz w:val="24"/>
          <w:szCs w:val="24"/>
          <w:highlight w:val="none"/>
        </w:rPr>
      </w:pPr>
      <w:bookmarkStart w:id="11" w:name="_Toc470593937"/>
      <w:r>
        <w:rPr>
          <w:rFonts w:hint="eastAsia" w:ascii="宋体" w:hAnsi="宋体" w:eastAsia="宋体" w:cs="宋体"/>
          <w:color w:val="auto"/>
          <w:sz w:val="24"/>
          <w:szCs w:val="24"/>
          <w:highlight w:val="none"/>
        </w:rPr>
        <w:t>７、项目经理</w:t>
      </w:r>
      <w:bookmarkEnd w:id="11"/>
    </w:p>
    <w:p w14:paraId="1B095AAB">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7.1项目经理的姓名、职务在专用条款内写明。</w:t>
      </w:r>
    </w:p>
    <w:p w14:paraId="4D01E5C3">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7.2承包人依据合同发出的通知，以书面形式由项目经理签字后送交工程师，工程师在回执上签署姓名和收到时间后生效。</w:t>
      </w:r>
    </w:p>
    <w:p w14:paraId="4D98DC9B">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7B808BB9">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7.4承包人如需要更换项目经理，应至少提前7天以书面形式通知发包人，并征得发包人同意。后任继续行使合同文件约定的前任的职权，履行前任的义务。</w:t>
      </w:r>
    </w:p>
    <w:p w14:paraId="07EF041A">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7.5发包人可以与承包人协商，建议更换其认为不称职的项目经理。</w:t>
      </w:r>
    </w:p>
    <w:p w14:paraId="56A13937">
      <w:pPr>
        <w:spacing w:after="160" w:line="460" w:lineRule="exact"/>
        <w:ind w:firstLine="420"/>
        <w:jc w:val="left"/>
        <w:outlineLvl w:val="0"/>
        <w:rPr>
          <w:rFonts w:hint="eastAsia" w:ascii="宋体" w:hAnsi="宋体" w:eastAsia="宋体" w:cs="宋体"/>
          <w:color w:val="auto"/>
          <w:sz w:val="24"/>
          <w:szCs w:val="24"/>
          <w:highlight w:val="none"/>
        </w:rPr>
      </w:pPr>
      <w:bookmarkStart w:id="12" w:name="_Toc470593938"/>
      <w:r>
        <w:rPr>
          <w:rFonts w:hint="eastAsia" w:ascii="宋体" w:hAnsi="宋体" w:eastAsia="宋体" w:cs="宋体"/>
          <w:color w:val="auto"/>
          <w:sz w:val="24"/>
          <w:szCs w:val="24"/>
          <w:highlight w:val="none"/>
        </w:rPr>
        <w:t>８、发包人工作</w:t>
      </w:r>
      <w:bookmarkEnd w:id="12"/>
    </w:p>
    <w:p w14:paraId="3291133E">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8.1发包人按专用条款约定的内容和时间完成以下工作：</w:t>
      </w:r>
    </w:p>
    <w:p w14:paraId="0E442E35">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（1）办理土地征用、拆迁补偿、平整施工场地等工作，使施工场地具备施工条件，在开工后继续负责解决以上事项遗留问题；</w:t>
      </w:r>
    </w:p>
    <w:p w14:paraId="09ED4DAB">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（2）将施工所需水、电、电讯线路从施工场地外部接至专用条款约定地点，保证施工期间的需要；</w:t>
      </w:r>
    </w:p>
    <w:p w14:paraId="70241514">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（3）开通施工场地与城乡公共道路的通道，以及专用条款约定的施工场地内的主要道路，满足施工运输的需要，保证施工期间的畅通；</w:t>
      </w:r>
    </w:p>
    <w:p w14:paraId="70593A2C">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（4）向承包人提供施工场地的工程地质和地下管线资料，对资料的真实准确性负责；</w:t>
      </w:r>
    </w:p>
    <w:p w14:paraId="3146C675">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（5）办理施工许可证及其它施工所需批件和临时用地、停水、停电、中断道路交通、爆破作业等的证件申请批准手续（证明承包人自身资质的证件除外）；</w:t>
      </w:r>
    </w:p>
    <w:p w14:paraId="4BCF7AAF">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（6）确定水准点与坐标控制点，以书面形式交给承包人，进行现场交验；</w:t>
      </w:r>
    </w:p>
    <w:p w14:paraId="442706B9">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（7）组织承包人和设计单位进行图纸会审和设计交底；</w:t>
      </w:r>
    </w:p>
    <w:p w14:paraId="65DC8992">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（8）协调处理施工场地周围地下管线和邻近建筑物、构筑物（包括文物保护建筑）、古树名木的保护工作、承担有关费用；</w:t>
      </w:r>
    </w:p>
    <w:p w14:paraId="2422E4D5">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（9）发包人应做的其他工作，双方在专用条款内约定。</w:t>
      </w:r>
    </w:p>
    <w:p w14:paraId="5B9B25FE">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8.2发包人可以将8.1款部分工作委托承包人办理，双方在专用条款内约定，其费用由发包人承担。</w:t>
      </w:r>
    </w:p>
    <w:p w14:paraId="060F438C">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8.3发包人未能履行8.1款各项义务，导致工期延误或给承包人造成损失的，发包人赔偿承包人有关损失，顺延延误的工期。</w:t>
      </w:r>
    </w:p>
    <w:p w14:paraId="33E7C4CC">
      <w:pPr>
        <w:spacing w:after="160" w:line="460" w:lineRule="exact"/>
        <w:ind w:firstLine="420"/>
        <w:jc w:val="left"/>
        <w:outlineLvl w:val="0"/>
        <w:rPr>
          <w:rFonts w:hint="eastAsia" w:ascii="宋体" w:hAnsi="宋体" w:eastAsia="宋体" w:cs="宋体"/>
          <w:color w:val="auto"/>
          <w:sz w:val="24"/>
          <w:szCs w:val="24"/>
          <w:highlight w:val="none"/>
        </w:rPr>
      </w:pPr>
      <w:bookmarkStart w:id="13" w:name="_Toc470593939"/>
      <w:r>
        <w:rPr>
          <w:rFonts w:hint="eastAsia" w:ascii="宋体" w:hAnsi="宋体" w:eastAsia="宋体" w:cs="宋体"/>
          <w:color w:val="auto"/>
          <w:sz w:val="24"/>
          <w:szCs w:val="24"/>
          <w:highlight w:val="none"/>
        </w:rPr>
        <w:t>９、承包人工作</w:t>
      </w:r>
      <w:bookmarkEnd w:id="13"/>
    </w:p>
    <w:p w14:paraId="1A845DBE">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9.1承包人按专用条款约定的内容和时间完成以下工作：</w:t>
      </w:r>
    </w:p>
    <w:p w14:paraId="2736FCDA">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（1）根据发包人委托，在其设计资质等级和业务允许的范围内，完成施工图设计或与工程配套的设计，经工程师确认后使用，发包人承担由此发生的费用；</w:t>
      </w:r>
    </w:p>
    <w:p w14:paraId="6C0C911B">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（2）向工程师提供年、季、月度工程进度计划及相应进度统计报表；</w:t>
      </w:r>
    </w:p>
    <w:p w14:paraId="746F0476">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（3）根据工程需要，提供和维修非夜间施工使用的照明、围栏设施；负责施工现场安全保卫；</w:t>
      </w:r>
    </w:p>
    <w:p w14:paraId="62BBA63F">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（4）按专用条款约定的数量和要求，向发包人提供施工场地办公和生活的房屋及设施，发包人承担由此发生的费用；</w:t>
      </w:r>
    </w:p>
    <w:p w14:paraId="18AE4254">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（5）遵守政府有关主管部门对施工场地安全防护、文明施工、环境保护以及场地交通等的管理规定，按规定办理有关手续，并以书面形式通知发包人。</w:t>
      </w:r>
    </w:p>
    <w:p w14:paraId="26DCD48B">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0ABC344">
      <w:pPr>
        <w:spacing w:after="160" w:line="460" w:lineRule="exact"/>
        <w:ind w:firstLine="420"/>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（7）按专用条款约定做好施工场地地下管线和邻近建筑物、构筑物（包括文物保护建筑）、古树名木的保护工作</w:t>
      </w:r>
      <w:r>
        <w:rPr>
          <w:rFonts w:hint="eastAsia" w:ascii="宋体" w:hAnsi="宋体" w:eastAsia="宋体" w:cs="宋体"/>
          <w:b/>
          <w:color w:val="auto"/>
          <w:sz w:val="24"/>
          <w:szCs w:val="24"/>
          <w:highlight w:val="none"/>
        </w:rPr>
        <w:t>；</w:t>
      </w:r>
    </w:p>
    <w:p w14:paraId="6129B9B4">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（8）保证施工场地清洁符合环境卫生管理的有关规定，交工前清理现场达到专用条款约定的要求，承担因自身原因违反有关规定造成的损失和罚款；</w:t>
      </w:r>
    </w:p>
    <w:p w14:paraId="03690EC8">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（9）承包人应做的其他工作，双方在专用条款内约定。</w:t>
      </w:r>
    </w:p>
    <w:p w14:paraId="4B5A21D8">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9.2承包人未能履行9.1款各项义务，造成发包人损失的，承包人赔偿发包人有关损失。</w:t>
      </w:r>
    </w:p>
    <w:p w14:paraId="4D9DFADE">
      <w:pPr>
        <w:spacing w:after="160" w:line="460" w:lineRule="exact"/>
        <w:ind w:firstLine="422"/>
        <w:jc w:val="left"/>
        <w:outlineLvl w:val="0"/>
        <w:rPr>
          <w:rFonts w:hint="eastAsia" w:ascii="宋体" w:hAnsi="宋体" w:eastAsia="宋体" w:cs="宋体"/>
          <w:b/>
          <w:color w:val="auto"/>
          <w:sz w:val="24"/>
          <w:szCs w:val="24"/>
          <w:highlight w:val="none"/>
        </w:rPr>
      </w:pPr>
      <w:bookmarkStart w:id="14" w:name="_Toc470593940"/>
      <w:r>
        <w:rPr>
          <w:rFonts w:hint="eastAsia" w:ascii="宋体" w:hAnsi="宋体" w:eastAsia="宋体" w:cs="宋体"/>
          <w:b/>
          <w:color w:val="auto"/>
          <w:sz w:val="24"/>
          <w:szCs w:val="24"/>
          <w:highlight w:val="none"/>
        </w:rPr>
        <w:t>三、施工组织设计和工期</w:t>
      </w:r>
      <w:bookmarkEnd w:id="14"/>
    </w:p>
    <w:p w14:paraId="7093D9D7">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10、进度计划</w:t>
      </w:r>
    </w:p>
    <w:p w14:paraId="7749D38C">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0DE54E2F">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10.2群体工程中单位工程分期进行施工的，承包人应按照发包人提供图纸及有关资料的时间，按单位工程编制进度计划，其具体内容双方在专用条款中约定。</w:t>
      </w:r>
    </w:p>
    <w:p w14:paraId="2B8F15AF">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7F35E327">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11、开工及延期开工</w:t>
      </w:r>
    </w:p>
    <w:p w14:paraId="69A403C2">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766E5969">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11.2因发包人原因不能按照协议书约定的开工日期开工，工程师应以书面形式通知承包人，推迟开工日期。发包人赔偿承包人因延期开工造成的损失，并相应顺延工期。</w:t>
      </w:r>
    </w:p>
    <w:p w14:paraId="78A8D552">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12、暂停施工</w:t>
      </w:r>
    </w:p>
    <w:p w14:paraId="5811DCC6">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376FEC73">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13、工期延误</w:t>
      </w:r>
    </w:p>
    <w:p w14:paraId="7164C5A2">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13.1因以下原因造成工期延误，经工程师确认，工期相应顺延：</w:t>
      </w:r>
    </w:p>
    <w:p w14:paraId="6ACAFB7F">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（1）发包人未能按专用条款的约定提供图纸及开工条件；</w:t>
      </w:r>
    </w:p>
    <w:p w14:paraId="3C334E13">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（2）发包人未能按约定日期支付工程预付款、进度款，致使施工不能正常进行；</w:t>
      </w:r>
    </w:p>
    <w:p w14:paraId="164D64D6">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（3）工程师未按合同约定提供所需指令、批准等，致使施工不能正常进行；</w:t>
      </w:r>
    </w:p>
    <w:p w14:paraId="5EF6C7EE">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（4）设计变更和工程量增加；</w:t>
      </w:r>
    </w:p>
    <w:p w14:paraId="07DF8CE8">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（5）一周内非承包人原因停水、停电、停气造成停工累计超过8小时；</w:t>
      </w:r>
    </w:p>
    <w:p w14:paraId="1769C10A">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（6）不可抗力；</w:t>
      </w:r>
    </w:p>
    <w:p w14:paraId="144621B4">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（7）专用条款中约定或工程师同意工期顺延的其他情况。</w:t>
      </w:r>
    </w:p>
    <w:p w14:paraId="36802EDB">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13.2承包人在13.1款情况发生后14天内，就延误的工期以书面形式向工程师提出报告。工程师在收到报告后14天内予以确认，逾期不予确认也不提出修改意见，视为同意顺延工期。</w:t>
      </w:r>
    </w:p>
    <w:p w14:paraId="7D621869">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14、工程竣工</w:t>
      </w:r>
    </w:p>
    <w:p w14:paraId="305253A6">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14.1承包人必须按照协议书约定的竣工日期或工程师同意顺延的工期竣工。</w:t>
      </w:r>
    </w:p>
    <w:p w14:paraId="4D86C486">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14.2因承包人原因不能按照协议书约定的竣工日期或工程师同意顺延的工期竣工的，承包人承担违约责任。</w:t>
      </w:r>
    </w:p>
    <w:p w14:paraId="0750BE55">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27E5822">
      <w:pPr>
        <w:spacing w:after="160" w:line="460" w:lineRule="exact"/>
        <w:ind w:firstLine="422"/>
        <w:jc w:val="left"/>
        <w:outlineLvl w:val="0"/>
        <w:rPr>
          <w:rFonts w:hint="eastAsia" w:ascii="宋体" w:hAnsi="宋体" w:eastAsia="宋体" w:cs="宋体"/>
          <w:b/>
          <w:color w:val="auto"/>
          <w:sz w:val="24"/>
          <w:szCs w:val="24"/>
          <w:highlight w:val="none"/>
        </w:rPr>
      </w:pPr>
      <w:bookmarkStart w:id="15" w:name="_Toc470593941"/>
      <w:r>
        <w:rPr>
          <w:rFonts w:hint="eastAsia" w:ascii="宋体" w:hAnsi="宋体" w:eastAsia="宋体" w:cs="宋体"/>
          <w:b/>
          <w:color w:val="auto"/>
          <w:sz w:val="24"/>
          <w:szCs w:val="24"/>
          <w:highlight w:val="none"/>
        </w:rPr>
        <w:t>四、质量与检验</w:t>
      </w:r>
      <w:bookmarkEnd w:id="15"/>
    </w:p>
    <w:p w14:paraId="189506A4">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15、工程质量</w:t>
      </w:r>
    </w:p>
    <w:p w14:paraId="5435BC5B">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15.1工程质量应当达到协议书约定的质量标准，质量标准的评定以国家或行业的质量检验评定标准为依据。因承包人原因工程质量达不到约定的质量标准，承包人承担违约责任。</w:t>
      </w:r>
    </w:p>
    <w:p w14:paraId="7DF5DBCE">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15.2双方对工程质量有争议，由双方同意的工程质量检测机构鉴定，所需费用及因此造成的损失，由责任方承担。双方均有责任，由双方根据其责任分别承担。</w:t>
      </w:r>
    </w:p>
    <w:p w14:paraId="27574C1B">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16、检查和返工</w:t>
      </w:r>
    </w:p>
    <w:p w14:paraId="4F081158">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16.1承包人应认真按照标准、规范和设计图纸要求以及工程师依据合同发出的指令施工，随时接受工程师的检查检验，为检查检验提供便利条件。</w:t>
      </w:r>
    </w:p>
    <w:p w14:paraId="15436ECD">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35A4434A">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13F14188">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16.4因工程师指令失误或其他非承包人原因发生的追加合同价款，由发包人承担。</w:t>
      </w:r>
    </w:p>
    <w:p w14:paraId="32554738">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17、隐蔽工程和中间验收</w:t>
      </w:r>
    </w:p>
    <w:p w14:paraId="0BEB19BC">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28EB9C4">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695CFAE2">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17.3经工程师验收，工程质量符合标准、规范和设计图纸等要求，验收24小时后，工程师不在验收记录上签字，视为工程师已经认可验收记录，承包人可进行隐蔽或继续施工。</w:t>
      </w:r>
    </w:p>
    <w:p w14:paraId="25B913F8">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18、重新检验</w:t>
      </w:r>
    </w:p>
    <w:p w14:paraId="342EAADE">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93734E0">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19、工程试车</w:t>
      </w:r>
    </w:p>
    <w:p w14:paraId="137C1765">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19.1双方约定需要试车的，试车内容应与承包人承包的安装范围相一致。</w:t>
      </w:r>
    </w:p>
    <w:p w14:paraId="55B11E78">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5E4D3FF5">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19.3工程师不能按时参加试车，须在开始试车前24小时以书面形式向承包人提出延期要求，延期不能超过48小时。工程师未能按以上时间提出延期要求，不参加试车，应承认试车记录。</w:t>
      </w:r>
    </w:p>
    <w:p w14:paraId="1C79EC0F">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7B76B8F6">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19.5双方责任</w:t>
      </w:r>
    </w:p>
    <w:p w14:paraId="241E23AC">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6A4FE9FB">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232969D8">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（3）由于承包人施工原因试车达不到验收要求，承包人按工程师要求重新安装和试车，并承担重新安装和试车的费用，工期不予顺延。</w:t>
      </w:r>
    </w:p>
    <w:p w14:paraId="20CB9BE2">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（4）试车费用除已包括在合同价款之内或专用条款另有约定外，均由发包人承担。</w:t>
      </w:r>
    </w:p>
    <w:p w14:paraId="06CAA70D">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（5）工程师在试车合格后不在试车记录上签字，试车结束24小时后，视为工程师已经认可试车记录，承包人可继续施工或办理竣工手续。</w:t>
      </w:r>
    </w:p>
    <w:p w14:paraId="2EEFF729">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19.6投料试车应在工程竣工验收后由发包人负责，如发包人要求在工程竣工验收前进行或需要承包人配合时，应征得承包人同意，另行签订补充协议。</w:t>
      </w:r>
    </w:p>
    <w:p w14:paraId="6026EC7F">
      <w:pPr>
        <w:spacing w:after="160" w:line="460" w:lineRule="exact"/>
        <w:ind w:firstLine="422"/>
        <w:jc w:val="left"/>
        <w:outlineLvl w:val="0"/>
        <w:rPr>
          <w:rFonts w:hint="eastAsia" w:ascii="宋体" w:hAnsi="宋体" w:eastAsia="宋体" w:cs="宋体"/>
          <w:b/>
          <w:color w:val="auto"/>
          <w:sz w:val="24"/>
          <w:szCs w:val="24"/>
          <w:highlight w:val="none"/>
        </w:rPr>
      </w:pPr>
      <w:bookmarkStart w:id="16" w:name="_Toc470593942"/>
      <w:r>
        <w:rPr>
          <w:rFonts w:hint="eastAsia" w:ascii="宋体" w:hAnsi="宋体" w:eastAsia="宋体" w:cs="宋体"/>
          <w:b/>
          <w:color w:val="auto"/>
          <w:sz w:val="24"/>
          <w:szCs w:val="24"/>
          <w:highlight w:val="none"/>
        </w:rPr>
        <w:t>五、安全防护、文明施工</w:t>
      </w:r>
      <w:bookmarkEnd w:id="16"/>
    </w:p>
    <w:p w14:paraId="6AA8A5AC">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20、发包人责任</w:t>
      </w:r>
    </w:p>
    <w:p w14:paraId="14C0DB7F">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　发包人应遵守安全防护和文明施工的规定，督促承包人落实安全防护、文明施工措施，并按规定支付安全防护、文明施工措施费。</w:t>
      </w:r>
    </w:p>
    <w:p w14:paraId="669AEAD1">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　发包人应对其在施工现场人员进行安全防护、文明施工教育，并对他们的安全负责。</w:t>
      </w:r>
    </w:p>
    <w:p w14:paraId="581E0E8E">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495F82EF">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　发包人违反上述规定或由于发包人原因导致安全事故的，由发包人承担相应责任和费用，顺延延误的工期。</w:t>
      </w:r>
    </w:p>
    <w:p w14:paraId="4EBCAB51">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21、承包人责任</w:t>
      </w:r>
    </w:p>
    <w:p w14:paraId="36FA9E9C">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　承包人应遵守安全防护和文明施工的规定，建立健全安全防护和文明施工的制度，对其在施工现场人员进行安全防护、文明施工教育，并对他们的安全负责。</w:t>
      </w:r>
    </w:p>
    <w:p w14:paraId="3D9F44F3">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　完善安全防护和文明施工条件，严格按照安全防护和文明施工的规定组织施工，采取必要的安全防护措施，消除事故隐患，自觉接受和配合依法实施的监督检查。</w:t>
      </w:r>
    </w:p>
    <w:p w14:paraId="7DEC3EB8">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77622D50">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应按规定的范围使用安全文明措施费，保证专款专用，不得挪作它用。</w:t>
      </w:r>
    </w:p>
    <w:p w14:paraId="19FF3553">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21.5　承包人对合同工程的安全施工负责，并应及时、如实报告生产安全事故。承包人违反上述规定或由于承包人原因造成的安全事故，由承包人承担相应责任和费用，工期不予顺延。</w:t>
      </w:r>
    </w:p>
    <w:p w14:paraId="626AC78C">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336524B7">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62A18103">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24、事故处理</w:t>
      </w:r>
    </w:p>
    <w:p w14:paraId="4E698520">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24.1发生伤亡及其他安全事故，承包人应按有关规定立即上报有关部门并通知工程师，同时按政府有关部门要求处理，由事故责任方承担发生的费用。</w:t>
      </w:r>
    </w:p>
    <w:p w14:paraId="39E288E5">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24.2发包人承包人对事故责任有争议时，应按政府有关部门的认定处理。</w:t>
      </w:r>
    </w:p>
    <w:p w14:paraId="556387D7">
      <w:pPr>
        <w:spacing w:after="160" w:line="460" w:lineRule="exact"/>
        <w:ind w:firstLine="422"/>
        <w:jc w:val="left"/>
        <w:outlineLvl w:val="0"/>
        <w:rPr>
          <w:rFonts w:hint="eastAsia" w:ascii="宋体" w:hAnsi="宋体" w:eastAsia="宋体" w:cs="宋体"/>
          <w:b/>
          <w:color w:val="auto"/>
          <w:sz w:val="24"/>
          <w:szCs w:val="24"/>
          <w:highlight w:val="none"/>
        </w:rPr>
      </w:pPr>
      <w:bookmarkStart w:id="17" w:name="_Toc470593943"/>
      <w:r>
        <w:rPr>
          <w:rFonts w:hint="eastAsia" w:ascii="宋体" w:hAnsi="宋体" w:eastAsia="宋体" w:cs="宋体"/>
          <w:b/>
          <w:color w:val="auto"/>
          <w:sz w:val="24"/>
          <w:szCs w:val="24"/>
          <w:highlight w:val="none"/>
        </w:rPr>
        <w:t>六、合同价款</w:t>
      </w:r>
      <w:bookmarkEnd w:id="17"/>
    </w:p>
    <w:p w14:paraId="1FCF3AC7">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25、工程的计量规则和计价办法以《陕西省建设工程工程量清单计价规则》及相关规定为准，工程师应按照合同约定，依据上述规定进行工程计量和计价。</w:t>
      </w:r>
    </w:p>
    <w:p w14:paraId="02D46670">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26、合同价款约定</w:t>
      </w:r>
    </w:p>
    <w:p w14:paraId="397EFDD3">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26.1工程的合同价款由发包人承包人依据中标通知书中的中标价格在协议书内约定。非招标工程的合同价款由发包人承包人依据双方确认的工程预算书在协议书内约定。</w:t>
      </w:r>
    </w:p>
    <w:p w14:paraId="754A0A90">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26.2合同价款在协议书内约定后，任何一方不得擅自改变。下列三种确定合同价款的方式，双方可在专用条款内约定采用其中一种：</w:t>
      </w:r>
    </w:p>
    <w:p w14:paraId="7F6E5CDF">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（1）固定总价合同。合同工期较短且工程合同总价较低的工程，可以采用固定总价合同方式。</w:t>
      </w:r>
    </w:p>
    <w:p w14:paraId="15FC11D4">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58695BF7">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（3）可调价格合同。可调价格包括可调综合单价和措施项目费用等，双方应在专用条款内约定综合单价和措施项目费的调整方法。</w:t>
      </w:r>
    </w:p>
    <w:p w14:paraId="0AD0F4FF">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27、合同价款调整</w:t>
      </w:r>
    </w:p>
    <w:p w14:paraId="77C42612">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27.1价格中工程量、综合单价、措施项目费用的调整因素包括：</w:t>
      </w:r>
    </w:p>
    <w:p w14:paraId="71CF0F68">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（1）法律、行政法规和国家有关政策变化影响合同价款；</w:t>
      </w:r>
    </w:p>
    <w:p w14:paraId="4937514C">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（2）工程造价管理机构的价格调整；</w:t>
      </w:r>
    </w:p>
    <w:p w14:paraId="24ADF33A">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（3）经批准的设计变更；</w:t>
      </w:r>
    </w:p>
    <w:p w14:paraId="2E86996A">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（4）发包人更改经审定批准的施工组织设计（修正错误除外）造成费用变化；</w:t>
      </w:r>
    </w:p>
    <w:p w14:paraId="0DB1AD60">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（5）工程量清单的工程数量与实际工程量不符，按实际工程量进行调整计算；</w:t>
      </w:r>
    </w:p>
    <w:p w14:paraId="0497EB21">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（6）费用索赔事件或发包人负责的其他情况；</w:t>
      </w:r>
    </w:p>
    <w:p w14:paraId="72C38EBD">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（7）双方在专用条款中约定的其他因素。</w:t>
      </w:r>
    </w:p>
    <w:p w14:paraId="7B90B5ED">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134679A0">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28、工程预付款</w:t>
      </w:r>
    </w:p>
    <w:p w14:paraId="3B14A556">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CD23F06">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28.2安全防护和文明施工措施费应在专用条款中约定预付方式。合同工期在一年以内的，预付比例不得低于总额的70%；合同工期在一年以上的（含一年），预付比例不得低于总额的50%。</w:t>
      </w:r>
    </w:p>
    <w:p w14:paraId="7712FE78">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29、已完工程量确认</w:t>
      </w:r>
    </w:p>
    <w:p w14:paraId="10B86309">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014653DA">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1D97800">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29.3对承包人超出设计图纸（含设计变更）范围和因承包人原因造成返工的工程量，工程师不予计量。</w:t>
      </w:r>
    </w:p>
    <w:p w14:paraId="50AAD110">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30、工程进度款结算与支付</w:t>
      </w:r>
    </w:p>
    <w:p w14:paraId="42AE9C29">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30.1　双方应在专用条款内约定工程进度款结算支付方式。结算支付方式分为按月结算支付与分阶段结算支付。</w:t>
      </w:r>
    </w:p>
    <w:p w14:paraId="297B80CA">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30.2在确认计量结果后14天内，发包人应向承包人支付不低于应付款额75%、不高于应付款额90%的工程进度款。按约定时间发包人应扣回的预付款，与工程进度款同期结算抵扣。</w:t>
      </w:r>
    </w:p>
    <w:p w14:paraId="71BC9329">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30.3本通用条款第27条确定调整的合同价款，第35条工程变更调整的合同价款及其他条款中约定的追加合同价款，应与工程进度款同期调整支付。</w:t>
      </w:r>
    </w:p>
    <w:p w14:paraId="03C29785">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66F9434">
      <w:pPr>
        <w:spacing w:after="160" w:line="460" w:lineRule="exact"/>
        <w:ind w:firstLine="42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30.5发包人不按合同约定支付工程进度款，双方又未达成延期付款协议，导致施工无法进行，承包人可停止施工，由发包人承担违约责任。</w:t>
      </w:r>
    </w:p>
    <w:p w14:paraId="128C28EE">
      <w:pPr>
        <w:spacing w:after="160" w:line="460" w:lineRule="exact"/>
        <w:ind w:firstLine="422"/>
        <w:outlineLvl w:val="0"/>
        <w:rPr>
          <w:rFonts w:hint="eastAsia" w:ascii="宋体" w:hAnsi="宋体" w:eastAsia="宋体" w:cs="宋体"/>
          <w:b/>
          <w:color w:val="auto"/>
          <w:sz w:val="24"/>
          <w:szCs w:val="24"/>
          <w:highlight w:val="none"/>
        </w:rPr>
      </w:pPr>
      <w:bookmarkStart w:id="18" w:name="_Toc470593944"/>
      <w:r>
        <w:rPr>
          <w:rFonts w:hint="eastAsia" w:ascii="宋体" w:hAnsi="宋体" w:eastAsia="宋体" w:cs="宋体"/>
          <w:b/>
          <w:color w:val="auto"/>
          <w:sz w:val="24"/>
          <w:szCs w:val="24"/>
          <w:highlight w:val="none"/>
        </w:rPr>
        <w:t>七、材料设备供应</w:t>
      </w:r>
      <w:bookmarkEnd w:id="18"/>
    </w:p>
    <w:p w14:paraId="3B1A2B5D">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31、发包人供应材料设备</w:t>
      </w:r>
    </w:p>
    <w:p w14:paraId="300B3FFD">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1F807D49">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0A059260">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45C4BA6">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31.4发包人供应的材料设备与一览表不符时，发包人承担有关责任。发包人应承担责任的具体内容，双方根据下列情况在专用条款内约定：</w:t>
      </w:r>
    </w:p>
    <w:p w14:paraId="197953BE">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（1）材料设备单价与一览表不符，由发包人承担所有价差；</w:t>
      </w:r>
    </w:p>
    <w:p w14:paraId="4D05DE86">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（2）材料设备的品种、规格、型号、质量等级与一览表不符，承包人可拒绝接收保管，由发包人运出施工场地并重新采购；</w:t>
      </w:r>
    </w:p>
    <w:p w14:paraId="3FA2915F">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（3）发包人供应的材料规格、型号与一览表不符，经发包人同意，承包人可代为调剂串换，由发包人承担相应费用；</w:t>
      </w:r>
    </w:p>
    <w:p w14:paraId="3D1CB195">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（4）到货地点与一览表不符，由发包人负责运至一览表指定地点；</w:t>
      </w:r>
    </w:p>
    <w:p w14:paraId="28707EA8">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（5）供应数量少于一览表约定的数量时，由发包人补齐，多于一览表约定数量时，发包人负责将多出部分运出施工场地；</w:t>
      </w:r>
    </w:p>
    <w:p w14:paraId="7F21BC22">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（6）到货时间早于一览表约定时间，由发包人承担因此发生的保管费用；到货时间迟于一览表约定的供应时间，发包人赔偿由此造成的承包人损失，造成工期延误的，相应顺延工期；</w:t>
      </w:r>
    </w:p>
    <w:p w14:paraId="35F421DC">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31.5发包人供应的材料设备使用前，由承包人负责检验或试验，不合格的不得使用，检验或试验费用由发包人承担。</w:t>
      </w:r>
    </w:p>
    <w:p w14:paraId="367C7607">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31.6发包人供应材料设备的结算方法，双方在专用条款内约定。</w:t>
      </w:r>
    </w:p>
    <w:p w14:paraId="7032332F">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32、承包人采购材料设备</w:t>
      </w:r>
    </w:p>
    <w:p w14:paraId="52A0DC97">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32.1承包人负责采购材料设备的，应按照专用条款约定及设计和有关标准要求采购，并提供产品合格证明，对材料设备质量负责。承包人在材料设备到货前24小时通知工程师清点。</w:t>
      </w:r>
    </w:p>
    <w:p w14:paraId="1A9C9E20">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32.2承包人采购的材料设备与设计标准要求不符时，承包人应按工程师要求的时间运出施工场地，重新采购符合要求的产品，承担由此发生的费用，由此延误的工期不予顺延。</w:t>
      </w:r>
    </w:p>
    <w:p w14:paraId="2B7AE328">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32.3承包人采购的材料设备在使用前，承包人应按工程师的要求进行检验或试验，不合格的不得使用，检验或试验费用由承包人承担。</w:t>
      </w:r>
    </w:p>
    <w:p w14:paraId="0CA4A8A9">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32.4工程师发现承包人采购并使用不符合设计和标准要求的材料设备时，应要求承包人负责修复、拆除或重新采购，由承包人承担发生的费用，由此延误的工期不予顺延。</w:t>
      </w:r>
    </w:p>
    <w:p w14:paraId="6923BA5A">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32.5承包人需要使用代用材料时，应经工程师认可后才能使用，由此增减的合同价款双方以书面形式议定。</w:t>
      </w:r>
    </w:p>
    <w:p w14:paraId="36241724">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32.6由承包人采购的材料设备，发包人不得指定生产厂或供应商。</w:t>
      </w:r>
    </w:p>
    <w:p w14:paraId="661AA40D">
      <w:pPr>
        <w:spacing w:after="160" w:line="460" w:lineRule="exact"/>
        <w:ind w:firstLine="42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八、工程变更</w:t>
      </w:r>
    </w:p>
    <w:p w14:paraId="4D7D0C5C">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33、工程设计变更</w:t>
      </w:r>
    </w:p>
    <w:p w14:paraId="6E7D0E9D">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60B7B912">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（1）更改工程有关部分的标高、基线、位置和尺寸；</w:t>
      </w:r>
    </w:p>
    <w:p w14:paraId="2649676C">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（2）增减合同中约定的工程量；</w:t>
      </w:r>
    </w:p>
    <w:p w14:paraId="24633F0C">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（3）改变有关工程的施工时间和顺序；</w:t>
      </w:r>
    </w:p>
    <w:p w14:paraId="3790C044">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（4）其他有关工程变更需要的附加工作。</w:t>
      </w:r>
    </w:p>
    <w:p w14:paraId="70C23945">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因变更导致合同价款的增减及造成的承包人损失，由发包人承担，延误的工期相应顺延。</w:t>
      </w:r>
    </w:p>
    <w:p w14:paraId="4093A09B">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33.2施工中承包人不得对原工程设计进行变更。因承包人擅自变更设计发生的费用和由此导致发包人的直接损失，由承包人承担，延误的工期不予顺延。</w:t>
      </w:r>
    </w:p>
    <w:p w14:paraId="7801B536">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3B4370EA">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34、其他变更</w:t>
      </w:r>
    </w:p>
    <w:p w14:paraId="2634F6DB">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合同履行中发包人要求变更工程质量标准及发生其他实质性变更，由双方协商解决。</w:t>
      </w:r>
    </w:p>
    <w:p w14:paraId="6D553441">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35、确定变更价款</w:t>
      </w:r>
    </w:p>
    <w:p w14:paraId="1BAF28DA">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35.1承包人在工程变更确定后14天内，提出变更工程价款的报告，经工程师确认后调整合同价款。变更合同价款按下列方法进行：</w:t>
      </w:r>
    </w:p>
    <w:p w14:paraId="6346B3B2">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（1）合同中已有适用于变更工程的综合单价或价格，按合同已有的综合单价或价格变更合同价款；</w:t>
      </w:r>
    </w:p>
    <w:p w14:paraId="0CCCC72C">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（2）合同中只有类似于变更工程的综合单价或价格，可以参照类似综合单价或价格变更合同价款；</w:t>
      </w:r>
    </w:p>
    <w:p w14:paraId="01C8F944">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（3）合同中没有适用或类似于变更工程的综合单价或价格，由承包人或发包人提出综合单价或价格，经双方确认后执行。</w:t>
      </w:r>
    </w:p>
    <w:p w14:paraId="4B54E4A0">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35.2承包人在双方确定变更后14天内应向工程师提出变更工程价款报告，否则发包人可根据所掌握的资料决定是否调整合同价款和调整的具体金额，并书面通知承包人。</w:t>
      </w:r>
    </w:p>
    <w:p w14:paraId="0BFDA2FA">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6737AE2B">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35.4发承包双方对变更价款不能达成一致时，按本通用条款第41条关于争议的约定处理。</w:t>
      </w:r>
    </w:p>
    <w:p w14:paraId="34DE79AD">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35.5因承包人自身原因导致的工程变更，承包人无权要求追加合同价款。</w:t>
      </w:r>
    </w:p>
    <w:p w14:paraId="630759EE">
      <w:pPr>
        <w:spacing w:after="160" w:line="460" w:lineRule="exact"/>
        <w:ind w:firstLine="42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九、竣工验收与结算</w:t>
      </w:r>
    </w:p>
    <w:p w14:paraId="51EA8823">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36、竣工验收</w:t>
      </w:r>
    </w:p>
    <w:p w14:paraId="5EF0F361">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267AD99E">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36.2发包人收到竣工验收报告后28天内组织有关单位验收，并在验收后14天内给予认可或提出修改意见。承包人按要求修改，并承担由自身原因造成修改的费用。</w:t>
      </w:r>
    </w:p>
    <w:p w14:paraId="52FA799D">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36.3发包人收到承包人送交的竣工验收报告后28天内不组织验收，或验收后14天内不提出修改意见，视为竣工验收报告已被认可。</w:t>
      </w:r>
    </w:p>
    <w:p w14:paraId="2A9DD29B">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36.4工程竣工验收通过，承包人送交竣工验收报告的日期为实际竣工日期。工程按发包人要求修改后通过竣工验收的，实际竣工日期为承包人修改后提请发包人验收的日期。</w:t>
      </w:r>
    </w:p>
    <w:p w14:paraId="30256064">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36.5发包人收到承包人竣工验收报告后28天内不组织验收，从第29天起承担工程保管及一切意外责任。</w:t>
      </w:r>
    </w:p>
    <w:p w14:paraId="7A24B2AF">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36.6中间交工工程的范围和竣工时间，双方在专用条款内约定，其验收程序按本通用条款36.1款至36.4款办理。</w:t>
      </w:r>
    </w:p>
    <w:p w14:paraId="24C8AA65">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36.7因特殊原因，发包人要求部分单位工程或工程部位甩项竣工的，双方另行签订甩项竣工协议，明确双方责任和工程价款的支付方法。</w:t>
      </w:r>
    </w:p>
    <w:p w14:paraId="2C3F5816">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36.8工程未经竣工验收或竣工验收未通过的，发包人不得使用。发包人强行使用时，由此发生的质量及其他问题，由发包人承担责任。</w:t>
      </w:r>
    </w:p>
    <w:p w14:paraId="5C008F33">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37、竣工结算</w:t>
      </w:r>
    </w:p>
    <w:p w14:paraId="5BFA1015">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37.1工程竣工结算分为单位工程竣工结算、单项工程竣工结算和建设项目竣工总结算。</w:t>
      </w:r>
    </w:p>
    <w:p w14:paraId="3429D8AB">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4FB0B19">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建设项目总结算在最后一个单项工程竣工结算审查确认后，一般在15天以内向发包人提交竣工结算汇总资料。</w:t>
      </w:r>
    </w:p>
    <w:p w14:paraId="2F4D802E">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14C6E75">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37.4承包人收到竣工结算价款后14天内将竣工工程交付发包人。</w:t>
      </w:r>
    </w:p>
    <w:p w14:paraId="75358D36">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37.5发包人收到承包人建设项目竣工总结算汇总资料后30天内，审查完成。</w:t>
      </w:r>
    </w:p>
    <w:p w14:paraId="031DC7FD">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37.6发包人收到竣工结算报告及结算资料后，在本条规定期限内对结算报告及资料没有提出意见则视同认可。</w:t>
      </w:r>
    </w:p>
    <w:p w14:paraId="06D55BD0">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76D76BE">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31B82060">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37.9发包人承包人对工程竣工结算价款发生争议时，按本通用条款第41条关于争议的约定处理。</w:t>
      </w:r>
    </w:p>
    <w:p w14:paraId="429537B5">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38、质量保证</w:t>
      </w:r>
    </w:p>
    <w:p w14:paraId="0C6A04F1">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38.1承包人应按法律、行政法规或国家关于工程质量保修的有关规定，对交付发包人使用的工程在质量保修期内承担质量保修责任。</w:t>
      </w:r>
    </w:p>
    <w:p w14:paraId="596A346A">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54AA234F">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（1）保证金预留、返还方式；</w:t>
      </w:r>
    </w:p>
    <w:p w14:paraId="627D1840">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（2）保证金预留比例、期限；</w:t>
      </w:r>
    </w:p>
    <w:p w14:paraId="6E659997">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（3）保证金是否计付利息，如计利息，利息的计算方式；</w:t>
      </w:r>
    </w:p>
    <w:p w14:paraId="221524AB">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（4）缺陷责任期的期限及计算方式；</w:t>
      </w:r>
    </w:p>
    <w:p w14:paraId="663014FE">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（5）保证金预留、返还及工程维修质量、费用等争议的处理程序；</w:t>
      </w:r>
    </w:p>
    <w:p w14:paraId="0462E832">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（6）缺陷责任期内出现缺陷的索赔方式。</w:t>
      </w:r>
    </w:p>
    <w:p w14:paraId="31F610EE">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38.3质量保修书的主要内容包括：</w:t>
      </w:r>
    </w:p>
    <w:p w14:paraId="184EB7B8">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（1）质量保修项目内容及范围；</w:t>
      </w:r>
    </w:p>
    <w:p w14:paraId="2D7F1096">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（2）质量保修期；</w:t>
      </w:r>
    </w:p>
    <w:p w14:paraId="761BAEBF">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（3）质量保修责任；</w:t>
      </w:r>
    </w:p>
    <w:p w14:paraId="512C588B">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（4）质量保修金的支付方法。</w:t>
      </w:r>
    </w:p>
    <w:p w14:paraId="28584AB2">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38.4质量保证金按工程价款结算总额5%以内的比例预留。</w:t>
      </w:r>
    </w:p>
    <w:p w14:paraId="3F67A6B4">
      <w:pPr>
        <w:spacing w:after="160" w:line="460" w:lineRule="exact"/>
        <w:ind w:firstLine="42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十、违约、索赔和争议</w:t>
      </w:r>
    </w:p>
    <w:p w14:paraId="186A81D0">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39、违约</w:t>
      </w:r>
    </w:p>
    <w:p w14:paraId="0069C4AB">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39.1发包人违约。当发生下列情况时：</w:t>
      </w:r>
    </w:p>
    <w:p w14:paraId="48BB7311">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（1）本通用条款第28.1款提到的发包人不按时支付工程预付款；</w:t>
      </w:r>
    </w:p>
    <w:p w14:paraId="76083BE2">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（2）本通用条款第30.5款提到的发包人不按合同约定支付工程款，导致施工无法进行；</w:t>
      </w:r>
    </w:p>
    <w:p w14:paraId="733A4D1E">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（3）本通用条款第37.6款提到的发包人无正当理由不支付工程竣工结算价款；</w:t>
      </w:r>
    </w:p>
    <w:p w14:paraId="41328984">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（4）发包人不履行合同义务或不按合同约定履行义务的其他情况。</w:t>
      </w:r>
    </w:p>
    <w:p w14:paraId="5B12CA85">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33609B91">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39.2承包人违约。当发生下列情况时：</w:t>
      </w:r>
    </w:p>
    <w:p w14:paraId="156FEE33">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（1）本通用条款第14.2款提到的因承包人原因不能按照协议书约定的竣工日期或工程师同意顺延的工期竣工；</w:t>
      </w:r>
    </w:p>
    <w:p w14:paraId="5238D89B">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（2）本通用条款第15.1款提到的因承包人原因工程质量达不到协议书约定的质量标准；</w:t>
      </w:r>
    </w:p>
    <w:p w14:paraId="06A46F34">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（3）承包人不履行合同义务或不按合同约定履行义务的其他情况。</w:t>
      </w:r>
    </w:p>
    <w:p w14:paraId="300A4FCE">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承包人承担违约责任，赔偿因其违约给发包人造成的损失。双方在专用条款内约定承包人赔偿发包人损失的计算方法或者承包人应当支付违约金的数额和计算方法。</w:t>
      </w:r>
    </w:p>
    <w:p w14:paraId="68BBDE76">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39.3一方违约后，另一方要求违约方继续履行合同时，违约方承担上述违约责任后仍应继续履行合同。</w:t>
      </w:r>
    </w:p>
    <w:p w14:paraId="43FE7EBA">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40、索赔</w:t>
      </w:r>
    </w:p>
    <w:p w14:paraId="4B9937F4">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40.1当一方向另一方提出索赔时，要有正当索赔理由，且有索赔事件发生时的有效证据。</w:t>
      </w:r>
    </w:p>
    <w:p w14:paraId="0000D557">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3CB2464">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（1）索赔事件发生后28天内，向工程师发出索赔意向通知；</w:t>
      </w:r>
    </w:p>
    <w:p w14:paraId="172D4130">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（2）发出索赔意向通知后28天内，向工程师提出延长工期和（或）补偿经济损失的索赔报告及有关资料；</w:t>
      </w:r>
    </w:p>
    <w:p w14:paraId="5F1FFEDF">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（3）工程师在收到承包人送交的索赔报告和有关资料后，于28天内给予答复，或要求承包人进一步补充索赔理由和证据；</w:t>
      </w:r>
    </w:p>
    <w:p w14:paraId="68710F6C">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（4）工程师在收到承包人送交的索赔报告和有关资料后28天内未予答复或未对承包人作进一步要求，视为该项索赔已经认可；</w:t>
      </w:r>
    </w:p>
    <w:p w14:paraId="4A85EC90">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（5）当该索赔事件持续进行时，承包人应当阶段性向工程师发出索赔意向，在索赔事件终了后28天内，向工程师送交索赔的有关资料和最终索赔报告。索赔答复程序与（3）、（4）规定相同。</w:t>
      </w:r>
    </w:p>
    <w:p w14:paraId="0058D402">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40.3承包人未能按合同约定履行自己的各项义务或发生错误，给发包人造成经济损失，发包人可按40.2款确定的时限向承包人提出索赔。</w:t>
      </w:r>
    </w:p>
    <w:p w14:paraId="703B8CDE">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41、争议</w:t>
      </w:r>
    </w:p>
    <w:p w14:paraId="37A7BC5B">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717DC8B">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41.2发生争议后，除非出现下列情况的，双方都应继续履行合同，保持施工连续，保护好已完工程：</w:t>
      </w:r>
    </w:p>
    <w:p w14:paraId="696D654B">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（1）单方违约导致合同确已无法履行，双方协议停止施工；</w:t>
      </w:r>
    </w:p>
    <w:p w14:paraId="16A65974">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（2）调解要求停止施工，且为双方接受；</w:t>
      </w:r>
    </w:p>
    <w:p w14:paraId="0967DDE3">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（3）仲裁机构要求停止施工；</w:t>
      </w:r>
    </w:p>
    <w:p w14:paraId="0F6A3B87">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（4）法院要求停止施工。</w:t>
      </w:r>
    </w:p>
    <w:p w14:paraId="2F04F3CC">
      <w:pPr>
        <w:spacing w:after="160" w:line="460" w:lineRule="exact"/>
        <w:ind w:firstLine="42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十一、其他</w:t>
      </w:r>
    </w:p>
    <w:p w14:paraId="2AA109EF">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42、工程分包</w:t>
      </w:r>
    </w:p>
    <w:p w14:paraId="48623F9E">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42.1承包人需要将专业工程或劳务进行分包的，应分包给具有相应资质的专业或劳务企业，并与分包企业签订分包合同。</w:t>
      </w:r>
    </w:p>
    <w:p w14:paraId="15862E8B">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42.2承包人不得将其承包的工程转包给他人，也不得将其承包的工程以分包的名义转包给他人。</w:t>
      </w:r>
    </w:p>
    <w:p w14:paraId="70E14B89">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465FD61">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42.4分包工程价款由承包人与分包单位结算。发包人未经承包人同意不得以任何形式向分包单位支付各种工程款项。</w:t>
      </w:r>
    </w:p>
    <w:p w14:paraId="45038716">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42.5承包人应按时支付分包工程款及劳务费。若承包人不能按时支付时，发包人可将此部分款项从向承包人支付的工程款中扣出并直接支付给分包人和劳务人员。</w:t>
      </w:r>
    </w:p>
    <w:p w14:paraId="39AB1D55">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43、不可抗力</w:t>
      </w:r>
    </w:p>
    <w:p w14:paraId="0933B017">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43.1不可抗力包括因战争、动乱、空中飞行物体坠落或其他非发包人承包人责任造成的爆炸、火灾，以及专用条款约定的风、雨、雪、洪、震等自然灾害。</w:t>
      </w:r>
    </w:p>
    <w:p w14:paraId="39F243B8">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FCD716A">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43.3因不可抗力事件导致的费用及延误的工期由双方按以下方法分别承担：</w:t>
      </w:r>
    </w:p>
    <w:p w14:paraId="1324185A">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（1）工程本身的损害、因工程损害导致第三人人员伤亡和财产损失以及运至施工场地用于施工的材料和待安装的设备的损害，由发包人承担；</w:t>
      </w:r>
    </w:p>
    <w:p w14:paraId="59B536FC">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（2）发包人承包人人员伤亡由其所在单位负责，并承担相应费用；</w:t>
      </w:r>
    </w:p>
    <w:p w14:paraId="46FEE412">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（3）承包人机械设备损坏及停工损失，由承包人承担；</w:t>
      </w:r>
    </w:p>
    <w:p w14:paraId="511C772A">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（4）停工期间，承包人应工程师要求留在施工场地的必要的管理人员及保卫人员的费用由发包人承担；</w:t>
      </w:r>
    </w:p>
    <w:p w14:paraId="465EF741">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（5）工程所需清理、修复费用，由发包人承担；</w:t>
      </w:r>
    </w:p>
    <w:p w14:paraId="23A02F8A">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（6）延误的工期相应顺延。</w:t>
      </w:r>
    </w:p>
    <w:p w14:paraId="672537F6">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43.4因合同一方迟延履行合同后发生不可抗力的，不能免除迟延履行方的相应责任。</w:t>
      </w:r>
    </w:p>
    <w:p w14:paraId="179FAB9D">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44、保险</w:t>
      </w:r>
    </w:p>
    <w:p w14:paraId="1CEE3DA5">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44.1工程开工前，发包人为建设工程和施工现场内的自有人员及第三人人员生命财产办理保险，支付保险费用。</w:t>
      </w:r>
    </w:p>
    <w:p w14:paraId="0CE36C29">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44.2发包人供应的运至施工场地内用于工程的材料设备，由发包人办理保险，并支付保险费用。</w:t>
      </w:r>
    </w:p>
    <w:p w14:paraId="60C244EB">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44.3发包人可以将有关保险事项委托承包人办理，费用由发包人承担。</w:t>
      </w:r>
    </w:p>
    <w:p w14:paraId="066E444A">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44.4承包人必须为施工场地内施工人员办理意外伤害保险和工伤保险，并为施工场地内的施工机械设备办理财产保险，支付保险费用。</w:t>
      </w:r>
    </w:p>
    <w:p w14:paraId="0E7B8420">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44.5保险事故发生时，发包人承包人有责任尽力采取必要的措施，防止或者减少损失。</w:t>
      </w:r>
    </w:p>
    <w:p w14:paraId="68D6B661">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44.6具体投保内容和相关责任，发包人承包人在专用条款中约定。</w:t>
      </w:r>
    </w:p>
    <w:p w14:paraId="553960F4">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45、担保</w:t>
      </w:r>
    </w:p>
    <w:p w14:paraId="61FDFC96">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45.1发包人承包人为了全面履行合同，应互相提供以下担保：</w:t>
      </w:r>
    </w:p>
    <w:p w14:paraId="50D6E6DB">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（1）发包人向承包人提供支付担保，按合同约定支付工程价款及履行合同约定的其他义务。</w:t>
      </w:r>
    </w:p>
    <w:p w14:paraId="4F55FFB0">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（2）承包人向发包人提供履约担保，按合同约定履行自己的各项义务。</w:t>
      </w:r>
    </w:p>
    <w:p w14:paraId="56F06613">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45.2一方违约后，另一方可要求提供担保的第三人承担相应责任。</w:t>
      </w:r>
    </w:p>
    <w:p w14:paraId="346443C3">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45.3提供担保的内容、方式和相关责任，发包人承包人除在专用条款中约定外，被担保方与担保方还应签订担保合同，作为本合同附件。</w:t>
      </w:r>
    </w:p>
    <w:p w14:paraId="085620CE">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46、专利技术及特殊工艺</w:t>
      </w:r>
    </w:p>
    <w:p w14:paraId="05AD136D">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04AE7FF0">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46.2擅自使用专利技术侵犯他人专利权的，责任者依法承担相应责任。</w:t>
      </w:r>
    </w:p>
    <w:p w14:paraId="0E608E30">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47、文物和地下障碍物</w:t>
      </w:r>
    </w:p>
    <w:p w14:paraId="3715E7CC">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7211676F">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如发现后隐瞒不报，致使文物遭受破坏，责任者依法承担相应责任。</w:t>
      </w:r>
    </w:p>
    <w:p w14:paraId="4A9D730F">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77F846D">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所发现的地下障碍物有归属单位时，发包人应报请有关部门协同处置。</w:t>
      </w:r>
    </w:p>
    <w:p w14:paraId="5C35085F">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48、合同解除</w:t>
      </w:r>
    </w:p>
    <w:p w14:paraId="2F6B9445">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48.1发包人承包人协商一致，可以解除合同。</w:t>
      </w:r>
    </w:p>
    <w:p w14:paraId="33860A88">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48.2发生本通用条款第30.5款情况，停止施工超过56天，发包人仍不支付工程款（进度款），承包人有权解除合同。</w:t>
      </w:r>
    </w:p>
    <w:p w14:paraId="60B8901A">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48.3发生本通用条款第42.2款禁止的情况，发包人有权解除合同。</w:t>
      </w:r>
    </w:p>
    <w:p w14:paraId="7AC0EA93">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48.4有下列情形之一的，发包人承包人可以解除合同：</w:t>
      </w:r>
    </w:p>
    <w:p w14:paraId="663558B7">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（1）因不可抗力致使合同无法履行；</w:t>
      </w:r>
    </w:p>
    <w:p w14:paraId="3B2D83E6">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（2）因一方违约（包括因发包人原因造成工程停建或缓建）致使合同无法履行。</w:t>
      </w:r>
    </w:p>
    <w:p w14:paraId="1E06BFC8">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27AC195B">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37BB524">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48.7合同解除后，不影响双方在合同中约定的结算和清理条款的效力。</w:t>
      </w:r>
    </w:p>
    <w:p w14:paraId="367D074A">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49、合同生效与终止</w:t>
      </w:r>
    </w:p>
    <w:p w14:paraId="11D00EB5">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49.1双方在协议书中约定合同生效方式。</w:t>
      </w:r>
    </w:p>
    <w:p w14:paraId="486E7E6A">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49.2除本通用条款第38条外，发包人承包人履行合同全部义务，竣工结算价款支付完毕，承包人向发包人交付竣工工程后，本合同即告终止。</w:t>
      </w:r>
    </w:p>
    <w:p w14:paraId="6C1FDBAF">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49.3合同的权利义务终止后，发包人承包人应当遵循诚实信用原则，履行通知、协助、保密等义务。</w:t>
      </w:r>
    </w:p>
    <w:p w14:paraId="2B48272A">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50、合同份数</w:t>
      </w:r>
    </w:p>
    <w:p w14:paraId="219F0BAD">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50.1本合同正本两份，具有同等效力，由发包人承包人分别保存一份。</w:t>
      </w:r>
    </w:p>
    <w:p w14:paraId="378C1266">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50.2本合同副本</w:t>
      </w:r>
      <w:r>
        <w:rPr>
          <w:rFonts w:hint="eastAsia" w:ascii="宋体" w:hAnsi="宋体" w:cs="宋体"/>
          <w:color w:val="auto"/>
          <w:sz w:val="24"/>
          <w:szCs w:val="24"/>
          <w:highlight w:val="none"/>
          <w:lang w:val="en-US" w:eastAsia="zh-CN"/>
        </w:rPr>
        <w:t>肆</w:t>
      </w:r>
      <w:r>
        <w:rPr>
          <w:rFonts w:hint="eastAsia" w:ascii="宋体" w:hAnsi="宋体" w:eastAsia="宋体" w:cs="宋体"/>
          <w:color w:val="auto"/>
          <w:sz w:val="24"/>
          <w:szCs w:val="24"/>
          <w:highlight w:val="none"/>
        </w:rPr>
        <w:t>份，由双方根据需要在专用条款内约定。</w:t>
      </w:r>
    </w:p>
    <w:p w14:paraId="1BAC9222">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51、补充条款</w:t>
      </w:r>
    </w:p>
    <w:p w14:paraId="6530986A">
      <w:pPr>
        <w:spacing w:after="160" w:line="46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双方根据有关法律、行政法规规定，结合工程实际经协商一致后，可对本通用条款内容具体化、补充或修改，在专用条款内约定。</w:t>
      </w:r>
    </w:p>
    <w:p w14:paraId="1F3D6398">
      <w:pPr>
        <w:rPr>
          <w:rFonts w:hint="eastAsia" w:ascii="宋体" w:hAnsi="宋体" w:eastAsia="宋体" w:cs="宋体"/>
          <w:color w:val="auto"/>
          <w:sz w:val="24"/>
          <w:szCs w:val="24"/>
          <w:highlight w:val="none"/>
        </w:rPr>
      </w:pPr>
    </w:p>
    <w:p w14:paraId="754B36A5">
      <w:pPr>
        <w:pStyle w:val="11"/>
        <w:spacing w:line="360" w:lineRule="auto"/>
        <w:ind w:left="0" w:right="-6" w:rightChars="-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p w14:paraId="33D95EB6">
      <w:pPr>
        <w:pStyle w:val="11"/>
        <w:spacing w:line="360" w:lineRule="auto"/>
        <w:ind w:left="0" w:right="-6" w:rightChars="-3"/>
        <w:rPr>
          <w:rFonts w:hint="eastAsia" w:ascii="宋体" w:hAnsi="宋体" w:eastAsia="宋体" w:cs="宋体"/>
          <w:color w:val="auto"/>
          <w:sz w:val="24"/>
          <w:szCs w:val="24"/>
          <w:highlight w:val="none"/>
        </w:rPr>
      </w:pPr>
    </w:p>
    <w:p w14:paraId="595576E6">
      <w:pPr>
        <w:pStyle w:val="11"/>
        <w:spacing w:line="360" w:lineRule="auto"/>
        <w:ind w:left="0" w:right="-6" w:rightChars="-3"/>
        <w:rPr>
          <w:rFonts w:hint="eastAsia" w:ascii="宋体" w:hAnsi="宋体" w:eastAsia="宋体" w:cs="宋体"/>
          <w:color w:val="auto"/>
          <w:sz w:val="24"/>
          <w:szCs w:val="24"/>
          <w:highlight w:val="none"/>
        </w:rPr>
      </w:pPr>
    </w:p>
    <w:p w14:paraId="2426F2A3">
      <w:pPr>
        <w:pStyle w:val="2"/>
        <w:spacing w:line="360" w:lineRule="auto"/>
        <w:ind w:right="-6" w:rightChars="-3"/>
        <w:jc w:val="both"/>
        <w:rPr>
          <w:rFonts w:hint="eastAsia" w:ascii="宋体" w:hAnsi="宋体" w:eastAsia="宋体" w:cs="宋体"/>
          <w:color w:val="auto"/>
          <w:sz w:val="24"/>
          <w:szCs w:val="24"/>
          <w:highlight w:val="none"/>
        </w:rPr>
      </w:pPr>
      <w:bookmarkStart w:id="19" w:name="_Toc173565639"/>
      <w:bookmarkStart w:id="20" w:name="_Toc534971325"/>
    </w:p>
    <w:p w14:paraId="37C1B8F7">
      <w:pPr>
        <w:rPr>
          <w:rFonts w:hint="eastAsia"/>
          <w:highlight w:val="none"/>
        </w:rPr>
      </w:pPr>
    </w:p>
    <w:p w14:paraId="6B031509">
      <w:pPr>
        <w:pStyle w:val="2"/>
        <w:spacing w:line="360" w:lineRule="auto"/>
        <w:ind w:right="-6" w:rightChars="-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第三部分  专用条款</w:t>
      </w:r>
      <w:bookmarkEnd w:id="19"/>
      <w:bookmarkEnd w:id="20"/>
    </w:p>
    <w:p w14:paraId="1F436EEF">
      <w:pPr>
        <w:pStyle w:val="5"/>
        <w:numPr>
          <w:ilvl w:val="0"/>
          <w:numId w:val="0"/>
        </w:numPr>
        <w:adjustRightInd w:val="0"/>
        <w:snapToGrid w:val="0"/>
        <w:spacing w:before="60" w:after="60" w:line="360" w:lineRule="auto"/>
        <w:ind w:left="0" w:leftChars="0"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kern w:val="2"/>
          <w:sz w:val="24"/>
          <w:szCs w:val="24"/>
          <w:lang w:val="en-US" w:eastAsia="zh-CN" w:bidi="ar-SA"/>
        </w:rPr>
        <w:t>一、</w:t>
      </w:r>
      <w:r>
        <w:rPr>
          <w:rFonts w:hint="eastAsia" w:ascii="宋体" w:hAnsi="宋体" w:eastAsia="宋体" w:cs="宋体"/>
          <w:b/>
          <w:bCs/>
          <w:color w:val="auto"/>
          <w:sz w:val="24"/>
          <w:szCs w:val="24"/>
          <w:highlight w:val="none"/>
        </w:rPr>
        <w:t>词语定义及合同文件</w:t>
      </w:r>
    </w:p>
    <w:p w14:paraId="3FE21017">
      <w:pPr>
        <w:pStyle w:val="5"/>
        <w:adjustRightInd w:val="0"/>
        <w:snapToGrid w:val="0"/>
        <w:spacing w:before="60" w:line="360" w:lineRule="auto"/>
        <w:ind w:right="-6" w:rightChars="-3" w:firstLine="520" w:firstLineChars="217"/>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b/>
          <w:bCs/>
          <w:color w:val="auto"/>
          <w:sz w:val="24"/>
          <w:szCs w:val="24"/>
          <w:highlight w:val="none"/>
        </w:rPr>
        <w:t>合同文件及解释顺序</w:t>
      </w:r>
    </w:p>
    <w:p w14:paraId="382BF472">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合同文件组成及解释顺序：</w:t>
      </w:r>
      <w:r>
        <w:rPr>
          <w:rFonts w:hint="eastAsia" w:ascii="宋体" w:hAnsi="宋体" w:eastAsia="宋体" w:cs="宋体"/>
          <w:color w:val="auto"/>
          <w:sz w:val="24"/>
          <w:szCs w:val="24"/>
          <w:highlight w:val="none"/>
          <w:u w:val="single"/>
        </w:rPr>
        <w:t xml:space="preserve">本合同协议书、本合同专用条款、通用条款、 </w:t>
      </w:r>
    </w:p>
    <w:p w14:paraId="7620335A">
      <w:pPr>
        <w:pStyle w:val="5"/>
        <w:adjustRightInd w:val="0"/>
        <w:snapToGrid w:val="0"/>
        <w:spacing w:before="60"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b/>
          <w:bCs/>
          <w:color w:val="auto"/>
          <w:sz w:val="24"/>
          <w:szCs w:val="24"/>
          <w:highlight w:val="none"/>
        </w:rPr>
        <w:t>语言文字和适用法律、标准及规范</w:t>
      </w:r>
    </w:p>
    <w:p w14:paraId="642DE206">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本合同除使用汉语外，还使用</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语言文字</w:t>
      </w:r>
    </w:p>
    <w:p w14:paraId="67CCC935">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3.2适用法律和法规</w:t>
      </w:r>
    </w:p>
    <w:p w14:paraId="21F02C9E">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需要明示的法律、行政法规：</w:t>
      </w:r>
      <w:r>
        <w:rPr>
          <w:rFonts w:hint="eastAsia" w:ascii="宋体" w:hAnsi="宋体" w:eastAsia="宋体" w:cs="宋体"/>
          <w:color w:val="auto"/>
          <w:sz w:val="24"/>
          <w:szCs w:val="24"/>
          <w:highlight w:val="none"/>
          <w:u w:val="single"/>
        </w:rPr>
        <w:t>《中华人民共和国建筑法》、《中华人民共和国</w:t>
      </w:r>
      <w:r>
        <w:rPr>
          <w:rFonts w:hint="eastAsia" w:ascii="宋体" w:hAnsi="宋体" w:eastAsia="宋体" w:cs="宋体"/>
          <w:color w:val="auto"/>
          <w:sz w:val="24"/>
          <w:szCs w:val="24"/>
          <w:highlight w:val="none"/>
          <w:u w:val="single"/>
          <w:lang w:val="en-US" w:eastAsia="zh-CN"/>
        </w:rPr>
        <w:t>民法典</w:t>
      </w:r>
      <w:r>
        <w:rPr>
          <w:rFonts w:hint="eastAsia" w:ascii="宋体" w:hAnsi="宋体" w:eastAsia="宋体" w:cs="宋体"/>
          <w:color w:val="auto"/>
          <w:sz w:val="24"/>
          <w:szCs w:val="24"/>
          <w:highlight w:val="none"/>
          <w:u w:val="single"/>
        </w:rPr>
        <w:t xml:space="preserve">》、国务院《建筑工程质量管理条例》、《安全生产管理条例》                                </w:t>
      </w:r>
    </w:p>
    <w:p w14:paraId="1282D54F">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3.3适用标准、规范</w:t>
      </w:r>
    </w:p>
    <w:p w14:paraId="700FF182">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适用标准、规范的名称：</w:t>
      </w:r>
      <w:r>
        <w:rPr>
          <w:rFonts w:hint="eastAsia" w:ascii="宋体" w:hAnsi="宋体" w:eastAsia="宋体" w:cs="宋体"/>
          <w:color w:val="auto"/>
          <w:sz w:val="24"/>
          <w:szCs w:val="24"/>
          <w:highlight w:val="none"/>
          <w:u w:val="single"/>
        </w:rPr>
        <w:t xml:space="preserve">执行国家建筑工程施工及验收规范标准以及材料、设备所涉及的现行国家、省、市或行业的工程建设标准、规范的要求。                            </w:t>
      </w:r>
    </w:p>
    <w:p w14:paraId="454F5B96">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发包人提供标准、规范的时间：</w:t>
      </w:r>
      <w:r>
        <w:rPr>
          <w:rFonts w:hint="eastAsia" w:ascii="宋体" w:hAnsi="宋体" w:eastAsia="宋体" w:cs="宋体"/>
          <w:color w:val="auto"/>
          <w:sz w:val="24"/>
          <w:szCs w:val="24"/>
          <w:highlight w:val="none"/>
          <w:u w:val="single"/>
        </w:rPr>
        <w:t xml:space="preserve">                     /                          </w:t>
      </w:r>
    </w:p>
    <w:p w14:paraId="4F752CAE">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国内没有相应标准、规范时的约定：</w:t>
      </w:r>
      <w:r>
        <w:rPr>
          <w:rFonts w:hint="eastAsia" w:ascii="宋体" w:hAnsi="宋体" w:eastAsia="宋体" w:cs="宋体"/>
          <w:color w:val="auto"/>
          <w:sz w:val="24"/>
          <w:szCs w:val="24"/>
          <w:highlight w:val="none"/>
          <w:u w:val="single"/>
        </w:rPr>
        <w:t xml:space="preserve">按生产企业在技术监督局的备案标准、并经监理工程师和业主同意。                                                                </w:t>
      </w:r>
    </w:p>
    <w:p w14:paraId="3EE221E4">
      <w:pPr>
        <w:pStyle w:val="5"/>
        <w:adjustRightInd w:val="0"/>
        <w:snapToGrid w:val="0"/>
        <w:spacing w:before="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4.图纸</w:t>
      </w:r>
    </w:p>
    <w:p w14:paraId="721CC900">
      <w:pPr>
        <w:pStyle w:val="5"/>
        <w:adjustRightInd w:val="0"/>
        <w:snapToGrid w:val="0"/>
        <w:spacing w:line="360" w:lineRule="auto"/>
        <w:ind w:right="-6" w:rightChars="-3" w:firstLine="520" w:firstLineChars="217"/>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rPr>
        <w:t>4.1 发包人向承包人提供图纸日期和套数：</w:t>
      </w:r>
      <w:r>
        <w:rPr>
          <w:rFonts w:hint="eastAsia" w:ascii="宋体" w:hAnsi="宋体" w:eastAsia="宋体" w:cs="宋体"/>
          <w:bCs/>
          <w:color w:val="auto"/>
          <w:sz w:val="24"/>
          <w:szCs w:val="24"/>
          <w:highlight w:val="none"/>
          <w:u w:val="single"/>
        </w:rPr>
        <w:t>在合同签订3天内提供</w:t>
      </w:r>
      <w:r>
        <w:rPr>
          <w:rFonts w:hint="eastAsia" w:ascii="宋体" w:hAnsi="宋体" w:eastAsia="宋体" w:cs="宋体"/>
          <w:bCs/>
          <w:color w:val="auto"/>
          <w:sz w:val="24"/>
          <w:szCs w:val="24"/>
          <w:highlight w:val="none"/>
          <w:u w:val="single"/>
          <w:lang w:val="en-US" w:eastAsia="zh-CN"/>
        </w:rPr>
        <w:t>叁</w:t>
      </w:r>
      <w:r>
        <w:rPr>
          <w:rFonts w:hint="eastAsia" w:ascii="宋体" w:hAnsi="宋体" w:eastAsia="宋体" w:cs="宋体"/>
          <w:bCs/>
          <w:color w:val="auto"/>
          <w:sz w:val="24"/>
          <w:szCs w:val="24"/>
          <w:highlight w:val="none"/>
          <w:u w:val="single"/>
        </w:rPr>
        <w:t xml:space="preserve">套图纸 </w:t>
      </w:r>
    </w:p>
    <w:p w14:paraId="7DB23721">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发包人对图纸的保密要求：</w:t>
      </w:r>
      <w:r>
        <w:rPr>
          <w:rFonts w:hint="eastAsia" w:ascii="宋体" w:hAnsi="宋体" w:eastAsia="宋体" w:cs="宋体"/>
          <w:color w:val="auto"/>
          <w:sz w:val="24"/>
          <w:szCs w:val="24"/>
          <w:highlight w:val="none"/>
          <w:u w:val="single"/>
        </w:rPr>
        <w:t xml:space="preserve">不得外借                </w:t>
      </w:r>
    </w:p>
    <w:p w14:paraId="38C86ACC">
      <w:pPr>
        <w:pStyle w:val="5"/>
        <w:numPr>
          <w:ilvl w:val="0"/>
          <w:numId w:val="0"/>
        </w:numPr>
        <w:adjustRightInd w:val="0"/>
        <w:snapToGrid w:val="0"/>
        <w:spacing w:before="60" w:after="60" w:line="360" w:lineRule="auto"/>
        <w:ind w:left="0" w:leftChars="0"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kern w:val="2"/>
          <w:sz w:val="24"/>
          <w:szCs w:val="24"/>
          <w:lang w:val="en-US" w:eastAsia="zh-CN" w:bidi="ar-SA"/>
        </w:rPr>
        <w:t>二、</w:t>
      </w:r>
      <w:r>
        <w:rPr>
          <w:rFonts w:hint="eastAsia" w:ascii="宋体" w:hAnsi="宋体" w:eastAsia="宋体" w:cs="宋体"/>
          <w:b/>
          <w:bCs/>
          <w:color w:val="auto"/>
          <w:sz w:val="24"/>
          <w:szCs w:val="24"/>
          <w:highlight w:val="none"/>
        </w:rPr>
        <w:t>双方一般权利和义务</w:t>
      </w:r>
    </w:p>
    <w:p w14:paraId="56F60A8B">
      <w:pPr>
        <w:pStyle w:val="5"/>
        <w:adjustRightInd w:val="0"/>
        <w:snapToGrid w:val="0"/>
        <w:spacing w:before="60" w:line="360" w:lineRule="auto"/>
        <w:ind w:right="-6" w:rightChars="-3" w:firstLine="520" w:firstLineChars="217"/>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b/>
          <w:bCs/>
          <w:color w:val="auto"/>
          <w:sz w:val="24"/>
          <w:szCs w:val="24"/>
          <w:highlight w:val="none"/>
        </w:rPr>
        <w:t>工程师</w:t>
      </w:r>
    </w:p>
    <w:p w14:paraId="3F78A63C">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 监理单位委派的工程师</w:t>
      </w:r>
    </w:p>
    <w:p w14:paraId="255F80D4">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shd w:val="clear" w:color="auto" w:fill="auto"/>
        </w:rPr>
        <w:t>姓名：</w:t>
      </w:r>
      <w:r>
        <w:rPr>
          <w:rFonts w:hint="eastAsia" w:ascii="宋体" w:hAnsi="宋体" w:eastAsia="宋体" w:cs="宋体"/>
          <w:color w:val="auto"/>
          <w:sz w:val="24"/>
          <w:szCs w:val="24"/>
          <w:highlight w:val="none"/>
          <w:u w:val="single"/>
          <w:shd w:val="clear" w:color="auto" w:fill="auto"/>
        </w:rPr>
        <w:t xml:space="preserve"> </w:t>
      </w:r>
      <w:r>
        <w:rPr>
          <w:rFonts w:hint="eastAsia" w:hAnsi="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 xml:space="preserve"> 职务：</w:t>
      </w:r>
      <w:r>
        <w:rPr>
          <w:rFonts w:hint="eastAsia" w:ascii="宋体" w:hAnsi="宋体" w:eastAsia="宋体" w:cs="宋体"/>
          <w:color w:val="auto"/>
          <w:sz w:val="24"/>
          <w:szCs w:val="24"/>
          <w:highlight w:val="none"/>
          <w:u w:val="single"/>
          <w:shd w:val="clear" w:color="auto" w:fill="auto"/>
          <w:lang w:val="en-US" w:eastAsia="zh-CN"/>
        </w:rPr>
        <w:t xml:space="preserve"> 总监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rPr>
        <w:t>发包人委托的职权：</w:t>
      </w:r>
      <w:r>
        <w:rPr>
          <w:rFonts w:hint="eastAsia" w:ascii="宋体" w:hAnsi="宋体" w:eastAsia="宋体" w:cs="宋体"/>
          <w:color w:val="auto"/>
          <w:sz w:val="24"/>
          <w:szCs w:val="24"/>
          <w:highlight w:val="none"/>
          <w:u w:val="single"/>
        </w:rPr>
        <w:t>施工过程的质量、进度控制、合同管理和信息管理，施工中各种矛盾，组织协调工作及全程监理。</w:t>
      </w:r>
    </w:p>
    <w:p w14:paraId="5DEE192C">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需要取得发包人批准才能行使的职权：</w:t>
      </w:r>
      <w:r>
        <w:rPr>
          <w:rFonts w:hint="eastAsia" w:ascii="宋体" w:hAnsi="宋体" w:eastAsia="宋体" w:cs="宋体"/>
          <w:color w:val="auto"/>
          <w:sz w:val="24"/>
          <w:szCs w:val="24"/>
          <w:highlight w:val="none"/>
          <w:u w:val="single"/>
        </w:rPr>
        <w:t xml:space="preserve">重大工程洽商、设计变更、发包人指定价的认质、认品牌、供货商等在决策之前需经业主同意。  </w:t>
      </w:r>
    </w:p>
    <w:p w14:paraId="396908F8">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5.4发包人派驻的工程师</w:t>
      </w:r>
    </w:p>
    <w:p w14:paraId="7615CCB6">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姓名：</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lang w:val="en-US" w:eastAsia="zh-CN"/>
        </w:rPr>
        <w:t>项目负责人</w:t>
      </w:r>
      <w:r>
        <w:rPr>
          <w:rFonts w:hint="eastAsia" w:ascii="宋体" w:hAnsi="宋体" w:eastAsia="宋体" w:cs="宋体"/>
          <w:color w:val="auto"/>
          <w:sz w:val="24"/>
          <w:szCs w:val="24"/>
          <w:highlight w:val="none"/>
        </w:rPr>
        <w:t>职权：</w:t>
      </w:r>
      <w:r>
        <w:rPr>
          <w:rFonts w:hint="eastAsia" w:ascii="宋体" w:hAnsi="宋体" w:eastAsia="宋体" w:cs="宋体"/>
          <w:color w:val="auto"/>
          <w:sz w:val="24"/>
          <w:szCs w:val="24"/>
          <w:highlight w:val="none"/>
          <w:u w:val="single"/>
        </w:rPr>
        <w:t xml:space="preserve">负责施工全过程内、外部关系协调、处理往来文件，对工程进度、质量、造价进行管理。                        </w:t>
      </w:r>
    </w:p>
    <w:p w14:paraId="21639D13">
      <w:pPr>
        <w:pStyle w:val="5"/>
        <w:adjustRightInd w:val="0"/>
        <w:snapToGrid w:val="0"/>
        <w:spacing w:line="360" w:lineRule="auto"/>
        <w:ind w:right="-6" w:rightChars="-3" w:firstLine="520" w:firstLineChars="217"/>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5.6 不实行监理的，工程师职权：</w:t>
      </w:r>
      <w:r>
        <w:rPr>
          <w:rFonts w:hint="eastAsia" w:ascii="宋体" w:hAnsi="宋体" w:eastAsia="宋体" w:cs="宋体"/>
          <w:color w:val="auto"/>
          <w:sz w:val="24"/>
          <w:szCs w:val="24"/>
          <w:highlight w:val="none"/>
          <w:u w:val="single"/>
        </w:rPr>
        <w:t xml:space="preserve">                      /                   </w:t>
      </w:r>
    </w:p>
    <w:p w14:paraId="6649972B">
      <w:pPr>
        <w:pStyle w:val="5"/>
        <w:adjustRightInd w:val="0"/>
        <w:snapToGrid w:val="0"/>
        <w:spacing w:before="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7.项目经理</w:t>
      </w:r>
    </w:p>
    <w:p w14:paraId="1E322FA3">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项目经理</w:t>
      </w:r>
      <w:r>
        <w:rPr>
          <w:rFonts w:hint="eastAsia" w:ascii="宋体" w:hAnsi="宋体" w:eastAsia="宋体" w:cs="宋体"/>
          <w:color w:val="auto"/>
          <w:sz w:val="24"/>
          <w:szCs w:val="24"/>
          <w:highlight w:val="none"/>
          <w:u w:val="single"/>
        </w:rPr>
        <w:t xml:space="preserve">    </w:t>
      </w:r>
    </w:p>
    <w:p w14:paraId="13A11D1F">
      <w:pPr>
        <w:pStyle w:val="5"/>
        <w:adjustRightInd w:val="0"/>
        <w:snapToGrid w:val="0"/>
        <w:spacing w:before="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8.发包人工作</w:t>
      </w:r>
    </w:p>
    <w:p w14:paraId="4D05CF8D">
      <w:pPr>
        <w:pStyle w:val="5"/>
        <w:tabs>
          <w:tab w:val="left" w:pos="7095"/>
        </w:tabs>
        <w:adjustRightInd w:val="0"/>
        <w:snapToGrid w:val="0"/>
        <w:spacing w:before="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ab/>
      </w:r>
    </w:p>
    <w:p w14:paraId="079E19F4">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8.1发包人应按约定的时间和要求完成以下工作： </w:t>
      </w:r>
    </w:p>
    <w:p w14:paraId="36EB052F">
      <w:pPr>
        <w:pStyle w:val="5"/>
        <w:numPr>
          <w:ilvl w:val="0"/>
          <w:numId w:val="3"/>
        </w:numPr>
        <w:adjustRightInd w:val="0"/>
        <w:snapToGrid w:val="0"/>
        <w:spacing w:line="360" w:lineRule="auto"/>
        <w:ind w:left="0"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施工场地具备施工条件的要求及完成的时间：</w:t>
      </w:r>
      <w:r>
        <w:rPr>
          <w:rFonts w:hint="eastAsia" w:ascii="宋体" w:hAnsi="宋体" w:eastAsia="宋体" w:cs="宋体"/>
          <w:color w:val="auto"/>
          <w:sz w:val="24"/>
          <w:szCs w:val="24"/>
          <w:highlight w:val="none"/>
          <w:u w:val="single"/>
        </w:rPr>
        <w:t xml:space="preserve">工程开工前5日内。           </w:t>
      </w:r>
    </w:p>
    <w:p w14:paraId="29FAD608">
      <w:pPr>
        <w:pStyle w:val="5"/>
        <w:numPr>
          <w:ilvl w:val="0"/>
          <w:numId w:val="3"/>
        </w:numPr>
        <w:adjustRightInd w:val="0"/>
        <w:snapToGrid w:val="0"/>
        <w:spacing w:line="360" w:lineRule="auto"/>
        <w:ind w:left="0" w:right="-6" w:rightChars="-3" w:firstLine="503" w:firstLineChars="217"/>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将施工所需的水、电、电讯线路接至施工场地的时间、地点和供应要求：</w:t>
      </w:r>
      <w:r>
        <w:rPr>
          <w:rFonts w:hint="eastAsia" w:ascii="宋体" w:hAnsi="宋体" w:eastAsia="宋体" w:cs="宋体"/>
          <w:color w:val="auto"/>
          <w:sz w:val="24"/>
          <w:szCs w:val="24"/>
          <w:highlight w:val="none"/>
          <w:u w:val="single"/>
        </w:rPr>
        <w:t>由承包人在发包人现场指定地点，将水、电引至施工现场，并配备水、电表。表后水、电线路由施工单位安装并向发包人交纳水、电费。</w:t>
      </w:r>
    </w:p>
    <w:p w14:paraId="2841B0EB">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其计量和计价方法为：</w:t>
      </w:r>
      <w:r>
        <w:rPr>
          <w:rFonts w:hint="eastAsia" w:ascii="宋体" w:hAnsi="宋体" w:eastAsia="宋体" w:cs="宋体"/>
          <w:color w:val="auto"/>
          <w:sz w:val="24"/>
          <w:szCs w:val="24"/>
          <w:highlight w:val="none"/>
          <w:u w:val="single"/>
        </w:rPr>
        <w:t xml:space="preserve"> 水费      元/T，电费     元/度，通讯线路和设备施工单位自行解决。                                                                </w:t>
      </w:r>
    </w:p>
    <w:p w14:paraId="0FE47C59">
      <w:pPr>
        <w:pStyle w:val="5"/>
        <w:numPr>
          <w:ilvl w:val="0"/>
          <w:numId w:val="3"/>
        </w:numPr>
        <w:adjustRightInd w:val="0"/>
        <w:snapToGrid w:val="0"/>
        <w:spacing w:line="360" w:lineRule="auto"/>
        <w:ind w:left="0"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施工场地与公共道路的通道开通时间和要求：</w:t>
      </w:r>
      <w:r>
        <w:rPr>
          <w:rFonts w:hint="eastAsia" w:ascii="宋体" w:hAnsi="宋体" w:eastAsia="宋体" w:cs="宋体"/>
          <w:color w:val="auto"/>
          <w:sz w:val="24"/>
          <w:szCs w:val="24"/>
          <w:highlight w:val="none"/>
          <w:u w:val="single"/>
        </w:rPr>
        <w:t xml:space="preserve">工程开工前5日内。          </w:t>
      </w:r>
    </w:p>
    <w:p w14:paraId="524273D3">
      <w:pPr>
        <w:pStyle w:val="5"/>
        <w:numPr>
          <w:ilvl w:val="0"/>
          <w:numId w:val="3"/>
        </w:numPr>
        <w:adjustRightInd w:val="0"/>
        <w:snapToGrid w:val="0"/>
        <w:spacing w:line="360" w:lineRule="auto"/>
        <w:ind w:left="0"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工程地质和地下管线资料的提供时间：</w:t>
      </w:r>
      <w:r>
        <w:rPr>
          <w:rFonts w:hint="eastAsia" w:ascii="宋体" w:hAnsi="宋体" w:eastAsia="宋体" w:cs="宋体"/>
          <w:color w:val="auto"/>
          <w:sz w:val="24"/>
          <w:szCs w:val="24"/>
          <w:highlight w:val="none"/>
          <w:u w:val="single"/>
        </w:rPr>
        <w:t xml:space="preserve">工程开工前5日内。                </w:t>
      </w:r>
    </w:p>
    <w:p w14:paraId="63492265">
      <w:pPr>
        <w:pStyle w:val="5"/>
        <w:numPr>
          <w:ilvl w:val="0"/>
          <w:numId w:val="3"/>
        </w:numPr>
        <w:adjustRightInd w:val="0"/>
        <w:snapToGrid w:val="0"/>
        <w:spacing w:line="360" w:lineRule="auto"/>
        <w:ind w:left="0"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由发包人办理的施工所需证件、批件的名称和完成时间： </w:t>
      </w:r>
      <w:r>
        <w:rPr>
          <w:rFonts w:hint="eastAsia" w:ascii="宋体" w:hAnsi="宋体" w:eastAsia="宋体" w:cs="宋体"/>
          <w:color w:val="auto"/>
          <w:sz w:val="24"/>
          <w:szCs w:val="24"/>
          <w:highlight w:val="none"/>
          <w:u w:val="single"/>
        </w:rPr>
        <w:t>工程开工前5日内</w:t>
      </w:r>
    </w:p>
    <w:p w14:paraId="698F8933">
      <w:pPr>
        <w:pStyle w:val="5"/>
        <w:numPr>
          <w:ilvl w:val="0"/>
          <w:numId w:val="3"/>
        </w:numPr>
        <w:adjustRightInd w:val="0"/>
        <w:snapToGrid w:val="0"/>
        <w:spacing w:line="360" w:lineRule="auto"/>
        <w:ind w:left="0"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水准点与坐标控制点交验要求：</w:t>
      </w:r>
      <w:r>
        <w:rPr>
          <w:rFonts w:hint="eastAsia" w:ascii="宋体" w:hAnsi="宋体" w:eastAsia="宋体" w:cs="宋体"/>
          <w:color w:val="auto"/>
          <w:sz w:val="24"/>
          <w:szCs w:val="24"/>
          <w:highlight w:val="none"/>
          <w:u w:val="single"/>
        </w:rPr>
        <w:t>确定水准点与坐标控制点，以书面形式交给承包人，进行现场交验；</w:t>
      </w:r>
    </w:p>
    <w:p w14:paraId="50E32A7B">
      <w:pPr>
        <w:pStyle w:val="5"/>
        <w:numPr>
          <w:ilvl w:val="0"/>
          <w:numId w:val="3"/>
        </w:numPr>
        <w:adjustRightInd w:val="0"/>
        <w:snapToGrid w:val="0"/>
        <w:spacing w:line="360" w:lineRule="auto"/>
        <w:ind w:left="0"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图纸会审和设计交底时间：</w:t>
      </w:r>
      <w:r>
        <w:rPr>
          <w:rFonts w:hint="eastAsia" w:ascii="宋体" w:hAnsi="宋体" w:eastAsia="宋体" w:cs="宋体"/>
          <w:color w:val="auto"/>
          <w:sz w:val="24"/>
          <w:szCs w:val="24"/>
          <w:highlight w:val="none"/>
          <w:u w:val="single"/>
        </w:rPr>
        <w:t xml:space="preserve">工程开工前5日内。                         </w:t>
      </w:r>
    </w:p>
    <w:p w14:paraId="6E5ECC6D">
      <w:pPr>
        <w:pStyle w:val="5"/>
        <w:numPr>
          <w:ilvl w:val="0"/>
          <w:numId w:val="3"/>
        </w:numPr>
        <w:adjustRightInd w:val="0"/>
        <w:snapToGrid w:val="0"/>
        <w:spacing w:line="360" w:lineRule="auto"/>
        <w:ind w:left="0"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协调处理施工场地周围地下管线和邻近建筑物、构筑物（含文物保护建筑）、古树名木的保护工作：</w:t>
      </w:r>
      <w:r>
        <w:rPr>
          <w:rFonts w:hint="eastAsia" w:ascii="宋体" w:hAnsi="宋体" w:eastAsia="宋体" w:cs="宋体"/>
          <w:color w:val="auto"/>
          <w:sz w:val="24"/>
          <w:szCs w:val="24"/>
          <w:highlight w:val="none"/>
          <w:u w:val="single"/>
        </w:rPr>
        <w:t>协调处理施工场地周围地下管线和邻近建筑物、构筑物（包括文物保护建筑）、古树名木的保护工作、承担有关费用；</w:t>
      </w:r>
    </w:p>
    <w:p w14:paraId="102A28E7">
      <w:pPr>
        <w:pStyle w:val="5"/>
        <w:numPr>
          <w:ilvl w:val="0"/>
          <w:numId w:val="3"/>
        </w:numPr>
        <w:adjustRightInd w:val="0"/>
        <w:snapToGrid w:val="0"/>
        <w:spacing w:line="360" w:lineRule="auto"/>
        <w:ind w:left="0"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双方约定发包人应做的其它工作：</w:t>
      </w:r>
      <w:r>
        <w:rPr>
          <w:rFonts w:hint="eastAsia" w:ascii="宋体" w:hAnsi="宋体" w:eastAsia="宋体" w:cs="宋体"/>
          <w:color w:val="auto"/>
          <w:sz w:val="24"/>
          <w:szCs w:val="24"/>
          <w:highlight w:val="none"/>
          <w:u w:val="single"/>
        </w:rPr>
        <w:t xml:space="preserve">                      /                    </w:t>
      </w:r>
    </w:p>
    <w:p w14:paraId="1DABB692">
      <w:pPr>
        <w:pStyle w:val="5"/>
        <w:adjustRightInd w:val="0"/>
        <w:snapToGrid w:val="0"/>
        <w:spacing w:line="360" w:lineRule="auto"/>
        <w:ind w:right="-6" w:rightChars="-3" w:firstLine="520" w:firstLineChars="217"/>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8.2 发包人委托承包人办理的工作：</w:t>
      </w:r>
      <w:r>
        <w:rPr>
          <w:rFonts w:hint="eastAsia" w:ascii="宋体" w:hAnsi="宋体" w:eastAsia="宋体" w:cs="宋体"/>
          <w:color w:val="auto"/>
          <w:sz w:val="24"/>
          <w:szCs w:val="24"/>
          <w:highlight w:val="none"/>
          <w:u w:val="single"/>
        </w:rPr>
        <w:t xml:space="preserve">                      /                     </w:t>
      </w:r>
      <w:r>
        <w:rPr>
          <w:rFonts w:hint="eastAsia" w:ascii="宋体" w:hAnsi="宋体" w:eastAsia="宋体" w:cs="宋体"/>
          <w:b/>
          <w:bCs/>
          <w:color w:val="auto"/>
          <w:sz w:val="24"/>
          <w:szCs w:val="24"/>
          <w:highlight w:val="none"/>
        </w:rPr>
        <w:t xml:space="preserve">                 </w:t>
      </w:r>
    </w:p>
    <w:p w14:paraId="58E1C0B1">
      <w:pPr>
        <w:pStyle w:val="5"/>
        <w:adjustRightInd w:val="0"/>
        <w:snapToGrid w:val="0"/>
        <w:spacing w:before="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9.承包人工作</w:t>
      </w:r>
    </w:p>
    <w:p w14:paraId="52826F53">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9.1承包人应按约定的时间和要求，完成以下工作：</w:t>
      </w:r>
    </w:p>
    <w:p w14:paraId="3CA2FADF">
      <w:pPr>
        <w:numPr>
          <w:ilvl w:val="0"/>
          <w:numId w:val="4"/>
        </w:numPr>
        <w:tabs>
          <w:tab w:val="left" w:pos="0"/>
          <w:tab w:val="clear" w:pos="376"/>
        </w:tabs>
        <w:adjustRightInd w:val="0"/>
        <w:snapToGrid w:val="0"/>
        <w:spacing w:line="360" w:lineRule="auto"/>
        <w:ind w:left="0"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需由设计资质等级和业务范围允许的承包人完成的设计文件提交时间： </w:t>
      </w:r>
    </w:p>
    <w:p w14:paraId="187C3749">
      <w:pPr>
        <w:adjustRightInd w:val="0"/>
        <w:snapToGrid w:val="0"/>
        <w:spacing w:line="360" w:lineRule="auto"/>
        <w:ind w:right="-6" w:rightChars="-3"/>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                                                </w:t>
      </w:r>
    </w:p>
    <w:p w14:paraId="1DCE82E5">
      <w:pPr>
        <w:numPr>
          <w:ilvl w:val="0"/>
          <w:numId w:val="4"/>
        </w:numPr>
        <w:tabs>
          <w:tab w:val="left" w:pos="0"/>
          <w:tab w:val="clear" w:pos="376"/>
        </w:tabs>
        <w:adjustRightInd w:val="0"/>
        <w:snapToGrid w:val="0"/>
        <w:spacing w:line="360" w:lineRule="auto"/>
        <w:ind w:left="0"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应提供计划、报表的名称及完成时间：</w:t>
      </w:r>
      <w:r>
        <w:rPr>
          <w:rFonts w:hint="eastAsia" w:ascii="宋体" w:hAnsi="宋体" w:eastAsia="宋体" w:cs="宋体"/>
          <w:color w:val="auto"/>
          <w:sz w:val="24"/>
          <w:szCs w:val="24"/>
          <w:highlight w:val="none"/>
          <w:u w:val="single"/>
        </w:rPr>
        <w:t>每月25日向业主，监理单位报送叁份年、季、月度工程进度计划及相应进度统计报表；</w:t>
      </w:r>
    </w:p>
    <w:p w14:paraId="4D95A590">
      <w:pPr>
        <w:numPr>
          <w:ilvl w:val="0"/>
          <w:numId w:val="4"/>
        </w:numPr>
        <w:tabs>
          <w:tab w:val="left" w:pos="0"/>
          <w:tab w:val="clear" w:pos="376"/>
        </w:tabs>
        <w:adjustRightInd w:val="0"/>
        <w:snapToGrid w:val="0"/>
        <w:spacing w:line="360" w:lineRule="auto"/>
        <w:ind w:left="0"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承担施工安全保卫工作及非夜间施工照明的责任和要求：</w:t>
      </w:r>
      <w:r>
        <w:rPr>
          <w:rFonts w:hint="eastAsia" w:ascii="宋体" w:hAnsi="宋体" w:eastAsia="宋体" w:cs="宋体"/>
          <w:color w:val="auto"/>
          <w:sz w:val="24"/>
          <w:szCs w:val="24"/>
          <w:highlight w:val="none"/>
          <w:u w:val="single"/>
        </w:rPr>
        <w:t>根据工程需要，提供和维修非夜间施工使用的照明、围栏设施；负责施工现场安全保卫；</w:t>
      </w:r>
    </w:p>
    <w:p w14:paraId="31582FAA">
      <w:pPr>
        <w:numPr>
          <w:ilvl w:val="0"/>
          <w:numId w:val="4"/>
        </w:numPr>
        <w:tabs>
          <w:tab w:val="left" w:pos="0"/>
          <w:tab w:val="clear" w:pos="376"/>
        </w:tabs>
        <w:adjustRightInd w:val="0"/>
        <w:snapToGrid w:val="0"/>
        <w:spacing w:line="360" w:lineRule="auto"/>
        <w:ind w:left="0"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向发包人提供的办公和生活房屋及设施的要求：</w:t>
      </w:r>
      <w:r>
        <w:rPr>
          <w:rFonts w:hint="eastAsia" w:ascii="宋体" w:hAnsi="宋体" w:eastAsia="宋体" w:cs="宋体"/>
          <w:color w:val="auto"/>
          <w:sz w:val="24"/>
          <w:szCs w:val="24"/>
          <w:highlight w:val="none"/>
          <w:u w:val="single"/>
        </w:rPr>
        <w:t>为甲方工地代表提供办公室，为监理工程提供办公室，不配备办公家具，其费用已含在合同价内；</w:t>
      </w:r>
    </w:p>
    <w:p w14:paraId="502BD560">
      <w:pPr>
        <w:numPr>
          <w:ilvl w:val="0"/>
          <w:numId w:val="4"/>
        </w:numPr>
        <w:tabs>
          <w:tab w:val="left" w:pos="0"/>
          <w:tab w:val="clear" w:pos="376"/>
        </w:tabs>
        <w:adjustRightInd w:val="0"/>
        <w:snapToGrid w:val="0"/>
        <w:spacing w:line="360" w:lineRule="auto"/>
        <w:ind w:left="0"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需承包人办理的有关施工场地交通、环卫和施工噪音管理等手续：</w:t>
      </w:r>
      <w:r>
        <w:rPr>
          <w:rFonts w:hint="eastAsia" w:ascii="宋体" w:hAnsi="宋体" w:eastAsia="宋体" w:cs="宋体"/>
          <w:color w:val="auto"/>
          <w:sz w:val="24"/>
          <w:szCs w:val="24"/>
          <w:highlight w:val="none"/>
          <w:u w:val="single"/>
        </w:rPr>
        <w:t>遵守政府有关主管部门对施工场地安全防护、文明施工、环境保护以及场地交通等的管理规定，按规定办理有关手续，并以书面形式通知发包人；</w:t>
      </w:r>
    </w:p>
    <w:p w14:paraId="2A24EE45">
      <w:pPr>
        <w:numPr>
          <w:ilvl w:val="0"/>
          <w:numId w:val="4"/>
        </w:numPr>
        <w:tabs>
          <w:tab w:val="left" w:pos="0"/>
          <w:tab w:val="clear" w:pos="376"/>
        </w:tabs>
        <w:adjustRightInd w:val="0"/>
        <w:snapToGrid w:val="0"/>
        <w:spacing w:line="360" w:lineRule="auto"/>
        <w:ind w:left="0"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已完工程成品保护的特殊要求及费用承担：</w:t>
      </w:r>
      <w:r>
        <w:rPr>
          <w:rFonts w:hint="eastAsia" w:ascii="宋体" w:hAnsi="宋体" w:eastAsia="宋体" w:cs="宋体"/>
          <w:color w:val="auto"/>
          <w:sz w:val="24"/>
          <w:szCs w:val="24"/>
          <w:highlight w:val="none"/>
          <w:u w:val="single"/>
        </w:rPr>
        <w:t>已竣工工程未交付发包人之前，承包人按约定负责已完工程的保护工作，保护期间发生损坏，承包人自费予以修复；发包人要求承包人采取特殊措施保护的工程部位和相应的追加合同价款；</w:t>
      </w:r>
    </w:p>
    <w:p w14:paraId="5FF29BBC">
      <w:pPr>
        <w:numPr>
          <w:ilvl w:val="0"/>
          <w:numId w:val="4"/>
        </w:numPr>
        <w:tabs>
          <w:tab w:val="left" w:pos="0"/>
          <w:tab w:val="clear" w:pos="376"/>
        </w:tabs>
        <w:adjustRightInd w:val="0"/>
        <w:snapToGrid w:val="0"/>
        <w:spacing w:line="360" w:lineRule="auto"/>
        <w:ind w:left="0"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施工场地周围地下管线和邻近建筑物、构筑物(含文物保护建筑)、古树名木的保护要求及费用承担：</w:t>
      </w:r>
      <w:r>
        <w:rPr>
          <w:rFonts w:hint="eastAsia" w:ascii="宋体" w:hAnsi="宋体" w:eastAsia="宋体" w:cs="宋体"/>
          <w:color w:val="auto"/>
          <w:sz w:val="24"/>
          <w:szCs w:val="24"/>
          <w:highlight w:val="none"/>
          <w:u w:val="single"/>
        </w:rPr>
        <w:t>做好施工场地地下管线和邻近建筑物、构筑物（包括文物保护建筑）、古树名木的保护工作；如因施工方法不当造成损失由承包方承担。文物和管网保护费用经监理工程师和甲方项目负责人签认后由发包方承担。</w:t>
      </w:r>
    </w:p>
    <w:p w14:paraId="047FAB8C">
      <w:pPr>
        <w:numPr>
          <w:ilvl w:val="0"/>
          <w:numId w:val="4"/>
        </w:numPr>
        <w:tabs>
          <w:tab w:val="left" w:pos="0"/>
          <w:tab w:val="clear" w:pos="376"/>
        </w:tabs>
        <w:adjustRightInd w:val="0"/>
        <w:snapToGrid w:val="0"/>
        <w:spacing w:line="360" w:lineRule="auto"/>
        <w:ind w:left="0"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施工场地清洁卫生的要求：</w:t>
      </w:r>
      <w:r>
        <w:rPr>
          <w:rFonts w:hint="eastAsia" w:ascii="宋体" w:hAnsi="宋体" w:eastAsia="宋体" w:cs="宋体"/>
          <w:color w:val="auto"/>
          <w:sz w:val="24"/>
          <w:szCs w:val="24"/>
          <w:highlight w:val="none"/>
          <w:u w:val="single"/>
        </w:rPr>
        <w:t>保证施工场地清洁符合环境卫生管理的有关规定，交工前清理现场达到专用条款约定的要求，承担因自身原因违反有关规定造成的损失和罚款；</w:t>
      </w:r>
    </w:p>
    <w:p w14:paraId="4F866428">
      <w:pPr>
        <w:numPr>
          <w:ilvl w:val="0"/>
          <w:numId w:val="4"/>
        </w:numPr>
        <w:tabs>
          <w:tab w:val="left" w:pos="0"/>
          <w:tab w:val="clear" w:pos="376"/>
        </w:tabs>
        <w:adjustRightInd w:val="0"/>
        <w:snapToGrid w:val="0"/>
        <w:spacing w:line="360" w:lineRule="auto"/>
        <w:ind w:left="0"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双方约定承包人应做的其它工作：</w:t>
      </w:r>
      <w:r>
        <w:rPr>
          <w:rFonts w:hint="eastAsia" w:ascii="宋体" w:hAnsi="宋体" w:eastAsia="宋体" w:cs="宋体"/>
          <w:color w:val="auto"/>
          <w:sz w:val="24"/>
          <w:szCs w:val="24"/>
          <w:highlight w:val="none"/>
          <w:u w:val="single"/>
        </w:rPr>
        <w:t xml:space="preserve">  承包人应按期足额向环保行政主管部门缴纳施工噪声排污费  </w:t>
      </w:r>
    </w:p>
    <w:p w14:paraId="08EEBD7B">
      <w:pPr>
        <w:pStyle w:val="5"/>
        <w:numPr>
          <w:ilvl w:val="0"/>
          <w:numId w:val="0"/>
        </w:numPr>
        <w:adjustRightInd w:val="0"/>
        <w:snapToGrid w:val="0"/>
        <w:spacing w:before="60" w:after="60" w:line="360" w:lineRule="auto"/>
        <w:ind w:left="0" w:leftChars="0"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kern w:val="2"/>
          <w:sz w:val="24"/>
          <w:szCs w:val="24"/>
          <w:lang w:val="en-US" w:eastAsia="zh-CN" w:bidi="ar-SA"/>
        </w:rPr>
        <w:t>三、</w:t>
      </w:r>
      <w:r>
        <w:rPr>
          <w:rFonts w:hint="eastAsia" w:ascii="宋体" w:hAnsi="宋体" w:eastAsia="宋体" w:cs="宋体"/>
          <w:b/>
          <w:bCs/>
          <w:color w:val="auto"/>
          <w:sz w:val="24"/>
          <w:szCs w:val="24"/>
          <w:highlight w:val="none"/>
        </w:rPr>
        <w:t>施工组织设计和工期</w:t>
      </w:r>
    </w:p>
    <w:p w14:paraId="6820AC92">
      <w:pPr>
        <w:pStyle w:val="5"/>
        <w:adjustRightInd w:val="0"/>
        <w:snapToGrid w:val="0"/>
        <w:spacing w:before="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10.进度计划</w:t>
      </w:r>
    </w:p>
    <w:p w14:paraId="196163C7">
      <w:pPr>
        <w:adjustRightInd w:val="0"/>
        <w:snapToGrid w:val="0"/>
        <w:spacing w:line="360" w:lineRule="auto"/>
        <w:ind w:right="-6" w:rightChars="-3" w:firstLine="520" w:firstLineChars="217"/>
        <w:rPr>
          <w:rFonts w:hint="eastAsia" w:ascii="宋体" w:hAnsi="宋体" w:cs="宋体"/>
          <w:color w:val="auto"/>
          <w:sz w:val="24"/>
          <w:szCs w:val="24"/>
          <w:highlight w:val="none"/>
          <w:u w:val="single"/>
          <w:lang w:eastAsia="zh-CN"/>
        </w:rPr>
      </w:pPr>
      <w:r>
        <w:rPr>
          <w:rFonts w:hint="eastAsia" w:ascii="宋体" w:hAnsi="宋体" w:eastAsia="宋体" w:cs="宋体"/>
          <w:color w:val="auto"/>
          <w:sz w:val="24"/>
          <w:szCs w:val="24"/>
          <w:highlight w:val="none"/>
        </w:rPr>
        <w:t>10.1承包人提供施工组织设计(施工方案)和进度计划的时间：</w:t>
      </w:r>
      <w:r>
        <w:rPr>
          <w:rFonts w:hint="eastAsia" w:ascii="宋体" w:hAnsi="宋体" w:eastAsia="宋体" w:cs="宋体"/>
          <w:color w:val="auto"/>
          <w:sz w:val="24"/>
          <w:szCs w:val="24"/>
          <w:highlight w:val="none"/>
          <w:u w:val="single"/>
        </w:rPr>
        <w:t>开工前十日内</w:t>
      </w:r>
      <w:r>
        <w:rPr>
          <w:rFonts w:hint="eastAsia" w:ascii="宋体" w:hAnsi="宋体" w:cs="宋体"/>
          <w:color w:val="auto"/>
          <w:sz w:val="24"/>
          <w:szCs w:val="24"/>
          <w:highlight w:val="none"/>
          <w:u w:val="single"/>
          <w:lang w:eastAsia="zh-CN"/>
        </w:rPr>
        <w:t>。</w:t>
      </w:r>
    </w:p>
    <w:p w14:paraId="25436719">
      <w:pPr>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工程师确定的时间：</w:t>
      </w:r>
      <w:r>
        <w:rPr>
          <w:rFonts w:hint="eastAsia" w:ascii="宋体" w:hAnsi="宋体" w:eastAsia="宋体" w:cs="宋体"/>
          <w:color w:val="auto"/>
          <w:sz w:val="24"/>
          <w:szCs w:val="24"/>
          <w:highlight w:val="none"/>
          <w:u w:val="single"/>
        </w:rPr>
        <w:t>收到承包人报告后五日内</w:t>
      </w:r>
    </w:p>
    <w:p w14:paraId="13D3FCA7">
      <w:pPr>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10.2群体工程中有关进度计划的要求：</w:t>
      </w:r>
      <w:r>
        <w:rPr>
          <w:rFonts w:hint="eastAsia" w:ascii="宋体" w:hAnsi="宋体" w:eastAsia="宋体" w:cs="宋体"/>
          <w:color w:val="auto"/>
          <w:sz w:val="24"/>
          <w:szCs w:val="24"/>
          <w:highlight w:val="none"/>
          <w:u w:val="single"/>
        </w:rPr>
        <w:t xml:space="preserve"> 同时开工、按期竣工。</w:t>
      </w:r>
    </w:p>
    <w:p w14:paraId="17F14D52">
      <w:pPr>
        <w:pStyle w:val="5"/>
        <w:adjustRightInd w:val="0"/>
        <w:snapToGrid w:val="0"/>
        <w:spacing w:before="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13.工期延误</w:t>
      </w:r>
    </w:p>
    <w:p w14:paraId="063019BD">
      <w:pPr>
        <w:pStyle w:val="11"/>
        <w:spacing w:line="360" w:lineRule="auto"/>
        <w:ind w:left="0" w:right="-6" w:rightChars="-3" w:firstLine="523" w:firstLineChars="21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13.1 双方约定工期顺延的其他情况：</w:t>
      </w:r>
      <w:r>
        <w:rPr>
          <w:rFonts w:hint="eastAsia" w:ascii="宋体" w:hAnsi="宋体" w:eastAsia="宋体" w:cs="宋体"/>
          <w:color w:val="auto"/>
          <w:sz w:val="24"/>
          <w:szCs w:val="24"/>
          <w:highlight w:val="none"/>
          <w:u w:val="single"/>
        </w:rPr>
        <w:t xml:space="preserve">工期延误 </w:t>
      </w:r>
      <w:r>
        <w:rPr>
          <w:rFonts w:hint="eastAsia" w:ascii="宋体" w:hAnsi="宋体" w:eastAsia="宋体" w:cs="宋体"/>
          <w:color w:val="auto"/>
          <w:kern w:val="2"/>
          <w:sz w:val="24"/>
          <w:szCs w:val="24"/>
          <w:highlight w:val="none"/>
          <w:u w:val="single"/>
        </w:rPr>
        <w:t>1、因以下原因造成工期延误，经工程师确认，工期相应顺延：（1）发包人未能按专用条款的约定提供图纸及开工条件；（2）发包人未能按约定日期支付工程预付款、进度款，致使施工不能正常进行；（3）工程师未按合同约定提供所需指令、批准等，致使施工不能正常进行；（4）设计变更和工程量增加；（5）一周内非承包人原因停水、停电、停气造成停工累计超过8小时；（6）不可抗力；（7）专用条款中约定或工程师同意工期顺延的其他情况。</w:t>
      </w:r>
      <w:r>
        <w:rPr>
          <w:rFonts w:hint="eastAsia" w:ascii="宋体" w:hAnsi="宋体" w:eastAsia="宋体" w:cs="宋体"/>
          <w:color w:val="auto"/>
          <w:sz w:val="24"/>
          <w:szCs w:val="24"/>
          <w:highlight w:val="none"/>
          <w:u w:val="single"/>
        </w:rPr>
        <w:t xml:space="preserve">2、承包人在13.1款情况发生后14天内，就延误的工期以书面形式向工程师提出报告。工程师在收到报告后14天内予以确认，逾期不予确认也不提出修改意见，视为同意顺延工期。 </w:t>
      </w:r>
    </w:p>
    <w:p w14:paraId="7B7E7279">
      <w:pPr>
        <w:pStyle w:val="5"/>
        <w:numPr>
          <w:ilvl w:val="0"/>
          <w:numId w:val="0"/>
        </w:numPr>
        <w:adjustRightInd w:val="0"/>
        <w:snapToGrid w:val="0"/>
        <w:spacing w:before="60" w:after="60" w:line="360" w:lineRule="auto"/>
        <w:ind w:left="0" w:leftChars="0"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kern w:val="2"/>
          <w:sz w:val="24"/>
          <w:szCs w:val="24"/>
          <w:lang w:val="en-US" w:eastAsia="zh-CN" w:bidi="ar-SA"/>
        </w:rPr>
        <w:t>四、</w:t>
      </w:r>
      <w:r>
        <w:rPr>
          <w:rFonts w:hint="eastAsia" w:ascii="宋体" w:hAnsi="宋体" w:eastAsia="宋体" w:cs="宋体"/>
          <w:b/>
          <w:bCs/>
          <w:color w:val="auto"/>
          <w:sz w:val="24"/>
          <w:szCs w:val="24"/>
          <w:highlight w:val="none"/>
        </w:rPr>
        <w:t>质量与检验</w:t>
      </w:r>
    </w:p>
    <w:p w14:paraId="41272DC8">
      <w:pPr>
        <w:pStyle w:val="5"/>
        <w:adjustRightInd w:val="0"/>
        <w:snapToGrid w:val="0"/>
        <w:spacing w:before="60" w:line="360" w:lineRule="auto"/>
        <w:ind w:right="-6" w:rightChars="-3" w:firstLine="520" w:firstLineChars="217"/>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17、隐蔽工程和中间验收</w:t>
      </w:r>
    </w:p>
    <w:p w14:paraId="4C474743">
      <w:pPr>
        <w:pStyle w:val="5"/>
        <w:adjustRightInd w:val="0"/>
        <w:snapToGrid w:val="0"/>
        <w:spacing w:line="360" w:lineRule="auto"/>
        <w:ind w:right="-6" w:rightChars="-3" w:firstLine="520" w:firstLineChars="217"/>
        <w:rPr>
          <w:rFonts w:hint="eastAsia" w:ascii="宋体" w:hAnsi="宋体" w:eastAsia="宋体" w:cs="宋体"/>
          <w:color w:val="auto"/>
          <w:spacing w:val="8"/>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bCs/>
          <w:color w:val="auto"/>
          <w:sz w:val="24"/>
          <w:szCs w:val="24"/>
          <w:highlight w:val="none"/>
        </w:rPr>
        <w:t>1双方约定中间验收部位</w:t>
      </w:r>
      <w:r>
        <w:rPr>
          <w:rFonts w:hint="eastAsia" w:ascii="宋体" w:hAnsi="宋体" w:eastAsia="宋体" w:cs="宋体"/>
          <w:bCs/>
          <w:color w:val="auto"/>
          <w:sz w:val="24"/>
          <w:szCs w:val="24"/>
          <w:highlight w:val="none"/>
          <w:u w:val="single"/>
        </w:rPr>
        <w:t>：</w:t>
      </w:r>
      <w:r>
        <w:rPr>
          <w:rFonts w:hint="eastAsia" w:ascii="宋体" w:hAnsi="宋体" w:eastAsia="宋体" w:cs="宋体"/>
          <w:color w:val="auto"/>
          <w:spacing w:val="8"/>
          <w:sz w:val="24"/>
          <w:szCs w:val="24"/>
          <w:highlight w:val="none"/>
          <w:u w:val="single"/>
        </w:rPr>
        <w:t xml:space="preserve">除按规定进行正常隐蔽工程验收外，中间验收部分：基础、±0、封顶、屋面保温层验收。   </w:t>
      </w:r>
    </w:p>
    <w:p w14:paraId="57F48BF4">
      <w:pPr>
        <w:pStyle w:val="5"/>
        <w:adjustRightInd w:val="0"/>
        <w:snapToGrid w:val="0"/>
        <w:spacing w:before="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19.工程试车</w:t>
      </w:r>
    </w:p>
    <w:p w14:paraId="5DFE08FC">
      <w:pPr>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试车费用的承担：</w:t>
      </w:r>
      <w:r>
        <w:rPr>
          <w:rFonts w:hint="eastAsia" w:ascii="宋体" w:hAnsi="宋体" w:eastAsia="宋体" w:cs="宋体"/>
          <w:color w:val="auto"/>
          <w:sz w:val="24"/>
          <w:szCs w:val="24"/>
          <w:highlight w:val="none"/>
          <w:u w:val="single"/>
        </w:rPr>
        <w:t>动力照明通电费、给排水、采暖及卫生设备试水费均由承包人承担。</w:t>
      </w:r>
    </w:p>
    <w:p w14:paraId="2D5F83FB">
      <w:pPr>
        <w:pStyle w:val="5"/>
        <w:numPr>
          <w:ilvl w:val="0"/>
          <w:numId w:val="0"/>
        </w:numPr>
        <w:adjustRightInd w:val="0"/>
        <w:snapToGrid w:val="0"/>
        <w:spacing w:before="60" w:after="60" w:line="360" w:lineRule="auto"/>
        <w:ind w:left="0" w:leftChars="0"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kern w:val="2"/>
          <w:sz w:val="24"/>
          <w:szCs w:val="24"/>
          <w:lang w:val="en-US" w:eastAsia="zh-CN" w:bidi="ar-SA"/>
        </w:rPr>
        <w:t>五、</w:t>
      </w:r>
      <w:r>
        <w:rPr>
          <w:rFonts w:hint="eastAsia" w:ascii="宋体" w:hAnsi="宋体" w:eastAsia="宋体" w:cs="宋体"/>
          <w:b/>
          <w:bCs/>
          <w:color w:val="auto"/>
          <w:sz w:val="24"/>
          <w:szCs w:val="24"/>
          <w:highlight w:val="none"/>
        </w:rPr>
        <w:t>安全防护、文明施工</w:t>
      </w:r>
    </w:p>
    <w:p w14:paraId="460D61EC">
      <w:pPr>
        <w:pStyle w:val="5"/>
        <w:numPr>
          <w:ilvl w:val="0"/>
          <w:numId w:val="0"/>
        </w:numPr>
        <w:adjustRightInd w:val="0"/>
        <w:snapToGrid w:val="0"/>
        <w:spacing w:before="60" w:after="60" w:line="360" w:lineRule="auto"/>
        <w:ind w:left="0" w:leftChars="0"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kern w:val="2"/>
          <w:sz w:val="24"/>
          <w:szCs w:val="24"/>
          <w:lang w:val="en-US" w:eastAsia="zh-CN" w:bidi="ar-SA"/>
        </w:rPr>
        <w:t>六、</w:t>
      </w:r>
      <w:r>
        <w:rPr>
          <w:rFonts w:hint="eastAsia" w:ascii="宋体" w:hAnsi="宋体" w:eastAsia="宋体" w:cs="宋体"/>
          <w:b/>
          <w:bCs/>
          <w:color w:val="auto"/>
          <w:sz w:val="24"/>
          <w:szCs w:val="24"/>
          <w:highlight w:val="none"/>
        </w:rPr>
        <w:t>合同价款与支付</w:t>
      </w:r>
    </w:p>
    <w:p w14:paraId="2F87920A">
      <w:pPr>
        <w:pStyle w:val="5"/>
        <w:adjustRightInd w:val="0"/>
        <w:snapToGrid w:val="0"/>
        <w:spacing w:before="60" w:line="360" w:lineRule="auto"/>
        <w:ind w:right="-6" w:rightChars="-3" w:firstLine="520" w:firstLineChars="217"/>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26、合同价款约定</w:t>
      </w:r>
    </w:p>
    <w:p w14:paraId="7727DDCA">
      <w:pPr>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26.2本合同价款采用</w:t>
      </w:r>
      <w:r>
        <w:rPr>
          <w:rFonts w:hint="eastAsia" w:ascii="宋体" w:hAnsi="宋体" w:eastAsia="宋体" w:cs="宋体"/>
          <w:color w:val="auto"/>
          <w:sz w:val="24"/>
          <w:szCs w:val="24"/>
          <w:highlight w:val="none"/>
          <w:u w:val="single"/>
        </w:rPr>
        <w:t xml:space="preserve">  固定综合单价合同  </w:t>
      </w:r>
      <w:r>
        <w:rPr>
          <w:rFonts w:hint="eastAsia" w:ascii="宋体" w:hAnsi="宋体" w:eastAsia="宋体" w:cs="宋体"/>
          <w:color w:val="auto"/>
          <w:sz w:val="24"/>
          <w:szCs w:val="24"/>
          <w:highlight w:val="none"/>
        </w:rPr>
        <w:t>方式确定。</w:t>
      </w:r>
    </w:p>
    <w:p w14:paraId="46F6BEAA">
      <w:pPr>
        <w:numPr>
          <w:ilvl w:val="0"/>
          <w:numId w:val="5"/>
        </w:numPr>
        <w:adjustRightInd w:val="0"/>
        <w:snapToGrid w:val="0"/>
        <w:spacing w:line="360" w:lineRule="auto"/>
        <w:ind w:left="0"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采用固定总价合同：</w:t>
      </w:r>
      <w:r>
        <w:rPr>
          <w:rFonts w:hint="eastAsia" w:ascii="宋体" w:hAnsi="宋体" w:eastAsia="宋体" w:cs="宋体"/>
          <w:color w:val="auto"/>
          <w:sz w:val="24"/>
          <w:szCs w:val="24"/>
          <w:highlight w:val="none"/>
          <w:u w:val="single"/>
        </w:rPr>
        <w:t xml:space="preserve">                          /                             </w:t>
      </w:r>
    </w:p>
    <w:p w14:paraId="6DA92F82">
      <w:pPr>
        <w:numPr>
          <w:ilvl w:val="0"/>
          <w:numId w:val="5"/>
        </w:numPr>
        <w:tabs>
          <w:tab w:val="left" w:pos="0"/>
          <w:tab w:val="clear" w:pos="560"/>
        </w:tabs>
        <w:adjustRightInd w:val="0"/>
        <w:snapToGrid w:val="0"/>
        <w:spacing w:line="360" w:lineRule="auto"/>
        <w:ind w:left="0"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采用固定单价合同，综合单价中包括的风险范围：</w:t>
      </w:r>
      <w:r>
        <w:rPr>
          <w:rFonts w:hint="eastAsia" w:ascii="宋体" w:hAnsi="宋体" w:eastAsia="宋体" w:cs="宋体"/>
          <w:color w:val="auto"/>
          <w:sz w:val="24"/>
          <w:szCs w:val="24"/>
          <w:highlight w:val="none"/>
          <w:u w:val="single"/>
        </w:rPr>
        <w:t xml:space="preserve">  应由承包人承担的风险费用已由承包人根据自身经验、实力及工程实际情况做了充分估计并已计入合同价款中，风险费用未单独计列的，应认为已经包含在合同价款之中。由于现场签证或由于设计变更引起新的工程量清单项目：ⅰ.投标报价清单中已有适用于变更工程的价格，按清单已有的价格变更合同价款；ⅱ. 投标报价清单中只有类似于变更工程的价格，可以参照类似价格变更合同价款；ⅲ. 投标报价清单中没有适用或类似于变更工程的价格，由承包人或发包人提出适当的变更价格，经对方确认后执行。如双方不能达成一致的，双方可提请工程所在地工程造价管理机构进行咨询或按合同约定的争议或纠纷解决程序办理。                                         </w:t>
      </w:r>
    </w:p>
    <w:p w14:paraId="373A28B7">
      <w:pPr>
        <w:numPr>
          <w:ilvl w:val="0"/>
          <w:numId w:val="5"/>
        </w:numPr>
        <w:tabs>
          <w:tab w:val="left" w:pos="0"/>
          <w:tab w:val="clear" w:pos="560"/>
        </w:tabs>
        <w:adjustRightInd w:val="0"/>
        <w:snapToGrid w:val="0"/>
        <w:spacing w:line="360" w:lineRule="auto"/>
        <w:ind w:left="0"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风险范围以外合同价款调整方法：</w:t>
      </w:r>
      <w:r>
        <w:rPr>
          <w:rFonts w:hint="eastAsia" w:ascii="宋体" w:hAnsi="宋体" w:eastAsia="宋体" w:cs="宋体"/>
          <w:color w:val="auto"/>
          <w:sz w:val="24"/>
          <w:szCs w:val="24"/>
          <w:highlight w:val="none"/>
          <w:u w:val="single"/>
        </w:rPr>
        <w:t xml:space="preserve">    1）清单工程量</w:t>
      </w:r>
      <w:r>
        <w:rPr>
          <w:rFonts w:hint="eastAsia" w:ascii="宋体" w:hAnsi="宋体" w:eastAsia="宋体" w:cs="宋体"/>
          <w:color w:val="auto"/>
          <w:sz w:val="24"/>
          <w:szCs w:val="24"/>
          <w:highlight w:val="none"/>
          <w:u w:val="single"/>
          <w:lang w:eastAsia="zh-CN"/>
        </w:rPr>
        <w:t>工程价格</w:t>
      </w:r>
      <w:r>
        <w:rPr>
          <w:rFonts w:hint="eastAsia" w:ascii="宋体" w:hAnsi="宋体" w:eastAsia="宋体" w:cs="宋体"/>
          <w:color w:val="auto"/>
          <w:sz w:val="24"/>
          <w:szCs w:val="24"/>
          <w:highlight w:val="none"/>
          <w:u w:val="single"/>
        </w:rPr>
        <w:t>，风险范围为±5%，当超出±5%时（5%以内的不予调整，只调整5%以外的部分）按照清单报价进行调整，清单报价没有包含的经甲乙双方协商按市场价据实进行调整。</w:t>
      </w:r>
    </w:p>
    <w:p w14:paraId="64658652">
      <w:pPr>
        <w:numPr>
          <w:ilvl w:val="0"/>
          <w:numId w:val="0"/>
        </w:numPr>
        <w:tabs>
          <w:tab w:val="left" w:pos="0"/>
        </w:tabs>
        <w:adjustRightInd w:val="0"/>
        <w:snapToGrid w:val="0"/>
        <w:spacing w:line="360" w:lineRule="auto"/>
        <w:ind w:leftChars="217" w:right="-6" w:rightChars="-3"/>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2）清单工程中的零星工程量，实际发生时，以签证</w:t>
      </w:r>
      <w:r>
        <w:rPr>
          <w:rFonts w:hint="eastAsia" w:ascii="宋体" w:hAnsi="宋体" w:eastAsia="宋体" w:cs="宋体"/>
          <w:color w:val="auto"/>
          <w:sz w:val="24"/>
          <w:szCs w:val="24"/>
          <w:highlight w:val="none"/>
          <w:u w:val="single"/>
          <w:lang w:eastAsia="zh-CN"/>
        </w:rPr>
        <w:t>单</w:t>
      </w:r>
      <w:r>
        <w:rPr>
          <w:rFonts w:hint="eastAsia" w:ascii="宋体" w:hAnsi="宋体" w:eastAsia="宋体" w:cs="宋体"/>
          <w:color w:val="auto"/>
          <w:sz w:val="24"/>
          <w:szCs w:val="24"/>
          <w:highlight w:val="none"/>
          <w:u w:val="single"/>
        </w:rPr>
        <w:t>量为准。其余清单量与实际不符时，经监理工程师会同双方核实签认后，以签</w:t>
      </w:r>
      <w:r>
        <w:rPr>
          <w:rFonts w:hint="eastAsia" w:ascii="宋体" w:hAnsi="宋体" w:eastAsia="宋体" w:cs="宋体"/>
          <w:color w:val="auto"/>
          <w:sz w:val="24"/>
          <w:szCs w:val="24"/>
          <w:highlight w:val="none"/>
          <w:u w:val="single"/>
          <w:lang w:eastAsia="zh-CN"/>
        </w:rPr>
        <w:t>证单为准</w:t>
      </w:r>
      <w:r>
        <w:rPr>
          <w:rFonts w:hint="eastAsia" w:ascii="宋体" w:hAnsi="宋体" w:eastAsia="宋体" w:cs="宋体"/>
          <w:color w:val="auto"/>
          <w:sz w:val="24"/>
          <w:szCs w:val="24"/>
          <w:highlight w:val="none"/>
          <w:u w:val="single"/>
        </w:rPr>
        <w:t>，并按本专用条款第34.（2）款办理结算。</w:t>
      </w:r>
    </w:p>
    <w:p w14:paraId="1A0803E7">
      <w:pPr>
        <w:numPr>
          <w:ilvl w:val="0"/>
          <w:numId w:val="0"/>
        </w:numPr>
        <w:tabs>
          <w:tab w:val="left" w:pos="0"/>
        </w:tabs>
        <w:adjustRightInd w:val="0"/>
        <w:snapToGrid w:val="0"/>
        <w:spacing w:line="360" w:lineRule="auto"/>
        <w:ind w:leftChars="217" w:right="-6" w:rightChars="-3"/>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3）因发包人原因发生的工程变更、设计变更，依照文件、答疑纪要、变更文件、现场签证、洽商文件等，由发包人认质、认量、认价。</w:t>
      </w:r>
    </w:p>
    <w:p w14:paraId="5302264C">
      <w:pPr>
        <w:numPr>
          <w:ilvl w:val="0"/>
          <w:numId w:val="0"/>
        </w:numPr>
        <w:tabs>
          <w:tab w:val="left" w:pos="0"/>
        </w:tabs>
        <w:adjustRightInd w:val="0"/>
        <w:snapToGrid w:val="0"/>
        <w:spacing w:line="360" w:lineRule="auto"/>
        <w:ind w:leftChars="217" w:right="-6" w:rightChars="-3"/>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4）投标时因承包人漏报即报价失误的项目不予调整。</w:t>
      </w:r>
    </w:p>
    <w:p w14:paraId="139F631F">
      <w:pPr>
        <w:numPr>
          <w:ilvl w:val="0"/>
          <w:numId w:val="0"/>
        </w:numPr>
        <w:tabs>
          <w:tab w:val="left" w:pos="0"/>
        </w:tabs>
        <w:adjustRightInd w:val="0"/>
        <w:snapToGrid w:val="0"/>
        <w:spacing w:line="360" w:lineRule="auto"/>
        <w:ind w:leftChars="217" w:right="-6" w:rightChars="-3"/>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5）综合单价是支付工程进度款、计算工程变更增减及竣工结算的依据。</w:t>
      </w:r>
    </w:p>
    <w:p w14:paraId="47E5C9CF">
      <w:pPr>
        <w:numPr>
          <w:ilvl w:val="0"/>
          <w:numId w:val="0"/>
        </w:numPr>
        <w:tabs>
          <w:tab w:val="left" w:pos="0"/>
        </w:tabs>
        <w:adjustRightInd w:val="0"/>
        <w:snapToGrid w:val="0"/>
        <w:spacing w:line="360" w:lineRule="auto"/>
        <w:ind w:leftChars="217" w:right="-6" w:rightChars="-3"/>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6）措施项目费已全部包含在合同价款内。如在合同执行期内上级主管部门出台新的规章制度，按新规定执行。      </w:t>
      </w:r>
    </w:p>
    <w:p w14:paraId="1B306861">
      <w:pPr>
        <w:numPr>
          <w:ilvl w:val="0"/>
          <w:numId w:val="0"/>
        </w:numPr>
        <w:tabs>
          <w:tab w:val="left" w:pos="0"/>
        </w:tabs>
        <w:adjustRightInd w:val="0"/>
        <w:snapToGrid w:val="0"/>
        <w:spacing w:line="360" w:lineRule="auto"/>
        <w:ind w:leftChars="217" w:right="-6" w:rightChars="-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工程施工期间材料价格与投标材料价格与投标材料价格偏差超过</w:t>
      </w:r>
      <w:r>
        <w:rPr>
          <w:rFonts w:hint="eastAsia" w:ascii="宋体" w:hAnsi="宋体" w:eastAsia="宋体" w:cs="宋体"/>
          <w:color w:val="auto"/>
          <w:sz w:val="24"/>
          <w:szCs w:val="24"/>
          <w:highlight w:val="none"/>
          <w:u w:val="single"/>
          <w:lang w:val="en-US" w:eastAsia="zh-CN"/>
        </w:rPr>
        <w:t>5%时执行建设行政主管部门颁发的材料信息价。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采用可调价格合同，合同价款调整方法：</w:t>
      </w:r>
      <w:r>
        <w:rPr>
          <w:rFonts w:hint="eastAsia" w:ascii="宋体" w:hAnsi="宋体" w:eastAsia="宋体" w:cs="宋体"/>
          <w:color w:val="auto"/>
          <w:sz w:val="24"/>
          <w:szCs w:val="24"/>
          <w:highlight w:val="none"/>
          <w:u w:val="single"/>
        </w:rPr>
        <w:t xml:space="preserve">           /                          </w:t>
      </w:r>
    </w:p>
    <w:p w14:paraId="55D286B1">
      <w:pPr>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27、合同价款调整</w:t>
      </w:r>
    </w:p>
    <w:p w14:paraId="2A8E9028">
      <w:pPr>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27.1双方约定合同价款的其他调整因素：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对于施工过程中因设计变更、现场签证原因发生的工程量，经</w:t>
      </w:r>
      <w:r>
        <w:rPr>
          <w:rFonts w:hint="eastAsia" w:ascii="宋体" w:hAnsi="宋体" w:eastAsia="宋体" w:cs="宋体"/>
          <w:color w:val="auto"/>
          <w:sz w:val="24"/>
          <w:szCs w:val="24"/>
          <w:highlight w:val="none"/>
          <w:u w:val="single"/>
          <w:lang w:val="en-US" w:eastAsia="zh-CN"/>
        </w:rPr>
        <w:t>甲方</w:t>
      </w:r>
      <w:r>
        <w:rPr>
          <w:rFonts w:hint="eastAsia" w:ascii="宋体" w:hAnsi="宋体" w:eastAsia="宋体" w:cs="宋体"/>
          <w:color w:val="auto"/>
          <w:sz w:val="24"/>
          <w:szCs w:val="24"/>
          <w:highlight w:val="none"/>
          <w:u w:val="single"/>
          <w:lang w:eastAsia="zh-CN"/>
        </w:rPr>
        <w:t xml:space="preserve">确认后，竣工结算时按下列有关规定进行结算：1、合同已有适用于设计变更、现场签证的综合单价，按合同已有的综合单价结算；2、合同中只有类似于设计变更、现场签证的综合单价，参照类似综合单价进行结算；3、合同中没有适用或类似于设计变更、现场签证的综合单价，按工程上限控制价的编制原则编制出其综合单价，再依中标价与工程上限控制价的下浮比例下浮，作为结算单价。4、因承包人原因发生的设计变更，合同价款不作调整，若因此给发包人造成的损失的，承包人应全额赔偿。 </w:t>
      </w:r>
      <w:r>
        <w:rPr>
          <w:rFonts w:hint="eastAsia" w:ascii="宋体" w:hAnsi="宋体" w:eastAsia="宋体" w:cs="宋体"/>
          <w:color w:val="auto"/>
          <w:sz w:val="24"/>
          <w:szCs w:val="24"/>
          <w:highlight w:val="none"/>
          <w:u w:val="single"/>
        </w:rPr>
        <w:t xml:space="preserve">     </w:t>
      </w:r>
    </w:p>
    <w:p w14:paraId="4E531C6E">
      <w:pPr>
        <w:pStyle w:val="5"/>
        <w:adjustRightInd w:val="0"/>
        <w:snapToGrid w:val="0"/>
        <w:spacing w:before="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28、工程预付款</w:t>
      </w:r>
    </w:p>
    <w:p w14:paraId="414E70CB">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发包人向承包人预付工程款的时间和金额或占合同价款总额的比例：</w:t>
      </w:r>
      <w:r>
        <w:rPr>
          <w:rFonts w:hint="eastAsia" w:ascii="宋体" w:hAnsi="宋体" w:eastAsia="宋体" w:cs="宋体"/>
          <w:color w:val="auto"/>
          <w:sz w:val="24"/>
          <w:szCs w:val="24"/>
          <w:highlight w:val="none"/>
          <w:u w:val="single"/>
          <w:lang w:val="en-US" w:eastAsia="zh-CN"/>
        </w:rPr>
        <w:t>双方签订合同后7日内，甲方支付乙方合同总价30%的预付款</w:t>
      </w:r>
      <w:r>
        <w:rPr>
          <w:rFonts w:hint="eastAsia" w:ascii="宋体" w:hAnsi="宋体" w:eastAsia="宋体" w:cs="宋体"/>
          <w:color w:val="auto"/>
          <w:sz w:val="24"/>
          <w:szCs w:val="24"/>
          <w:highlight w:val="none"/>
        </w:rPr>
        <w:t xml:space="preserve">。                                   </w:t>
      </w:r>
    </w:p>
    <w:p w14:paraId="11DE1890">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扣回工程款的时间、比例：</w:t>
      </w:r>
      <w:r>
        <w:rPr>
          <w:rFonts w:hint="eastAsia" w:ascii="宋体" w:hAnsi="宋体" w:eastAsia="宋体" w:cs="宋体"/>
          <w:color w:val="auto"/>
          <w:sz w:val="24"/>
          <w:szCs w:val="24"/>
          <w:highlight w:val="none"/>
          <w:u w:val="single"/>
          <w:lang w:val="en-US" w:eastAsia="zh-CN"/>
        </w:rPr>
        <w:t>预付款在支付进度款时予以扣除</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8162C51">
      <w:pPr>
        <w:pStyle w:val="5"/>
        <w:adjustRightInd w:val="0"/>
        <w:snapToGrid w:val="0"/>
        <w:spacing w:before="60"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预付安全防护、文明施工措施费用的比例和时间：</w:t>
      </w:r>
      <w:r>
        <w:rPr>
          <w:rFonts w:hint="eastAsia" w:ascii="宋体" w:hAnsi="宋体" w:eastAsia="宋体" w:cs="宋体"/>
          <w:color w:val="auto"/>
          <w:sz w:val="24"/>
          <w:szCs w:val="24"/>
          <w:highlight w:val="none"/>
          <w:u w:val="single"/>
        </w:rPr>
        <w:t xml:space="preserve">本工程建筑工程安全防护、文明施工措施费用在开工前一次性足额支付。 </w:t>
      </w:r>
    </w:p>
    <w:p w14:paraId="3743F82C">
      <w:pPr>
        <w:pStyle w:val="5"/>
        <w:adjustRightInd w:val="0"/>
        <w:snapToGrid w:val="0"/>
        <w:spacing w:before="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29、工程量的确认</w:t>
      </w:r>
    </w:p>
    <w:p w14:paraId="7BF586D6">
      <w:pPr>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29.1承包人向工程师提交已完工程量报告的时间：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p>
    <w:p w14:paraId="6725CD97">
      <w:pPr>
        <w:pStyle w:val="5"/>
        <w:adjustRightInd w:val="0"/>
        <w:snapToGrid w:val="0"/>
        <w:spacing w:before="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30、工程款进度款结算与支付</w:t>
      </w:r>
    </w:p>
    <w:p w14:paraId="1C5A50FA">
      <w:pPr>
        <w:pStyle w:val="5"/>
        <w:numPr>
          <w:ilvl w:val="0"/>
          <w:numId w:val="0"/>
        </w:numPr>
        <w:adjustRightInd w:val="0"/>
        <w:snapToGrid w:val="0"/>
        <w:spacing w:before="60" w:after="60" w:line="360" w:lineRule="auto"/>
        <w:ind w:left="0" w:leftChars="0" w:right="-6" w:rightChars="-3" w:firstLine="520" w:firstLineChars="217"/>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rPr>
        <w:t>双方约定的工程款进度款支付的方式、时间和比例是：</w:t>
      </w:r>
      <w:r>
        <w:rPr>
          <w:rFonts w:hint="eastAsia" w:ascii="宋体" w:hAnsi="宋体" w:eastAsia="宋体" w:cs="宋体"/>
          <w:color w:val="auto"/>
          <w:sz w:val="24"/>
          <w:szCs w:val="24"/>
          <w:highlight w:val="none"/>
          <w:u w:val="single"/>
          <w:lang w:val="en-US" w:eastAsia="zh-CN"/>
        </w:rPr>
        <w:t>（1）工程竣工，验收合格后支付合同总价款的80%；（2）审计结束，累计支付合同总价款的97%（3）留合同总价款的3%作为质保金，在质保期满12个月后的7个工作日内支付。</w:t>
      </w:r>
    </w:p>
    <w:p w14:paraId="61F365D5">
      <w:pPr>
        <w:pStyle w:val="5"/>
        <w:numPr>
          <w:ilvl w:val="0"/>
          <w:numId w:val="0"/>
        </w:numPr>
        <w:adjustRightInd w:val="0"/>
        <w:snapToGrid w:val="0"/>
        <w:spacing w:before="60" w:after="60" w:line="360" w:lineRule="auto"/>
        <w:ind w:left="0" w:leftChars="0"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kern w:val="2"/>
          <w:sz w:val="24"/>
          <w:szCs w:val="24"/>
          <w:lang w:val="en-US" w:eastAsia="zh-CN" w:bidi="ar-SA"/>
        </w:rPr>
        <w:t>十、</w:t>
      </w:r>
      <w:r>
        <w:rPr>
          <w:rFonts w:hint="eastAsia" w:ascii="宋体" w:hAnsi="宋体" w:eastAsia="宋体" w:cs="宋体"/>
          <w:b/>
          <w:bCs/>
          <w:color w:val="auto"/>
          <w:sz w:val="24"/>
          <w:szCs w:val="24"/>
          <w:highlight w:val="none"/>
        </w:rPr>
        <w:t>材料设备供应</w:t>
      </w:r>
    </w:p>
    <w:p w14:paraId="536EF0BB">
      <w:pPr>
        <w:adjustRightInd w:val="0"/>
        <w:snapToGrid w:val="0"/>
        <w:spacing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31、 发包人供应材料设备</w:t>
      </w:r>
    </w:p>
    <w:p w14:paraId="1B349690">
      <w:pPr>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31.4发包人供应的材料设备与一览表不符时，双方约定发包人承担责任如下：</w:t>
      </w:r>
    </w:p>
    <w:p w14:paraId="0EAADBC3">
      <w:pPr>
        <w:numPr>
          <w:ilvl w:val="0"/>
          <w:numId w:val="6"/>
        </w:numPr>
        <w:adjustRightInd w:val="0"/>
        <w:snapToGrid w:val="0"/>
        <w:spacing w:line="360" w:lineRule="auto"/>
        <w:ind w:left="0"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材料设备单价与一览表不符：</w:t>
      </w:r>
      <w:r>
        <w:rPr>
          <w:rFonts w:hint="eastAsia" w:ascii="宋体" w:hAnsi="宋体" w:eastAsia="宋体" w:cs="宋体"/>
          <w:color w:val="auto"/>
          <w:sz w:val="24"/>
          <w:szCs w:val="24"/>
          <w:highlight w:val="none"/>
          <w:u w:val="single"/>
        </w:rPr>
        <w:t xml:space="preserve">                    /                        </w:t>
      </w:r>
    </w:p>
    <w:p w14:paraId="62498F81">
      <w:pPr>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(2)材料设备的品种、规格、型号、质量等级与一览表不符：</w:t>
      </w:r>
      <w:r>
        <w:rPr>
          <w:rFonts w:hint="eastAsia" w:ascii="宋体" w:hAnsi="宋体" w:eastAsia="宋体" w:cs="宋体"/>
          <w:color w:val="auto"/>
          <w:sz w:val="24"/>
          <w:szCs w:val="24"/>
          <w:highlight w:val="none"/>
          <w:u w:val="single"/>
        </w:rPr>
        <w:t xml:space="preserve">          /                </w:t>
      </w:r>
    </w:p>
    <w:p w14:paraId="0831A2C3">
      <w:pPr>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w:t>
      </w:r>
    </w:p>
    <w:p w14:paraId="3381AEB3">
      <w:pPr>
        <w:pStyle w:val="11"/>
        <w:spacing w:line="360" w:lineRule="auto"/>
        <w:ind w:left="0"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(3)承包人可代为调剂串换的材料：</w:t>
      </w:r>
      <w:r>
        <w:rPr>
          <w:rFonts w:hint="eastAsia" w:ascii="宋体" w:hAnsi="宋体" w:eastAsia="宋体" w:cs="宋体"/>
          <w:color w:val="auto"/>
          <w:sz w:val="24"/>
          <w:szCs w:val="24"/>
          <w:highlight w:val="none"/>
          <w:u w:val="single"/>
        </w:rPr>
        <w:t xml:space="preserve">                       /                     </w:t>
      </w:r>
    </w:p>
    <w:p w14:paraId="2AB6E33B">
      <w:pPr>
        <w:pStyle w:val="11"/>
        <w:spacing w:line="360" w:lineRule="auto"/>
        <w:ind w:right="-6" w:rightChars="-3"/>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u w:val="single"/>
        </w:rPr>
        <w:t xml:space="preserve">                                                                              </w:t>
      </w:r>
    </w:p>
    <w:p w14:paraId="29E3F794">
      <w:pPr>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(4)到货地点与一览表不符：</w:t>
      </w:r>
      <w:r>
        <w:rPr>
          <w:rFonts w:hint="eastAsia" w:ascii="宋体" w:hAnsi="宋体" w:eastAsia="宋体" w:cs="宋体"/>
          <w:color w:val="auto"/>
          <w:sz w:val="24"/>
          <w:szCs w:val="24"/>
          <w:highlight w:val="none"/>
          <w:u w:val="single"/>
        </w:rPr>
        <w:t xml:space="preserve">                            /                      </w:t>
      </w:r>
    </w:p>
    <w:p w14:paraId="5187E62E">
      <w:pPr>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(5)供应数量与一览表不符：</w:t>
      </w:r>
      <w:r>
        <w:rPr>
          <w:rFonts w:hint="eastAsia" w:ascii="宋体" w:hAnsi="宋体" w:eastAsia="宋体" w:cs="宋体"/>
          <w:color w:val="auto"/>
          <w:sz w:val="24"/>
          <w:szCs w:val="24"/>
          <w:highlight w:val="none"/>
          <w:u w:val="single"/>
        </w:rPr>
        <w:t xml:space="preserve">                            /                     </w:t>
      </w:r>
    </w:p>
    <w:p w14:paraId="3E245EC7">
      <w:pPr>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(6)到货时间与一览表不符： </w:t>
      </w:r>
      <w:r>
        <w:rPr>
          <w:rFonts w:hint="eastAsia" w:ascii="宋体" w:hAnsi="宋体" w:eastAsia="宋体" w:cs="宋体"/>
          <w:color w:val="auto"/>
          <w:sz w:val="24"/>
          <w:szCs w:val="24"/>
          <w:highlight w:val="none"/>
          <w:u w:val="single"/>
        </w:rPr>
        <w:t xml:space="preserve">                            /                     </w:t>
      </w:r>
    </w:p>
    <w:p w14:paraId="5D5A45B8">
      <w:pPr>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w:t>
      </w:r>
    </w:p>
    <w:p w14:paraId="1FF96795">
      <w:pPr>
        <w:adjustRightInd w:val="0"/>
        <w:snapToGrid w:val="0"/>
        <w:spacing w:line="360" w:lineRule="auto"/>
        <w:ind w:right="-6" w:rightChars="-3" w:firstLine="480" w:firstLineChars="200"/>
        <w:rPr>
          <w:rFonts w:hint="eastAsia" w:ascii="宋体" w:hAnsi="宋体" w:eastAsia="宋体" w:cs="宋体"/>
          <w:color w:val="auto"/>
          <w:sz w:val="24"/>
          <w:szCs w:val="24"/>
          <w:highlight w:val="none"/>
          <w:u w:val="single"/>
        </w:rPr>
      </w:pP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7</w:t>
      </w:r>
      <w:r>
        <w:rPr>
          <w:rFonts w:hint="eastAsia" w:ascii="宋体" w:hAnsi="宋体" w:cs="宋体"/>
          <w:color w:val="auto"/>
          <w:sz w:val="24"/>
          <w:szCs w:val="24"/>
          <w:highlight w:val="none"/>
          <w:u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辅料就地取材</w:t>
      </w:r>
      <w:r>
        <w:rPr>
          <w:rFonts w:hint="eastAsia" w:ascii="宋体" w:hAnsi="宋体" w:eastAsia="宋体" w:cs="宋体"/>
          <w:color w:val="auto"/>
          <w:sz w:val="24"/>
          <w:szCs w:val="24"/>
          <w:highlight w:val="none"/>
          <w:u w:val="single"/>
        </w:rPr>
        <w:t xml:space="preserve">  </w:t>
      </w:r>
    </w:p>
    <w:p w14:paraId="1878FE40">
      <w:pPr>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31.6发包人供应材料设备的结算方法：</w:t>
      </w:r>
      <w:r>
        <w:rPr>
          <w:rFonts w:hint="eastAsia" w:ascii="宋体" w:hAnsi="宋体" w:eastAsia="宋体" w:cs="宋体"/>
          <w:color w:val="auto"/>
          <w:sz w:val="24"/>
          <w:szCs w:val="24"/>
          <w:highlight w:val="none"/>
          <w:u w:val="single"/>
        </w:rPr>
        <w:t xml:space="preserve">                    /                    </w:t>
      </w:r>
    </w:p>
    <w:p w14:paraId="0B3F9DB0">
      <w:pPr>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p>
    <w:p w14:paraId="653EB9C0">
      <w:pPr>
        <w:pStyle w:val="5"/>
        <w:adjustRightInd w:val="0"/>
        <w:snapToGrid w:val="0"/>
        <w:spacing w:before="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32、承包人采购材料设备</w:t>
      </w:r>
    </w:p>
    <w:p w14:paraId="41F8D62D">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32.1承包人采购材料设备的约定：</w:t>
      </w:r>
      <w:r>
        <w:rPr>
          <w:rFonts w:hint="eastAsia" w:ascii="宋体" w:hAnsi="宋体" w:eastAsia="宋体" w:cs="宋体"/>
          <w:color w:val="auto"/>
          <w:sz w:val="24"/>
          <w:szCs w:val="24"/>
          <w:highlight w:val="none"/>
          <w:u w:val="single"/>
        </w:rPr>
        <w:t xml:space="preserve">由发包人暂定价的材料设备必须经发包人认质、认价后，承包人方可采购。 </w:t>
      </w:r>
    </w:p>
    <w:p w14:paraId="6600E83F">
      <w:pPr>
        <w:pStyle w:val="5"/>
        <w:numPr>
          <w:ilvl w:val="0"/>
          <w:numId w:val="0"/>
        </w:numPr>
        <w:adjustRightInd w:val="0"/>
        <w:snapToGrid w:val="0"/>
        <w:spacing w:before="60" w:after="60" w:line="360" w:lineRule="auto"/>
        <w:ind w:left="0" w:leftChars="0"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kern w:val="2"/>
          <w:sz w:val="24"/>
          <w:szCs w:val="24"/>
          <w:lang w:val="en-US" w:eastAsia="zh-CN" w:bidi="ar-SA"/>
        </w:rPr>
        <w:t>十一、</w:t>
      </w:r>
      <w:r>
        <w:rPr>
          <w:rFonts w:hint="eastAsia" w:ascii="宋体" w:hAnsi="宋体" w:eastAsia="宋体" w:cs="宋体"/>
          <w:b/>
          <w:bCs/>
          <w:color w:val="auto"/>
          <w:sz w:val="24"/>
          <w:szCs w:val="24"/>
          <w:highlight w:val="none"/>
        </w:rPr>
        <w:t>工程变更</w:t>
      </w:r>
    </w:p>
    <w:p w14:paraId="0B2F68D9">
      <w:pPr>
        <w:spacing w:after="160"/>
        <w:ind w:firstLine="720" w:firstLineChars="300"/>
        <w:rPr>
          <w:rFonts w:hint="eastAsia" w:ascii="宋体" w:hAnsi="宋体" w:eastAsia="宋体" w:cs="宋体"/>
          <w:b/>
          <w:bCs/>
          <w:color w:val="auto"/>
          <w:sz w:val="24"/>
          <w:szCs w:val="24"/>
          <w:highlight w:val="none"/>
        </w:rPr>
      </w:pPr>
      <w:r>
        <w:rPr>
          <w:rFonts w:hint="eastAsia" w:ascii="宋体" w:hAnsi="宋体" w:eastAsia="宋体" w:cs="宋体"/>
          <w:color w:val="auto"/>
          <w:kern w:val="2"/>
          <w:sz w:val="24"/>
          <w:szCs w:val="24"/>
          <w:highlight w:val="none"/>
          <w:lang w:val="en-US" w:eastAsia="zh-CN" w:bidi="ar-SA"/>
        </w:rPr>
        <w:t xml:space="preserve">工程设计变更： </w:t>
      </w:r>
      <w:r>
        <w:rPr>
          <w:rFonts w:hint="eastAsia" w:ascii="宋体" w:hAnsi="宋体" w:eastAsia="宋体" w:cs="宋体"/>
          <w:color w:val="auto"/>
          <w:kern w:val="2"/>
          <w:sz w:val="24"/>
          <w:szCs w:val="24"/>
          <w:highlight w:val="none"/>
          <w:u w:val="single"/>
          <w:lang w:val="en-US" w:eastAsia="zh-CN" w:bidi="ar-SA"/>
        </w:rPr>
        <w:t>合同履行中发包人要求变更工程质量标准及发生其他实质性变更，由双方协商解决。</w:t>
      </w:r>
    </w:p>
    <w:p w14:paraId="7D6BE750">
      <w:pPr>
        <w:pStyle w:val="5"/>
        <w:numPr>
          <w:ilvl w:val="0"/>
          <w:numId w:val="0"/>
        </w:numPr>
        <w:adjustRightInd w:val="0"/>
        <w:snapToGrid w:val="0"/>
        <w:spacing w:before="60" w:after="60" w:line="360" w:lineRule="auto"/>
        <w:ind w:left="0" w:leftChars="0"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kern w:val="2"/>
          <w:sz w:val="24"/>
          <w:szCs w:val="24"/>
          <w:lang w:val="en-US" w:eastAsia="zh-CN" w:bidi="ar-SA"/>
        </w:rPr>
        <w:t>十二、</w:t>
      </w:r>
      <w:r>
        <w:rPr>
          <w:rFonts w:hint="eastAsia" w:ascii="宋体" w:hAnsi="宋体" w:eastAsia="宋体" w:cs="宋体"/>
          <w:b/>
          <w:bCs/>
          <w:color w:val="auto"/>
          <w:sz w:val="24"/>
          <w:szCs w:val="24"/>
          <w:highlight w:val="none"/>
        </w:rPr>
        <w:t>竣工验收与结算</w:t>
      </w:r>
    </w:p>
    <w:p w14:paraId="07D7EE34">
      <w:pPr>
        <w:pStyle w:val="5"/>
        <w:adjustRightInd w:val="0"/>
        <w:snapToGrid w:val="0"/>
        <w:spacing w:before="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36、竣工验收</w:t>
      </w:r>
    </w:p>
    <w:p w14:paraId="6D3F3C79">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pacing w:val="-2"/>
          <w:sz w:val="24"/>
          <w:szCs w:val="24"/>
          <w:highlight w:val="none"/>
        </w:rPr>
        <w:t>6.1承包人提供竣工图的约定：</w:t>
      </w:r>
      <w:r>
        <w:rPr>
          <w:rFonts w:hint="eastAsia" w:ascii="宋体" w:hAnsi="宋体" w:eastAsia="宋体" w:cs="宋体"/>
          <w:color w:val="auto"/>
          <w:sz w:val="24"/>
          <w:szCs w:val="24"/>
          <w:highlight w:val="none"/>
          <w:u w:val="single"/>
        </w:rPr>
        <w:t xml:space="preserve">竣工验收后一个月内，交竣工图及资料文件叁套。  </w:t>
      </w:r>
    </w:p>
    <w:p w14:paraId="4260B63B">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36.6</w:t>
      </w:r>
      <w:r>
        <w:rPr>
          <w:rFonts w:hint="eastAsia" w:ascii="宋体" w:hAnsi="宋体" w:eastAsia="宋体" w:cs="宋体"/>
          <w:b/>
          <w:color w:val="auto"/>
          <w:sz w:val="24"/>
          <w:szCs w:val="24"/>
          <w:highlight w:val="none"/>
        </w:rPr>
        <w:t xml:space="preserve"> </w:t>
      </w:r>
      <w:r>
        <w:rPr>
          <w:rFonts w:hint="eastAsia" w:ascii="宋体" w:hAnsi="宋体" w:eastAsia="宋体" w:cs="宋体"/>
          <w:color w:val="auto"/>
          <w:sz w:val="24"/>
          <w:szCs w:val="24"/>
          <w:highlight w:val="none"/>
        </w:rPr>
        <w:t>中间交工工程的范围和竣工时间：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p>
    <w:p w14:paraId="52F3F041">
      <w:pPr>
        <w:pStyle w:val="5"/>
        <w:adjustRightInd w:val="0"/>
        <w:snapToGrid w:val="0"/>
        <w:spacing w:line="360" w:lineRule="auto"/>
        <w:ind w:right="-6" w:rightChars="-3" w:firstLine="523" w:firstLineChars="217"/>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37．竣工结算</w:t>
      </w:r>
    </w:p>
    <w:p w14:paraId="64D275B4">
      <w:pPr>
        <w:pStyle w:val="5"/>
        <w:adjustRightInd w:val="0"/>
        <w:snapToGrid w:val="0"/>
        <w:spacing w:line="360" w:lineRule="auto"/>
        <w:ind w:right="-6" w:rightChars="-3" w:firstLine="520" w:firstLineChars="217"/>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结算审查期限：</w:t>
      </w:r>
      <w:r>
        <w:rPr>
          <w:rFonts w:hint="eastAsia" w:ascii="宋体" w:hAnsi="宋体" w:eastAsia="宋体" w:cs="宋体"/>
          <w:color w:val="auto"/>
          <w:sz w:val="24"/>
          <w:szCs w:val="24"/>
          <w:highlight w:val="none"/>
          <w:u w:val="single"/>
        </w:rPr>
        <w:t>发包人收到承包人递交的单位单项工程竣工结算报告结算资料后，发包人应在60天以内进行审查，并给予确认或者提出修改意见，发包人确认竣工结算报告后，在60天内一次付清除预留</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%保修金外的全部工程尾款。</w:t>
      </w:r>
      <w:r>
        <w:rPr>
          <w:rFonts w:hint="eastAsia" w:ascii="宋体" w:hAnsi="宋体" w:eastAsia="宋体" w:cs="宋体"/>
          <w:color w:val="auto"/>
          <w:sz w:val="24"/>
          <w:szCs w:val="24"/>
          <w:highlight w:val="none"/>
        </w:rPr>
        <w:t xml:space="preserve"> </w:t>
      </w:r>
    </w:p>
    <w:p w14:paraId="3F6AE5FB">
      <w:pPr>
        <w:pStyle w:val="5"/>
        <w:numPr>
          <w:ilvl w:val="0"/>
          <w:numId w:val="0"/>
        </w:numPr>
        <w:adjustRightInd w:val="0"/>
        <w:snapToGrid w:val="0"/>
        <w:spacing w:before="60" w:after="60" w:line="360" w:lineRule="auto"/>
        <w:ind w:left="0" w:leftChars="0"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kern w:val="2"/>
          <w:sz w:val="24"/>
          <w:szCs w:val="24"/>
          <w:lang w:val="en-US" w:eastAsia="zh-CN" w:bidi="ar-SA"/>
        </w:rPr>
        <w:t>十三、</w:t>
      </w:r>
      <w:r>
        <w:rPr>
          <w:rFonts w:hint="eastAsia" w:ascii="宋体" w:hAnsi="宋体" w:eastAsia="宋体" w:cs="宋体"/>
          <w:b/>
          <w:bCs/>
          <w:color w:val="auto"/>
          <w:sz w:val="24"/>
          <w:szCs w:val="24"/>
          <w:highlight w:val="none"/>
        </w:rPr>
        <w:t>违约、索赔和争议</w:t>
      </w:r>
    </w:p>
    <w:p w14:paraId="0D16FC9F">
      <w:pPr>
        <w:pStyle w:val="5"/>
        <w:adjustRightInd w:val="0"/>
        <w:snapToGrid w:val="0"/>
        <w:spacing w:before="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39、违约</w:t>
      </w:r>
    </w:p>
    <w:p w14:paraId="03447505">
      <w:pPr>
        <w:pStyle w:val="5"/>
        <w:tabs>
          <w:tab w:val="left" w:pos="905"/>
        </w:tabs>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39.1本合同中关于发包人违约的具体责任如下：</w:t>
      </w:r>
    </w:p>
    <w:p w14:paraId="02EF69EA">
      <w:pPr>
        <w:pStyle w:val="5"/>
        <w:tabs>
          <w:tab w:val="left" w:pos="905"/>
        </w:tabs>
        <w:adjustRightInd w:val="0"/>
        <w:snapToGrid w:val="0"/>
        <w:spacing w:line="360" w:lineRule="auto"/>
        <w:ind w:left="479" w:leftChars="228" w:right="-6" w:rightChars="-3" w:firstLine="40" w:firstLineChars="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_</w:t>
      </w:r>
      <w:r>
        <w:rPr>
          <w:rFonts w:hint="eastAsia" w:ascii="宋体" w:hAnsi="宋体" w:eastAsia="宋体" w:cs="宋体"/>
          <w:color w:val="auto"/>
          <w:sz w:val="24"/>
          <w:szCs w:val="24"/>
          <w:highlight w:val="none"/>
          <w:u w:val="single"/>
        </w:rPr>
        <w:t xml:space="preserve"> 延期付款按同期银行存款利率支付应付的利息并承提违约责任。            </w:t>
      </w:r>
    </w:p>
    <w:p w14:paraId="300A53A8">
      <w:pPr>
        <w:pStyle w:val="5"/>
        <w:tabs>
          <w:tab w:val="left" w:pos="905"/>
        </w:tabs>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本合同通用条款第30.5款约定发包人违约应承担的违约责任：</w:t>
      </w:r>
    </w:p>
    <w:p w14:paraId="64B305E0">
      <w:pPr>
        <w:pStyle w:val="5"/>
        <w:tabs>
          <w:tab w:val="left" w:pos="905"/>
        </w:tabs>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执行通用条款30.5条款。                                            </w:t>
      </w:r>
    </w:p>
    <w:p w14:paraId="4339863D">
      <w:pPr>
        <w:pStyle w:val="5"/>
        <w:tabs>
          <w:tab w:val="left" w:pos="905"/>
        </w:tabs>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本合同通用条款第37.6款约定发包人违约应承担的违约责任：</w:t>
      </w:r>
    </w:p>
    <w:p w14:paraId="6DFC90AA">
      <w:pPr>
        <w:pStyle w:val="5"/>
        <w:tabs>
          <w:tab w:val="left" w:pos="905"/>
        </w:tabs>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执行通用条款37.6条款 。                                           </w:t>
      </w:r>
    </w:p>
    <w:p w14:paraId="722F52B6">
      <w:pPr>
        <w:pStyle w:val="5"/>
        <w:tabs>
          <w:tab w:val="left" w:pos="905"/>
        </w:tabs>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双方约定的发包人其他违约责任：</w:t>
      </w:r>
      <w:r>
        <w:rPr>
          <w:rFonts w:hint="eastAsia" w:ascii="宋体" w:hAnsi="宋体" w:eastAsia="宋体" w:cs="宋体"/>
          <w:color w:val="auto"/>
          <w:sz w:val="24"/>
          <w:szCs w:val="24"/>
          <w:highlight w:val="none"/>
          <w:u w:val="single"/>
        </w:rPr>
        <w:t xml:space="preserve">  另外协商解决                            </w:t>
      </w:r>
    </w:p>
    <w:p w14:paraId="760ED116">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39.2本合同中关于承包人违约的具体责任如下：</w:t>
      </w:r>
    </w:p>
    <w:p w14:paraId="4EBB7FDD">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本合同通用条款第14.2款约定承包人违约应承担的违约责任：</w:t>
      </w:r>
      <w:r>
        <w:rPr>
          <w:rFonts w:hint="eastAsia" w:ascii="宋体" w:hAnsi="宋体" w:eastAsia="宋体" w:cs="宋体"/>
          <w:color w:val="auto"/>
          <w:sz w:val="24"/>
          <w:szCs w:val="24"/>
          <w:highlight w:val="none"/>
          <w:u w:val="single"/>
        </w:rPr>
        <w:t xml:space="preserve">乙方工期每推迟一天按合同价的万分之五处罚。                                                  </w:t>
      </w:r>
    </w:p>
    <w:p w14:paraId="26E787C2">
      <w:pPr>
        <w:pStyle w:val="5"/>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本合同通用条款第15.1款约定承包人违约应承担的违约责任：因承包人原因工程质量达不到约定合格质量标准，</w:t>
      </w:r>
      <w:r>
        <w:rPr>
          <w:rFonts w:hint="eastAsia" w:ascii="宋体" w:hAnsi="宋体" w:eastAsia="宋体" w:cs="宋体"/>
          <w:color w:val="auto"/>
          <w:sz w:val="24"/>
          <w:szCs w:val="24"/>
          <w:highlight w:val="none"/>
          <w:u w:val="single"/>
        </w:rPr>
        <w:t xml:space="preserve">承包人除按合同价的2%承担违约金外，另按国务院279号令有关规定处理。                   </w:t>
      </w:r>
    </w:p>
    <w:p w14:paraId="735718E7">
      <w:pPr>
        <w:pStyle w:val="5"/>
        <w:adjustRightInd w:val="0"/>
        <w:snapToGrid w:val="0"/>
        <w:spacing w:line="360" w:lineRule="auto"/>
        <w:ind w:right="-6" w:rightChars="-3" w:firstLine="520" w:firstLineChars="217"/>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3867150</wp:posOffset>
                </wp:positionH>
                <wp:positionV relativeFrom="paragraph">
                  <wp:posOffset>8255</wp:posOffset>
                </wp:positionV>
                <wp:extent cx="800100" cy="99060"/>
                <wp:effectExtent l="635" t="4445" r="18415" b="10795"/>
                <wp:wrapNone/>
                <wp:docPr id="1" name="直接连接符 1"/>
                <wp:cNvGraphicFramePr/>
                <a:graphic xmlns:a="http://schemas.openxmlformats.org/drawingml/2006/main">
                  <a:graphicData uri="http://schemas.microsoft.com/office/word/2010/wordprocessingShape">
                    <wps:wsp>
                      <wps:cNvCnPr/>
                      <wps:spPr>
                        <a:xfrm flipV="1">
                          <a:off x="0" y="0"/>
                          <a:ext cx="800100" cy="9906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304.5pt;margin-top:0.65pt;height:7.8pt;width:63pt;z-index:251659264;mso-width-relative:page;mso-height-relative:page;" filled="f" stroked="t" coordsize="21600,21600" o:gfxdata="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voAY3UAAAACAEAAA8AAAAAAAAAAQAgAAAAIgAAAGRycy9kb3du&#10;cmV2LnhtbFBLAQIUABQAAAAIAIdO4kDlr/IUAwIAAP8DAAAOAAAAAAAAAAEAIAAAACMBAABkcnMv&#10;ZTJvRG9jLnhtbFBLBQYAAAAABgAGAFkBAACYBQAAAAA=&#10;">
                <v:fill on="f" focussize="0,0"/>
                <v:stroke color="#000000" joinstyle="round"/>
                <v:imagedata o:title=""/>
                <o:lock v:ext="edit" aspectratio="f"/>
              </v:line>
            </w:pict>
          </mc:Fallback>
        </mc:AlternateContent>
      </w:r>
      <w:r>
        <w:rPr>
          <w:rFonts w:hint="eastAsia" w:ascii="宋体" w:hAnsi="宋体" w:eastAsia="宋体" w:cs="宋体"/>
          <w:color w:val="auto"/>
          <w:sz w:val="24"/>
          <w:szCs w:val="24"/>
          <w:highlight w:val="none"/>
        </w:rPr>
        <w:t>双方约定的承包人其他违约责任：____</w:t>
      </w:r>
      <w:r>
        <w:rPr>
          <w:rFonts w:hint="eastAsia" w:ascii="宋体" w:hAnsi="宋体" w:eastAsia="宋体" w:cs="宋体"/>
          <w:color w:val="auto"/>
          <w:sz w:val="24"/>
          <w:szCs w:val="24"/>
          <w:highlight w:val="none"/>
          <w:u w:val="single"/>
        </w:rPr>
        <w:t xml:space="preserve">          ______                      </w:t>
      </w:r>
    </w:p>
    <w:p w14:paraId="3034E9E5">
      <w:pPr>
        <w:pStyle w:val="5"/>
        <w:adjustRightInd w:val="0"/>
        <w:snapToGrid w:val="0"/>
        <w:spacing w:before="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41、争议</w:t>
      </w:r>
    </w:p>
    <w:p w14:paraId="60FEA81A">
      <w:pPr>
        <w:pStyle w:val="5"/>
        <w:tabs>
          <w:tab w:val="left" w:pos="2730"/>
        </w:tabs>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41.1双方当事人约定，在履行合同过程中产生争议时：</w:t>
      </w:r>
    </w:p>
    <w:p w14:paraId="1504D41E">
      <w:pPr>
        <w:pStyle w:val="5"/>
        <w:numPr>
          <w:ilvl w:val="1"/>
          <w:numId w:val="7"/>
        </w:numPr>
        <w:adjustRightInd w:val="0"/>
        <w:snapToGrid w:val="0"/>
        <w:spacing w:line="360" w:lineRule="auto"/>
        <w:ind w:left="0"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请</w:t>
      </w:r>
      <w:r>
        <w:rPr>
          <w:rFonts w:hint="eastAsia" w:ascii="宋体" w:hAnsi="宋体" w:eastAsia="宋体" w:cs="宋体"/>
          <w:color w:val="auto"/>
          <w:sz w:val="24"/>
          <w:szCs w:val="24"/>
          <w:highlight w:val="none"/>
          <w:u w:val="single"/>
        </w:rPr>
        <w:t xml:space="preserve"> 合同主管部门和造价主管部门               </w:t>
      </w:r>
      <w:r>
        <w:rPr>
          <w:rFonts w:hint="eastAsia" w:ascii="宋体" w:hAnsi="宋体" w:eastAsia="宋体" w:cs="宋体"/>
          <w:color w:val="auto"/>
          <w:sz w:val="24"/>
          <w:szCs w:val="24"/>
          <w:highlight w:val="none"/>
        </w:rPr>
        <w:t>调解；</w:t>
      </w:r>
    </w:p>
    <w:p w14:paraId="37338B7F">
      <w:pPr>
        <w:pStyle w:val="5"/>
        <w:numPr>
          <w:ilvl w:val="1"/>
          <w:numId w:val="7"/>
        </w:numPr>
        <w:adjustRightInd w:val="0"/>
        <w:snapToGrid w:val="0"/>
        <w:spacing w:line="360" w:lineRule="auto"/>
        <w:ind w:left="0"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合同争议调解不成的，按下列第</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种方式解决：</w:t>
      </w:r>
    </w:p>
    <w:p w14:paraId="648B9EEF">
      <w:pPr>
        <w:pStyle w:val="5"/>
        <w:numPr>
          <w:ilvl w:val="0"/>
          <w:numId w:val="8"/>
        </w:numPr>
        <w:adjustRightInd w:val="0"/>
        <w:snapToGrid w:val="0"/>
        <w:spacing w:line="360" w:lineRule="auto"/>
        <w:ind w:left="0"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提交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工程所在地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50386956">
      <w:pPr>
        <w:pStyle w:val="5"/>
        <w:numPr>
          <w:ilvl w:val="0"/>
          <w:numId w:val="8"/>
        </w:numPr>
        <w:adjustRightInd w:val="0"/>
        <w:snapToGrid w:val="0"/>
        <w:spacing w:line="360" w:lineRule="auto"/>
        <w:ind w:left="0"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蓝田县</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人民法院提起诉讼。</w:t>
      </w:r>
    </w:p>
    <w:p w14:paraId="0F1B3C4B">
      <w:pPr>
        <w:pStyle w:val="5"/>
        <w:numPr>
          <w:ilvl w:val="0"/>
          <w:numId w:val="0"/>
        </w:numPr>
        <w:adjustRightInd w:val="0"/>
        <w:snapToGrid w:val="0"/>
        <w:spacing w:before="60" w:after="60" w:line="360" w:lineRule="auto"/>
        <w:ind w:left="0" w:leftChars="0"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kern w:val="2"/>
          <w:sz w:val="24"/>
          <w:szCs w:val="24"/>
          <w:lang w:val="en-US" w:eastAsia="zh-CN" w:bidi="ar-SA"/>
        </w:rPr>
        <w:t>十四、</w:t>
      </w:r>
      <w:r>
        <w:rPr>
          <w:rFonts w:hint="eastAsia" w:ascii="宋体" w:hAnsi="宋体" w:eastAsia="宋体" w:cs="宋体"/>
          <w:b/>
          <w:bCs/>
          <w:color w:val="auto"/>
          <w:sz w:val="24"/>
          <w:szCs w:val="24"/>
          <w:highlight w:val="none"/>
        </w:rPr>
        <w:t>其它</w:t>
      </w:r>
    </w:p>
    <w:p w14:paraId="25DCC1B4">
      <w:pPr>
        <w:pStyle w:val="5"/>
        <w:adjustRightInd w:val="0"/>
        <w:snapToGrid w:val="0"/>
        <w:spacing w:before="60" w:after="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42、工程分包</w:t>
      </w:r>
    </w:p>
    <w:p w14:paraId="70DDE3FC">
      <w:pPr>
        <w:pStyle w:val="5"/>
        <w:adjustRightInd w:val="0"/>
        <w:snapToGrid w:val="0"/>
        <w:spacing w:before="60" w:after="60" w:line="360" w:lineRule="auto"/>
        <w:ind w:right="-6" w:rightChars="-3" w:firstLine="520" w:firstLineChars="217"/>
        <w:rPr>
          <w:rFonts w:hint="eastAsia" w:ascii="宋体" w:hAnsi="宋体" w:eastAsia="宋体" w:cs="宋体"/>
          <w:color w:val="auto"/>
          <w:spacing w:val="8"/>
          <w:sz w:val="24"/>
          <w:szCs w:val="24"/>
          <w:highlight w:val="none"/>
          <w:u w:val="single"/>
        </w:rPr>
      </w:pPr>
      <w:r>
        <w:rPr>
          <w:rFonts w:hint="eastAsia" w:ascii="宋体" w:hAnsi="宋体" w:eastAsia="宋体" w:cs="宋体"/>
          <w:color w:val="auto"/>
          <w:sz w:val="24"/>
          <w:szCs w:val="24"/>
          <w:highlight w:val="none"/>
        </w:rPr>
        <w:t>42.1本工程发包人同意承包人分包的专业工程：</w:t>
      </w:r>
      <w:r>
        <w:rPr>
          <w:rFonts w:hint="eastAsia" w:ascii="宋体" w:hAnsi="宋体" w:eastAsia="宋体" w:cs="宋体"/>
          <w:color w:val="auto"/>
          <w:spacing w:val="8"/>
          <w:sz w:val="24"/>
          <w:szCs w:val="24"/>
          <w:highlight w:val="none"/>
          <w:u w:val="single"/>
        </w:rPr>
        <w:t>发包人指定的全费用价格的产成品，发包人有权指定厂家供货并安装，若由指定厂家安装时，承包人应积极配合，并会同发包人进行质量验收。发包人从合同价中扣除所包含的相应费用价款，承包人可按约定计取配合费。承包人自报配合费率。</w:t>
      </w:r>
    </w:p>
    <w:p w14:paraId="026CB230">
      <w:pPr>
        <w:pStyle w:val="5"/>
        <w:adjustRightInd w:val="0"/>
        <w:snapToGrid w:val="0"/>
        <w:spacing w:before="60" w:after="60" w:line="360" w:lineRule="auto"/>
        <w:ind w:right="-6" w:rightChars="-3" w:firstLine="555" w:firstLineChars="217"/>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分包施工单位为：</w:t>
      </w:r>
      <w:r>
        <w:rPr>
          <w:rFonts w:hint="eastAsia" w:ascii="宋体" w:hAnsi="宋体" w:eastAsia="宋体" w:cs="宋体"/>
          <w:color w:val="auto"/>
          <w:spacing w:val="8"/>
          <w:sz w:val="24"/>
          <w:szCs w:val="24"/>
          <w:highlight w:val="none"/>
          <w:u w:val="single"/>
        </w:rPr>
        <w:t xml:space="preserve">    </w:t>
      </w:r>
      <w:r>
        <w:rPr>
          <w:rFonts w:hint="eastAsia" w:ascii="宋体" w:hAnsi="宋体" w:eastAsia="宋体" w:cs="宋体"/>
          <w:color w:val="auto"/>
          <w:sz w:val="24"/>
          <w:szCs w:val="24"/>
          <w:highlight w:val="none"/>
          <w:u w:val="single"/>
        </w:rPr>
        <w:t xml:space="preserve">                   /                              </w:t>
      </w:r>
    </w:p>
    <w:p w14:paraId="72F849ED">
      <w:pPr>
        <w:pStyle w:val="5"/>
        <w:adjustRightInd w:val="0"/>
        <w:snapToGrid w:val="0"/>
        <w:spacing w:before="60" w:after="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43、 不可抗力</w:t>
      </w:r>
    </w:p>
    <w:p w14:paraId="7E8CA882">
      <w:pPr>
        <w:pStyle w:val="5"/>
        <w:adjustRightInd w:val="0"/>
        <w:snapToGrid w:val="0"/>
        <w:spacing w:before="60" w:after="60"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43.1双方关于不可抗力的约定：</w:t>
      </w:r>
      <w:r>
        <w:rPr>
          <w:rFonts w:hint="eastAsia" w:ascii="宋体" w:hAnsi="宋体" w:eastAsia="宋体" w:cs="宋体"/>
          <w:color w:val="auto"/>
          <w:sz w:val="24"/>
          <w:szCs w:val="24"/>
          <w:highlight w:val="none"/>
          <w:u w:val="single"/>
        </w:rPr>
        <w:t xml:space="preserve">五级以上地震、大风、大雨、大雪。  </w:t>
      </w:r>
    </w:p>
    <w:p w14:paraId="10307BC6">
      <w:pPr>
        <w:pStyle w:val="5"/>
        <w:adjustRightInd w:val="0"/>
        <w:snapToGrid w:val="0"/>
        <w:spacing w:before="60" w:after="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44、保险</w:t>
      </w:r>
    </w:p>
    <w:p w14:paraId="6370099F">
      <w:pPr>
        <w:pStyle w:val="5"/>
        <w:adjustRightInd w:val="0"/>
        <w:snapToGrid w:val="0"/>
        <w:spacing w:before="60" w:after="60"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44.6本工程双方约定投保内容如下：</w:t>
      </w:r>
    </w:p>
    <w:p w14:paraId="0C6D7259">
      <w:pPr>
        <w:pStyle w:val="11"/>
        <w:numPr>
          <w:ilvl w:val="0"/>
          <w:numId w:val="9"/>
        </w:numPr>
        <w:spacing w:line="360" w:lineRule="auto"/>
        <w:ind w:left="0" w:right="-6" w:rightChars="-3" w:firstLine="520" w:firstLineChars="217"/>
        <w:rPr>
          <w:rFonts w:hint="eastAsia" w:ascii="宋体" w:hAnsi="宋体" w:eastAsia="宋体" w:cs="宋体"/>
          <w:color w:val="auto"/>
          <w:kern w:val="2"/>
          <w:sz w:val="24"/>
          <w:szCs w:val="24"/>
          <w:highlight w:val="none"/>
          <w:u w:val="single"/>
        </w:rPr>
      </w:pPr>
      <w:r>
        <w:rPr>
          <w:rFonts w:hint="eastAsia" w:ascii="宋体" w:hAnsi="宋体" w:eastAsia="宋体" w:cs="宋体"/>
          <w:color w:val="auto"/>
          <w:sz w:val="24"/>
          <w:szCs w:val="24"/>
          <w:highlight w:val="none"/>
        </w:rPr>
        <w:t>发包人投保内容：</w:t>
      </w:r>
      <w:r>
        <w:rPr>
          <w:rFonts w:hint="eastAsia" w:ascii="宋体" w:hAnsi="宋体" w:eastAsia="宋体" w:cs="宋体"/>
          <w:color w:val="auto"/>
          <w:kern w:val="2"/>
          <w:sz w:val="24"/>
          <w:szCs w:val="24"/>
          <w:highlight w:val="none"/>
          <w:u w:val="single"/>
        </w:rPr>
        <w:t>工程开工前，发包人为建设工程和施工场内的自有人员及第三人人员生命财产办理保险，支付保险费用。发包人供应的运至施工场地内用于工程的材料设备，由发包人办理保险，并支付保险费用保险费由发包人承担。</w:t>
      </w:r>
    </w:p>
    <w:p w14:paraId="677E4B61">
      <w:pPr>
        <w:pStyle w:val="5"/>
        <w:adjustRightInd w:val="0"/>
        <w:snapToGrid w:val="0"/>
        <w:spacing w:before="60" w:after="60" w:line="360" w:lineRule="auto"/>
        <w:ind w:right="-6" w:rightChars="-3" w:firstLine="520" w:firstLineChars="217"/>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发包人委托承包人办理的保险事项：</w:t>
      </w:r>
      <w:r>
        <w:rPr>
          <w:rFonts w:hint="eastAsia" w:ascii="宋体" w:hAnsi="宋体" w:eastAsia="宋体" w:cs="宋体"/>
          <w:color w:val="auto"/>
          <w:sz w:val="24"/>
          <w:szCs w:val="24"/>
          <w:highlight w:val="none"/>
          <w:u w:val="single"/>
        </w:rPr>
        <w:t>失业、医疗、工伤、残疾人就业保险，已包含在合同价款中，结算时，承包方凭参加保险票据，在标准范围内办理结算。保险费已包含在中标价中。</w:t>
      </w:r>
    </w:p>
    <w:p w14:paraId="599C201D">
      <w:pPr>
        <w:pStyle w:val="11"/>
        <w:numPr>
          <w:ilvl w:val="0"/>
          <w:numId w:val="9"/>
        </w:numPr>
        <w:spacing w:line="360" w:lineRule="auto"/>
        <w:ind w:left="0" w:right="-6" w:rightChars="-3" w:firstLine="520" w:firstLineChars="217"/>
        <w:rPr>
          <w:rFonts w:hint="eastAsia" w:ascii="宋体" w:hAnsi="宋体" w:eastAsia="宋体" w:cs="宋体"/>
          <w:color w:val="auto"/>
          <w:kern w:val="2"/>
          <w:sz w:val="24"/>
          <w:szCs w:val="24"/>
          <w:highlight w:val="none"/>
          <w:u w:val="single"/>
        </w:rPr>
      </w:pPr>
      <w:r>
        <w:rPr>
          <w:rFonts w:hint="eastAsia" w:ascii="宋体" w:hAnsi="宋体" w:eastAsia="宋体" w:cs="宋体"/>
          <w:color w:val="auto"/>
          <w:sz w:val="24"/>
          <w:szCs w:val="24"/>
          <w:highlight w:val="none"/>
        </w:rPr>
        <w:t>承包人投保内容：</w:t>
      </w:r>
      <w:r>
        <w:rPr>
          <w:rFonts w:hint="eastAsia" w:ascii="宋体" w:hAnsi="宋体" w:eastAsia="宋体" w:cs="宋体"/>
          <w:color w:val="auto"/>
          <w:kern w:val="2"/>
          <w:sz w:val="24"/>
          <w:szCs w:val="24"/>
          <w:highlight w:val="none"/>
          <w:u w:val="single"/>
        </w:rPr>
        <w:t>承包人必须为施工场地内施工人员办理意外伤害保险和工伤保险，并为施工场地内的施工机械设备办理财产保险，支付保险费用。</w:t>
      </w:r>
    </w:p>
    <w:p w14:paraId="1590636B">
      <w:pPr>
        <w:pStyle w:val="5"/>
        <w:adjustRightInd w:val="0"/>
        <w:snapToGrid w:val="0"/>
        <w:spacing w:before="60" w:after="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45、担保</w:t>
      </w:r>
    </w:p>
    <w:p w14:paraId="1DEDC494">
      <w:pPr>
        <w:pStyle w:val="5"/>
        <w:adjustRightInd w:val="0"/>
        <w:snapToGrid w:val="0"/>
        <w:spacing w:before="60" w:after="60" w:line="360" w:lineRule="auto"/>
        <w:ind w:right="-6" w:rightChars="-3" w:firstLine="520" w:firstLineChars="217"/>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45.3 本工程双方约定担保事项如下：</w:t>
      </w:r>
    </w:p>
    <w:p w14:paraId="0BC05AE3">
      <w:pPr>
        <w:pStyle w:val="5"/>
        <w:adjustRightInd w:val="0"/>
        <w:snapToGrid w:val="0"/>
        <w:spacing w:before="60" w:after="60" w:line="360" w:lineRule="auto"/>
        <w:ind w:right="-6" w:rightChars="-3" w:firstLine="520" w:firstLineChars="217"/>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（1）发包人向承包者人提供支付担保，担保方式为：支付保函；担保金额：合同价款的10%；担保有效期：至工程竣工后7日内。</w:t>
      </w:r>
    </w:p>
    <w:p w14:paraId="03ECD478">
      <w:pPr>
        <w:pStyle w:val="5"/>
        <w:adjustRightInd w:val="0"/>
        <w:snapToGrid w:val="0"/>
        <w:spacing w:before="60" w:after="60" w:line="360" w:lineRule="auto"/>
        <w:ind w:right="-6" w:rightChars="-3" w:firstLine="520" w:firstLineChars="217"/>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（2）承包人向发包人提供履约担保，担保方式：履约担保；担保金额合同价款的10%；担保有效期：至工程竣工后7日内。</w:t>
      </w:r>
    </w:p>
    <w:p w14:paraId="2B4E5E66">
      <w:pPr>
        <w:pStyle w:val="5"/>
        <w:adjustRightInd w:val="0"/>
        <w:snapToGrid w:val="0"/>
        <w:spacing w:before="60" w:after="60" w:line="360" w:lineRule="auto"/>
        <w:ind w:right="-6" w:rightChars="-3" w:firstLine="520" w:firstLineChars="217"/>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（3）双方约定的其他担保事项：</w:t>
      </w:r>
      <w:r>
        <w:rPr>
          <w:rFonts w:hint="eastAsia" w:ascii="宋体" w:hAnsi="宋体" w:eastAsia="宋体" w:cs="宋体"/>
          <w:bCs/>
          <w:color w:val="auto"/>
          <w:sz w:val="24"/>
          <w:szCs w:val="24"/>
          <w:highlight w:val="none"/>
          <w:u w:val="single"/>
        </w:rPr>
        <w:t xml:space="preserve">工程施工到主体封顶时退还担保金的50%，工程竣工验收合格退还全部余额部份。     </w:t>
      </w:r>
      <w:r>
        <w:rPr>
          <w:rFonts w:hint="eastAsia" w:ascii="宋体" w:hAnsi="宋体" w:eastAsia="宋体" w:cs="宋体"/>
          <w:b/>
          <w:bCs/>
          <w:color w:val="auto"/>
          <w:sz w:val="24"/>
          <w:szCs w:val="24"/>
          <w:highlight w:val="none"/>
        </w:rPr>
        <w:t xml:space="preserve"> </w:t>
      </w:r>
    </w:p>
    <w:p w14:paraId="6F1B0552">
      <w:pPr>
        <w:pStyle w:val="5"/>
        <w:adjustRightInd w:val="0"/>
        <w:snapToGrid w:val="0"/>
        <w:spacing w:before="60" w:after="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50、合同份数</w:t>
      </w:r>
    </w:p>
    <w:p w14:paraId="44679FE6">
      <w:pPr>
        <w:pStyle w:val="5"/>
        <w:adjustRightInd w:val="0"/>
        <w:snapToGrid w:val="0"/>
        <w:spacing w:before="60" w:after="60"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50.2双方约定合同副本份数：</w:t>
      </w:r>
      <w:r>
        <w:rPr>
          <w:rFonts w:hint="eastAsia" w:ascii="宋体" w:hAnsi="宋体" w:eastAsia="宋体" w:cs="宋体"/>
          <w:color w:val="auto"/>
          <w:sz w:val="24"/>
          <w:szCs w:val="24"/>
          <w:highlight w:val="none"/>
          <w:u w:val="single"/>
        </w:rPr>
        <w:t>正本</w:t>
      </w:r>
      <w:r>
        <w:rPr>
          <w:rFonts w:hint="eastAsia" w:ascii="宋体" w:hAnsi="宋体" w:eastAsia="宋体" w:cs="宋体"/>
          <w:color w:val="auto"/>
          <w:sz w:val="24"/>
          <w:szCs w:val="24"/>
          <w:highlight w:val="none"/>
          <w:u w:val="single"/>
          <w:lang w:val="en-US" w:eastAsia="zh-CN"/>
        </w:rPr>
        <w:t>贰</w:t>
      </w:r>
      <w:r>
        <w:rPr>
          <w:rFonts w:hint="eastAsia" w:ascii="宋体" w:hAnsi="宋体" w:eastAsia="宋体" w:cs="宋体"/>
          <w:color w:val="auto"/>
          <w:sz w:val="24"/>
          <w:szCs w:val="24"/>
          <w:highlight w:val="none"/>
          <w:u w:val="single"/>
        </w:rPr>
        <w:t>份、副本</w:t>
      </w:r>
      <w:r>
        <w:rPr>
          <w:rFonts w:hint="eastAsia" w:hAnsi="宋体" w:cs="宋体"/>
          <w:color w:val="auto"/>
          <w:sz w:val="24"/>
          <w:szCs w:val="24"/>
          <w:highlight w:val="none"/>
          <w:u w:val="single"/>
          <w:lang w:val="en-US" w:eastAsia="zh-CN"/>
        </w:rPr>
        <w:t>肆</w:t>
      </w:r>
      <w:r>
        <w:rPr>
          <w:rFonts w:hint="eastAsia" w:ascii="宋体" w:hAnsi="宋体" w:eastAsia="宋体" w:cs="宋体"/>
          <w:color w:val="auto"/>
          <w:sz w:val="24"/>
          <w:szCs w:val="24"/>
          <w:highlight w:val="none"/>
          <w:u w:val="single"/>
        </w:rPr>
        <w:t>份；发、承包双方各持正本壹份、副本</w:t>
      </w:r>
      <w:r>
        <w:rPr>
          <w:rFonts w:hint="eastAsia" w:hAnsi="宋体" w:cs="宋体"/>
          <w:color w:val="auto"/>
          <w:sz w:val="24"/>
          <w:szCs w:val="24"/>
          <w:highlight w:val="none"/>
          <w:u w:val="single"/>
          <w:lang w:val="en-US" w:eastAsia="zh-CN"/>
        </w:rPr>
        <w:t>贰</w:t>
      </w:r>
      <w:r>
        <w:rPr>
          <w:rFonts w:hint="eastAsia" w:ascii="宋体" w:hAnsi="宋体" w:eastAsia="宋体" w:cs="宋体"/>
          <w:color w:val="auto"/>
          <w:sz w:val="24"/>
          <w:szCs w:val="24"/>
          <w:highlight w:val="none"/>
          <w:u w:val="single"/>
        </w:rPr>
        <w:t xml:space="preserve">份。  </w:t>
      </w:r>
    </w:p>
    <w:p w14:paraId="6357288D">
      <w:pPr>
        <w:pStyle w:val="5"/>
        <w:adjustRightInd w:val="0"/>
        <w:snapToGrid w:val="0"/>
        <w:spacing w:before="60" w:after="60" w:line="360" w:lineRule="auto"/>
        <w:ind w:right="-6" w:rightChars="-3" w:firstLine="523" w:firstLineChars="217"/>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51、补充条款</w:t>
      </w:r>
    </w:p>
    <w:p w14:paraId="084BFF8D">
      <w:pPr>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施工企业必须按时、足额、采用实名方式支付农民工工资。承包人招聘的农民工工资，当承包人申报当期进度款计划时应一并报发包人，发包人有权监督承包人在支付的当期进度款中发放农民工工资。因承包人不按期支付农民工资，造成不良影响时，发包人有权在当期进度款中代扣代发。</w:t>
      </w:r>
    </w:p>
    <w:p w14:paraId="152CDAD4">
      <w:pPr>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51.2开工前施工企业需按照相关规定向航空基地管委会缴纳农民工工资支付保证金。</w:t>
      </w:r>
    </w:p>
    <w:p w14:paraId="720B65C6">
      <w:pPr>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51.3本工程竣工后，应将施工现场周围和施工单位生活区周围范围内施工现场清除干净；无建筑材料、无建筑、无临时垃圾、无坑池渠沟、无掩埋的硬化道路和垃圾，场地整洁。否则发包人不予支付工程款。</w:t>
      </w:r>
    </w:p>
    <w:p w14:paraId="47FB83F9">
      <w:pPr>
        <w:adjustRightInd w:val="0"/>
        <w:snapToGrid w:val="0"/>
        <w:spacing w:line="360" w:lineRule="auto"/>
        <w:ind w:right="-6" w:rightChars="-3" w:firstLine="520" w:firstLineChars="2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51.4严格执行蓝田县的“创卫”要求。</w:t>
      </w:r>
    </w:p>
    <w:p w14:paraId="32BE6F64">
      <w:pPr>
        <w:adjustRightInd w:val="0"/>
        <w:snapToGrid w:val="0"/>
        <w:spacing w:line="300" w:lineRule="auto"/>
        <w:ind w:right="-6" w:rightChars="-3"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51.5 本合同如有增补调整，经双方协商签订补充协议，补充协议与本合同具有同等法律效力。</w:t>
      </w:r>
    </w:p>
    <w:p w14:paraId="22C1E793">
      <w:pPr>
        <w:rPr>
          <w:rFonts w:hint="eastAsia" w:ascii="宋体" w:hAnsi="宋体" w:eastAsia="宋体" w:cs="宋体"/>
          <w:color w:val="auto"/>
          <w:sz w:val="24"/>
          <w:szCs w:val="24"/>
          <w:highlight w:val="none"/>
        </w:rPr>
      </w:pPr>
    </w:p>
    <w:p w14:paraId="375F0496">
      <w:pPr>
        <w:pStyle w:val="4"/>
        <w:rPr>
          <w:rFonts w:hint="eastAsia" w:ascii="宋体" w:hAnsi="宋体" w:eastAsia="宋体" w:cs="宋体"/>
          <w:color w:val="auto"/>
          <w:sz w:val="24"/>
          <w:szCs w:val="24"/>
          <w:highlight w:val="none"/>
        </w:rPr>
      </w:pPr>
    </w:p>
    <w:p w14:paraId="0EAB6B4D">
      <w:pPr>
        <w:rPr>
          <w:rFonts w:hint="eastAsia" w:ascii="宋体" w:hAnsi="宋体" w:eastAsia="宋体" w:cs="宋体"/>
          <w:color w:val="auto"/>
          <w:sz w:val="24"/>
          <w:szCs w:val="24"/>
          <w:highlight w:val="none"/>
        </w:rPr>
      </w:pPr>
    </w:p>
    <w:p w14:paraId="3A7815DE">
      <w:pPr>
        <w:pStyle w:val="4"/>
        <w:rPr>
          <w:rFonts w:hint="eastAsia" w:ascii="宋体" w:hAnsi="宋体" w:eastAsia="宋体" w:cs="宋体"/>
          <w:color w:val="auto"/>
          <w:sz w:val="24"/>
          <w:szCs w:val="24"/>
          <w:highlight w:val="none"/>
        </w:rPr>
      </w:pPr>
    </w:p>
    <w:p w14:paraId="15384FDA">
      <w:pPr>
        <w:rPr>
          <w:rFonts w:hint="eastAsia" w:ascii="宋体" w:hAnsi="宋体" w:eastAsia="宋体" w:cs="宋体"/>
          <w:color w:val="auto"/>
          <w:sz w:val="24"/>
          <w:szCs w:val="24"/>
          <w:highlight w:val="none"/>
        </w:rPr>
      </w:pPr>
    </w:p>
    <w:p w14:paraId="59329343">
      <w:pPr>
        <w:pStyle w:val="4"/>
        <w:rPr>
          <w:rFonts w:hint="eastAsia"/>
          <w:highlight w:val="none"/>
        </w:rPr>
      </w:pPr>
    </w:p>
    <w:p w14:paraId="7FB27021">
      <w:pPr>
        <w:rPr>
          <w:rFonts w:hint="eastAsia"/>
          <w:highlight w:val="none"/>
        </w:rPr>
      </w:pPr>
    </w:p>
    <w:p w14:paraId="0C65E0A6">
      <w:pPr>
        <w:widowControl/>
        <w:spacing w:line="560" w:lineRule="exact"/>
        <w:jc w:val="center"/>
        <w:rPr>
          <w:rFonts w:hint="eastAsia" w:ascii="宋体" w:hAnsi="宋体"/>
          <w:b/>
          <w:sz w:val="24"/>
          <w:highlight w:val="none"/>
        </w:rPr>
      </w:pPr>
    </w:p>
    <w:p w14:paraId="7800A54A">
      <w:pPr>
        <w:widowControl/>
        <w:spacing w:line="560" w:lineRule="exact"/>
        <w:jc w:val="center"/>
        <w:rPr>
          <w:rFonts w:hint="eastAsia" w:ascii="宋体" w:hAnsi="宋体"/>
          <w:b/>
          <w:sz w:val="24"/>
          <w:highlight w:val="none"/>
        </w:rPr>
      </w:pPr>
    </w:p>
    <w:p w14:paraId="10A8B2B3">
      <w:pPr>
        <w:widowControl/>
        <w:spacing w:line="560" w:lineRule="exact"/>
        <w:jc w:val="center"/>
        <w:rPr>
          <w:rFonts w:hint="eastAsia" w:ascii="宋体" w:hAnsi="宋体"/>
          <w:b/>
          <w:sz w:val="24"/>
          <w:highlight w:val="none"/>
        </w:rPr>
      </w:pPr>
    </w:p>
    <w:p w14:paraId="1E245857">
      <w:pPr>
        <w:widowControl/>
        <w:spacing w:line="560" w:lineRule="exact"/>
        <w:jc w:val="center"/>
        <w:rPr>
          <w:rFonts w:hint="eastAsia" w:ascii="宋体" w:hAnsi="宋体"/>
          <w:b/>
          <w:sz w:val="24"/>
          <w:highlight w:val="none"/>
        </w:rPr>
      </w:pPr>
    </w:p>
    <w:p w14:paraId="2A68D008">
      <w:pPr>
        <w:widowControl/>
        <w:spacing w:line="560" w:lineRule="exact"/>
        <w:jc w:val="center"/>
        <w:rPr>
          <w:rFonts w:hint="eastAsia" w:ascii="宋体" w:hAnsi="宋体"/>
          <w:b/>
          <w:sz w:val="24"/>
          <w:highlight w:val="none"/>
        </w:rPr>
      </w:pPr>
    </w:p>
    <w:p w14:paraId="09E58D7E">
      <w:pPr>
        <w:widowControl/>
        <w:spacing w:line="560" w:lineRule="exact"/>
        <w:jc w:val="center"/>
        <w:rPr>
          <w:rFonts w:hint="eastAsia" w:ascii="宋体" w:hAnsi="宋体"/>
          <w:b/>
          <w:sz w:val="24"/>
          <w:highlight w:val="none"/>
        </w:rPr>
      </w:pPr>
    </w:p>
    <w:p w14:paraId="55D02A63">
      <w:pPr>
        <w:widowControl/>
        <w:spacing w:line="560" w:lineRule="exact"/>
        <w:jc w:val="center"/>
        <w:rPr>
          <w:rFonts w:hint="eastAsia" w:ascii="宋体" w:hAnsi="宋体"/>
          <w:b/>
          <w:sz w:val="24"/>
          <w:highlight w:val="none"/>
        </w:rPr>
      </w:pPr>
    </w:p>
    <w:p w14:paraId="12630D28">
      <w:pPr>
        <w:widowControl/>
        <w:spacing w:line="560" w:lineRule="exact"/>
        <w:jc w:val="center"/>
        <w:rPr>
          <w:rFonts w:hint="eastAsia" w:ascii="宋体" w:hAnsi="宋体"/>
          <w:b/>
          <w:sz w:val="24"/>
          <w:highlight w:val="none"/>
        </w:rPr>
      </w:pPr>
    </w:p>
    <w:p w14:paraId="7F3BF48F">
      <w:pPr>
        <w:widowControl/>
        <w:spacing w:line="560" w:lineRule="exact"/>
        <w:jc w:val="center"/>
        <w:rPr>
          <w:rFonts w:hint="eastAsia" w:ascii="宋体" w:hAnsi="宋体"/>
          <w:b/>
          <w:sz w:val="24"/>
          <w:highlight w:val="none"/>
        </w:rPr>
      </w:pPr>
      <w:r>
        <w:rPr>
          <w:rFonts w:hint="eastAsia" w:ascii="宋体" w:hAnsi="宋体"/>
          <w:b/>
          <w:sz w:val="24"/>
          <w:highlight w:val="none"/>
        </w:rPr>
        <w:t>工程质量保修书</w:t>
      </w:r>
    </w:p>
    <w:p w14:paraId="0BEEAF17">
      <w:pPr>
        <w:spacing w:line="560" w:lineRule="exact"/>
        <w:rPr>
          <w:rFonts w:hint="eastAsia" w:ascii="宋体" w:hAnsi="宋体" w:eastAsia="宋体" w:cs="宋体"/>
          <w:sz w:val="24"/>
          <w:szCs w:val="24"/>
          <w:highlight w:val="none"/>
        </w:rPr>
      </w:pPr>
      <w:r>
        <w:rPr>
          <w:rFonts w:hint="eastAsia" w:ascii="宋体" w:hAnsi="宋体"/>
          <w:sz w:val="24"/>
          <w:highlight w:val="none"/>
        </w:rPr>
        <w:t>发包人（甲方）</w:t>
      </w:r>
      <w:r>
        <w:rPr>
          <w:rFonts w:hint="eastAsia" w:ascii="仿宋" w:hAnsi="仿宋" w:eastAsia="仿宋" w:cs="仿宋"/>
          <w:sz w:val="24"/>
          <w:highlight w:val="none"/>
          <w:u w:val="single"/>
        </w:rPr>
        <w:t xml:space="preserve"> </w:t>
      </w:r>
      <w:r>
        <w:rPr>
          <w:rFonts w:hint="eastAsia" w:ascii="宋体" w:hAnsi="宋体" w:cs="宋体"/>
          <w:color w:val="auto"/>
          <w:sz w:val="24"/>
          <w:szCs w:val="24"/>
          <w:highlight w:val="none"/>
          <w:u w:val="single"/>
          <w:lang w:val="en-US" w:eastAsia="zh-CN"/>
        </w:rPr>
        <w:t>蓝田县城市管理和综合执法局</w:t>
      </w:r>
    </w:p>
    <w:p w14:paraId="718AF02F">
      <w:pPr>
        <w:widowControl/>
        <w:spacing w:line="560" w:lineRule="exact"/>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承包人（乙方）</w:t>
      </w:r>
      <w:r>
        <w:rPr>
          <w:rFonts w:hint="eastAsia" w:ascii="宋体" w:hAnsi="宋体" w:cs="宋体"/>
          <w:sz w:val="24"/>
          <w:szCs w:val="24"/>
          <w:highlight w:val="none"/>
          <w:u w:val="single"/>
          <w:lang w:val="en-US" w:eastAsia="zh-CN"/>
        </w:rPr>
        <w:t xml:space="preserve">                          </w:t>
      </w:r>
      <w:bookmarkStart w:id="21" w:name="_GoBack"/>
      <w:bookmarkEnd w:id="21"/>
      <w:r>
        <w:rPr>
          <w:rFonts w:hint="eastAsia" w:ascii="宋体" w:hAnsi="宋体" w:cs="宋体"/>
          <w:sz w:val="24"/>
          <w:szCs w:val="24"/>
          <w:highlight w:val="none"/>
          <w:u w:val="single"/>
          <w:lang w:val="en-US" w:eastAsia="zh-CN"/>
        </w:rPr>
        <w:t> </w:t>
      </w:r>
    </w:p>
    <w:p w14:paraId="72F18CF4">
      <w:pPr>
        <w:widowControl/>
        <w:spacing w:line="560" w:lineRule="exact"/>
        <w:ind w:firstLine="480" w:firstLineChars="200"/>
        <w:jc w:val="left"/>
        <w:rPr>
          <w:rFonts w:hint="eastAsia" w:ascii="宋体" w:hAnsi="宋体"/>
          <w:kern w:val="0"/>
          <w:sz w:val="24"/>
          <w:highlight w:val="none"/>
        </w:rPr>
      </w:pPr>
      <w:r>
        <w:rPr>
          <w:rFonts w:hint="eastAsia" w:ascii="宋体" w:hAnsi="宋体" w:eastAsia="宋体" w:cs="宋体"/>
          <w:kern w:val="0"/>
          <w:sz w:val="24"/>
          <w:szCs w:val="24"/>
          <w:highlight w:val="none"/>
        </w:rPr>
        <w:t>为保证</w:t>
      </w:r>
      <w:r>
        <w:rPr>
          <w:rFonts w:hint="eastAsia" w:ascii="宋体" w:hAnsi="宋体" w:cs="宋体"/>
          <w:kern w:val="0"/>
          <w:sz w:val="24"/>
          <w:szCs w:val="24"/>
          <w:highlight w:val="none"/>
          <w:u w:val="single"/>
          <w:lang w:eastAsia="zh-CN"/>
        </w:rPr>
        <w:t>2023年垃圾焚烧生态补偿费(2024年农村公厕改造)</w:t>
      </w:r>
      <w:r>
        <w:rPr>
          <w:rFonts w:hint="eastAsia" w:ascii="宋体" w:hAnsi="宋体" w:eastAsia="宋体" w:cs="宋体"/>
          <w:kern w:val="0"/>
          <w:sz w:val="24"/>
          <w:szCs w:val="24"/>
          <w:highlight w:val="none"/>
        </w:rPr>
        <w:t>工</w:t>
      </w:r>
      <w:r>
        <w:rPr>
          <w:rFonts w:hint="eastAsia" w:ascii="宋体" w:hAnsi="宋体"/>
          <w:kern w:val="0"/>
          <w:sz w:val="24"/>
          <w:highlight w:val="none"/>
        </w:rPr>
        <w:t>程在合理使用期限内正常使用，发包人、承包人协商一致签订工程质量保修书。承包人在质量保修期内按照有关管理规定及各方约定承担工程质量保修责任。</w:t>
      </w:r>
    </w:p>
    <w:p w14:paraId="246A58E3">
      <w:pPr>
        <w:widowControl/>
        <w:spacing w:line="560" w:lineRule="exact"/>
        <w:ind w:firstLine="482" w:firstLineChars="200"/>
        <w:rPr>
          <w:rFonts w:hint="eastAsia" w:ascii="宋体" w:hAnsi="宋体"/>
          <w:b/>
          <w:kern w:val="0"/>
          <w:sz w:val="24"/>
          <w:highlight w:val="none"/>
        </w:rPr>
      </w:pPr>
      <w:r>
        <w:rPr>
          <w:rFonts w:hint="eastAsia" w:ascii="宋体" w:hAnsi="宋体"/>
          <w:b/>
          <w:kern w:val="0"/>
          <w:sz w:val="24"/>
          <w:highlight w:val="none"/>
        </w:rPr>
        <w:t xml:space="preserve">一、工程质量保修范围和内容 </w:t>
      </w:r>
    </w:p>
    <w:p w14:paraId="7B8D25E7">
      <w:pPr>
        <w:widowControl/>
        <w:spacing w:line="560" w:lineRule="exact"/>
        <w:ind w:firstLine="480" w:firstLineChars="200"/>
        <w:rPr>
          <w:rFonts w:hint="eastAsia" w:ascii="宋体" w:hAnsi="宋体"/>
          <w:kern w:val="0"/>
          <w:sz w:val="24"/>
          <w:highlight w:val="none"/>
        </w:rPr>
      </w:pPr>
      <w:r>
        <w:rPr>
          <w:rFonts w:hint="eastAsia" w:ascii="宋体" w:hAnsi="宋体"/>
          <w:kern w:val="0"/>
          <w:sz w:val="24"/>
          <w:highlight w:val="none"/>
        </w:rPr>
        <w:t xml:space="preserve">质量保修范围包括地基基础工程、主体结构工程、屋面防水工程和各方约定的其他土建工程，以及电气管线、上下水管线的安装工程，供热、供冷系统工程等项目。具体质量保修内容各方约定如下： </w:t>
      </w:r>
      <w:r>
        <w:rPr>
          <w:rFonts w:hint="eastAsia" w:ascii="宋体" w:hAnsi="宋体"/>
          <w:kern w:val="0"/>
          <w:sz w:val="24"/>
          <w:highlight w:val="none"/>
          <w:u w:val="single"/>
        </w:rPr>
        <w:t>承保范围以内的所有工程。</w:t>
      </w:r>
    </w:p>
    <w:p w14:paraId="6BF46DB3">
      <w:pPr>
        <w:widowControl/>
        <w:spacing w:line="560" w:lineRule="exact"/>
        <w:ind w:firstLine="482" w:firstLineChars="200"/>
        <w:rPr>
          <w:rFonts w:hint="eastAsia" w:ascii="宋体" w:hAnsi="宋体"/>
          <w:b/>
          <w:kern w:val="0"/>
          <w:sz w:val="24"/>
          <w:highlight w:val="none"/>
        </w:rPr>
      </w:pPr>
      <w:r>
        <w:rPr>
          <w:rFonts w:hint="eastAsia" w:ascii="宋体" w:hAnsi="宋体"/>
          <w:b/>
          <w:kern w:val="0"/>
          <w:sz w:val="24"/>
          <w:highlight w:val="none"/>
        </w:rPr>
        <w:t xml:space="preserve">二、质量保修期 </w:t>
      </w:r>
    </w:p>
    <w:p w14:paraId="061A6AF3">
      <w:pPr>
        <w:widowControl/>
        <w:spacing w:line="560" w:lineRule="exact"/>
        <w:ind w:firstLine="480" w:firstLineChars="200"/>
        <w:rPr>
          <w:rFonts w:hint="eastAsia" w:ascii="宋体" w:hAnsi="宋体"/>
          <w:kern w:val="0"/>
          <w:sz w:val="24"/>
          <w:highlight w:val="none"/>
        </w:rPr>
      </w:pPr>
      <w:r>
        <w:rPr>
          <w:rFonts w:hint="eastAsia" w:ascii="宋体" w:hAnsi="宋体"/>
          <w:kern w:val="0"/>
          <w:sz w:val="24"/>
          <w:highlight w:val="none"/>
        </w:rPr>
        <w:t>质量保修期自</w:t>
      </w:r>
      <w:r>
        <w:rPr>
          <w:rFonts w:hint="eastAsia" w:ascii="宋体" w:hAnsi="宋体"/>
          <w:kern w:val="0"/>
          <w:sz w:val="24"/>
          <w:highlight w:val="none"/>
          <w:u w:val="single"/>
        </w:rPr>
        <w:t>工程竣工验收合格、发包人代表在最终验收记录上签字的报验之日</w:t>
      </w:r>
      <w:r>
        <w:rPr>
          <w:rFonts w:hint="eastAsia" w:ascii="宋体" w:hAnsi="宋体"/>
          <w:kern w:val="0"/>
          <w:sz w:val="24"/>
          <w:highlight w:val="none"/>
        </w:rPr>
        <w:t>起计算。分单项竣工验收的工程，按单项工程分别计算质量保修期。</w:t>
      </w:r>
    </w:p>
    <w:p w14:paraId="63918B45">
      <w:pPr>
        <w:widowControl/>
        <w:spacing w:line="560" w:lineRule="exact"/>
        <w:ind w:firstLine="480" w:firstLineChars="200"/>
        <w:rPr>
          <w:rFonts w:hint="eastAsia" w:ascii="宋体" w:hAnsi="宋体"/>
          <w:kern w:val="0"/>
          <w:sz w:val="24"/>
          <w:highlight w:val="none"/>
        </w:rPr>
      </w:pPr>
      <w:r>
        <w:rPr>
          <w:rFonts w:hint="eastAsia" w:ascii="宋体" w:hAnsi="宋体"/>
          <w:kern w:val="0"/>
          <w:sz w:val="24"/>
          <w:highlight w:val="none"/>
        </w:rPr>
        <w:t xml:space="preserve">各方根据《建设工程质量管理条例》及国家有关规定，结合具体工程约定质量保修期如下： </w:t>
      </w:r>
    </w:p>
    <w:p w14:paraId="22B59B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屋面防水工程为</w:t>
      </w:r>
      <w:r>
        <w:rPr>
          <w:rFonts w:hint="eastAsia" w:ascii="宋体" w:hAnsi="宋体" w:eastAsia="宋体" w:cs="宋体"/>
          <w:sz w:val="24"/>
          <w:szCs w:val="24"/>
          <w:highlight w:val="none"/>
          <w:u w:val="single"/>
        </w:rPr>
        <w:t xml:space="preserve">  五  </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eastAsia="zh-CN"/>
        </w:rPr>
        <w:t>；</w:t>
      </w:r>
    </w:p>
    <w:p w14:paraId="6A278B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电气管线、上、下水管线安装及装饰装修工程为</w:t>
      </w:r>
      <w:r>
        <w:rPr>
          <w:rFonts w:hint="eastAsia" w:ascii="宋体" w:hAnsi="宋体" w:eastAsia="宋体" w:cs="宋体"/>
          <w:sz w:val="24"/>
          <w:szCs w:val="24"/>
          <w:highlight w:val="none"/>
          <w:u w:val="single"/>
        </w:rPr>
        <w:t xml:space="preserve">  两  </w:t>
      </w:r>
      <w:r>
        <w:rPr>
          <w:rFonts w:hint="eastAsia" w:ascii="宋体" w:hAnsi="宋体" w:eastAsia="宋体" w:cs="宋体"/>
          <w:sz w:val="24"/>
          <w:szCs w:val="24"/>
          <w:highlight w:val="none"/>
        </w:rPr>
        <w:t>年；</w:t>
      </w:r>
    </w:p>
    <w:p w14:paraId="2EB067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室外的</w:t>
      </w:r>
      <w:r>
        <w:rPr>
          <w:rFonts w:hint="eastAsia" w:ascii="宋体" w:hAnsi="宋体" w:eastAsia="宋体" w:cs="宋体"/>
          <w:sz w:val="24"/>
          <w:szCs w:val="24"/>
          <w:highlight w:val="none"/>
          <w:lang w:val="en-US" w:eastAsia="zh-CN"/>
        </w:rPr>
        <w:t>管网</w:t>
      </w:r>
      <w:r>
        <w:rPr>
          <w:rFonts w:hint="eastAsia" w:ascii="宋体" w:hAnsi="宋体" w:eastAsia="宋体" w:cs="宋体"/>
          <w:sz w:val="24"/>
          <w:szCs w:val="24"/>
          <w:highlight w:val="none"/>
        </w:rPr>
        <w:t>和小区道路等市政公用工程为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两  </w:t>
      </w:r>
      <w:r>
        <w:rPr>
          <w:rFonts w:hint="eastAsia" w:ascii="宋体" w:hAnsi="宋体" w:eastAsia="宋体" w:cs="宋体"/>
          <w:sz w:val="24"/>
          <w:szCs w:val="24"/>
          <w:highlight w:val="none"/>
        </w:rPr>
        <w:t>年；</w:t>
      </w:r>
    </w:p>
    <w:p w14:paraId="691DAC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4、绿化工程为</w:t>
      </w:r>
      <w:r>
        <w:rPr>
          <w:rFonts w:hint="eastAsia" w:ascii="宋体" w:hAnsi="宋体" w:eastAsia="宋体" w:cs="宋体"/>
          <w:sz w:val="24"/>
          <w:szCs w:val="24"/>
          <w:highlight w:val="none"/>
          <w:u w:val="single"/>
        </w:rPr>
        <w:t xml:space="preserve"> 两 </w:t>
      </w:r>
      <w:r>
        <w:rPr>
          <w:rFonts w:hint="eastAsia" w:ascii="宋体" w:hAnsi="宋体" w:eastAsia="宋体" w:cs="宋体"/>
          <w:sz w:val="24"/>
          <w:szCs w:val="24"/>
          <w:highlight w:val="none"/>
        </w:rPr>
        <w:t>年；</w:t>
      </w:r>
    </w:p>
    <w:p w14:paraId="44C8D3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5、其他约定：</w:t>
      </w:r>
      <w:r>
        <w:rPr>
          <w:rFonts w:hint="eastAsia" w:ascii="宋体" w:hAnsi="宋体" w:eastAsia="宋体" w:cs="宋体"/>
          <w:sz w:val="24"/>
          <w:szCs w:val="24"/>
          <w:highlight w:val="none"/>
          <w:u w:val="single"/>
        </w:rPr>
        <w:t>保修期同设计文件规定的该工程合理使用年限</w:t>
      </w:r>
      <w:r>
        <w:rPr>
          <w:rFonts w:hint="eastAsia" w:ascii="宋体" w:hAnsi="宋体" w:eastAsia="宋体" w:cs="宋体"/>
          <w:sz w:val="24"/>
          <w:szCs w:val="24"/>
          <w:highlight w:val="none"/>
        </w:rPr>
        <w:t>。</w:t>
      </w:r>
    </w:p>
    <w:p w14:paraId="0003F732">
      <w:pPr>
        <w:widowControl/>
        <w:spacing w:line="560" w:lineRule="exact"/>
        <w:ind w:firstLine="482" w:firstLineChars="200"/>
        <w:rPr>
          <w:rFonts w:hint="eastAsia" w:ascii="宋体" w:hAnsi="宋体"/>
          <w:b/>
          <w:kern w:val="0"/>
          <w:sz w:val="24"/>
          <w:highlight w:val="none"/>
        </w:rPr>
      </w:pPr>
      <w:r>
        <w:rPr>
          <w:rFonts w:hint="eastAsia" w:ascii="宋体" w:hAnsi="宋体"/>
          <w:b/>
          <w:kern w:val="0"/>
          <w:sz w:val="24"/>
          <w:highlight w:val="none"/>
        </w:rPr>
        <w:t>三、质量保修责任</w:t>
      </w:r>
    </w:p>
    <w:p w14:paraId="35D0BD3A">
      <w:pPr>
        <w:widowControl/>
        <w:spacing w:line="560" w:lineRule="exact"/>
        <w:ind w:firstLine="480" w:firstLineChars="200"/>
        <w:rPr>
          <w:rFonts w:hint="eastAsia" w:ascii="宋体" w:hAnsi="宋体"/>
          <w:kern w:val="0"/>
          <w:sz w:val="24"/>
          <w:highlight w:val="none"/>
        </w:rPr>
      </w:pPr>
      <w:r>
        <w:rPr>
          <w:rFonts w:hint="eastAsia" w:ascii="宋体" w:hAnsi="宋体"/>
          <w:kern w:val="0"/>
          <w:sz w:val="24"/>
          <w:highlight w:val="none"/>
        </w:rPr>
        <w:t xml:space="preserve">1、属于保修范围和内容的项目，承包人应在接到修理通知之日后24小时内派人修理，并保证按照发包人要求修理完毕的工程，经验收确认达到合格标准。承包人不在约定期限内派人修理，发包人可委托其他人员修理，费用从质量保修金内扣除，不足部分，承包人应在收到发包人通知后3日内予以补足。。 </w:t>
      </w:r>
    </w:p>
    <w:p w14:paraId="7BE5A09A">
      <w:pPr>
        <w:widowControl/>
        <w:spacing w:line="560" w:lineRule="exact"/>
        <w:ind w:firstLine="480" w:firstLineChars="200"/>
        <w:rPr>
          <w:rFonts w:hint="eastAsia" w:ascii="宋体" w:hAnsi="宋体"/>
          <w:kern w:val="0"/>
          <w:sz w:val="24"/>
          <w:highlight w:val="none"/>
        </w:rPr>
      </w:pPr>
      <w:r>
        <w:rPr>
          <w:rFonts w:hint="eastAsia" w:ascii="宋体" w:hAnsi="宋体"/>
          <w:kern w:val="0"/>
          <w:sz w:val="24"/>
          <w:highlight w:val="none"/>
        </w:rPr>
        <w:t xml:space="preserve">2、发生须紧急抢修事故（如上水跑水、暖气漏水漏气、燃气漏气等），承包人接到事故通知后，应立即到达事故现场抢修。非承包人施工质量引起的事故，抢修费用由发包人承担。 </w:t>
      </w:r>
    </w:p>
    <w:p w14:paraId="17D12E92">
      <w:pPr>
        <w:widowControl/>
        <w:spacing w:line="560" w:lineRule="exact"/>
        <w:ind w:firstLine="480" w:firstLineChars="200"/>
        <w:rPr>
          <w:rFonts w:hint="eastAsia" w:ascii="宋体" w:hAnsi="宋体"/>
          <w:kern w:val="0"/>
          <w:sz w:val="24"/>
          <w:highlight w:val="none"/>
        </w:rPr>
      </w:pPr>
      <w:r>
        <w:rPr>
          <w:rFonts w:hint="eastAsia" w:ascii="宋体" w:hAnsi="宋体"/>
          <w:kern w:val="0"/>
          <w:sz w:val="24"/>
          <w:highlight w:val="none"/>
        </w:rPr>
        <w:t>3、在国家规定的工程合理使用期限内，承包人确保地基基础工程和主体结构的质量。因承包人原因致使工程在合理使用期限内造成人身和财产损害的，承包人应承担损害赔偿责任。</w:t>
      </w:r>
    </w:p>
    <w:p w14:paraId="34BDB6EC">
      <w:pPr>
        <w:widowControl/>
        <w:spacing w:line="560" w:lineRule="exact"/>
        <w:ind w:firstLine="482" w:firstLineChars="200"/>
        <w:rPr>
          <w:rFonts w:hint="eastAsia" w:ascii="宋体" w:hAnsi="宋体"/>
          <w:b/>
          <w:kern w:val="0"/>
          <w:sz w:val="24"/>
          <w:highlight w:val="none"/>
        </w:rPr>
      </w:pPr>
      <w:r>
        <w:rPr>
          <w:rFonts w:hint="eastAsia" w:ascii="宋体" w:hAnsi="宋体"/>
          <w:b/>
          <w:kern w:val="0"/>
          <w:sz w:val="24"/>
          <w:highlight w:val="none"/>
        </w:rPr>
        <w:t xml:space="preserve">四、质量保修金 </w:t>
      </w:r>
    </w:p>
    <w:p w14:paraId="529BA3BC">
      <w:pPr>
        <w:widowControl/>
        <w:spacing w:line="560" w:lineRule="exact"/>
        <w:ind w:firstLine="480" w:firstLineChars="200"/>
        <w:rPr>
          <w:rFonts w:hint="eastAsia" w:ascii="宋体" w:hAnsi="宋体"/>
          <w:kern w:val="0"/>
          <w:sz w:val="24"/>
          <w:highlight w:val="none"/>
        </w:rPr>
      </w:pPr>
      <w:r>
        <w:rPr>
          <w:rFonts w:hint="eastAsia" w:ascii="宋体" w:hAnsi="宋体"/>
          <w:kern w:val="0"/>
          <w:sz w:val="24"/>
          <w:highlight w:val="none"/>
        </w:rPr>
        <w:t>工程质量保修金一般不超过施工合同价款的3%，本工程约定的工程质量保修金为工程竣工结算价款的</w:t>
      </w:r>
      <w:r>
        <w:rPr>
          <w:rFonts w:hint="eastAsia" w:ascii="宋体" w:hAnsi="宋体" w:cs="宋体"/>
          <w:kern w:val="0"/>
          <w:sz w:val="24"/>
          <w:highlight w:val="none"/>
          <w:u w:val="single"/>
        </w:rPr>
        <w:t xml:space="preserve">3 </w:t>
      </w:r>
      <w:r>
        <w:rPr>
          <w:rFonts w:hint="eastAsia" w:ascii="宋体" w:hAnsi="宋体"/>
          <w:kern w:val="0"/>
          <w:sz w:val="24"/>
          <w:highlight w:val="none"/>
        </w:rPr>
        <w:t>%。</w:t>
      </w:r>
    </w:p>
    <w:p w14:paraId="22C46DE3">
      <w:pPr>
        <w:widowControl/>
        <w:spacing w:line="56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rPr>
        <w:t>本工程双方约定承包人向发包人支付工程质量保修金金额为</w:t>
      </w:r>
      <w:r>
        <w:rPr>
          <w:rFonts w:hint="eastAsia" w:ascii="宋体" w:hAnsi="宋体"/>
          <w:color w:val="000000"/>
          <w:sz w:val="24"/>
          <w:highlight w:val="none"/>
          <w:u w:val="single"/>
        </w:rPr>
        <w:t xml:space="preserve">    /   </w:t>
      </w:r>
      <w:r>
        <w:rPr>
          <w:rFonts w:hint="eastAsia" w:ascii="宋体" w:hAnsi="宋体"/>
          <w:color w:val="000000"/>
          <w:sz w:val="24"/>
          <w:highlight w:val="none"/>
        </w:rPr>
        <w:t>（大写）。质量保修金银行利率为</w:t>
      </w:r>
      <w:r>
        <w:rPr>
          <w:rFonts w:hint="eastAsia" w:ascii="宋体" w:hAnsi="宋体"/>
          <w:color w:val="000000"/>
          <w:sz w:val="24"/>
          <w:highlight w:val="none"/>
          <w:u w:val="single"/>
        </w:rPr>
        <w:t xml:space="preserve">     /   。</w:t>
      </w:r>
    </w:p>
    <w:p w14:paraId="04159357">
      <w:pPr>
        <w:widowControl/>
        <w:spacing w:line="560" w:lineRule="exact"/>
        <w:ind w:firstLine="482" w:firstLineChars="200"/>
        <w:rPr>
          <w:rFonts w:hint="eastAsia" w:ascii="宋体" w:hAnsi="宋体"/>
          <w:b/>
          <w:kern w:val="0"/>
          <w:sz w:val="24"/>
          <w:highlight w:val="none"/>
        </w:rPr>
      </w:pPr>
      <w:r>
        <w:rPr>
          <w:rFonts w:hint="eastAsia" w:ascii="宋体" w:hAnsi="宋体"/>
          <w:b/>
          <w:kern w:val="0"/>
          <w:sz w:val="24"/>
          <w:highlight w:val="none"/>
        </w:rPr>
        <w:t xml:space="preserve">五、质量保修金的返还 </w:t>
      </w:r>
    </w:p>
    <w:p w14:paraId="2736FEBE">
      <w:pPr>
        <w:widowControl/>
        <w:spacing w:line="560" w:lineRule="exact"/>
        <w:ind w:firstLine="480" w:firstLineChars="200"/>
        <w:rPr>
          <w:rFonts w:hint="eastAsia" w:ascii="宋体" w:hAnsi="宋体"/>
          <w:sz w:val="24"/>
          <w:highlight w:val="none"/>
          <w:u w:val="single"/>
        </w:rPr>
      </w:pPr>
      <w:r>
        <w:rPr>
          <w:rFonts w:hint="eastAsia" w:ascii="宋体" w:hAnsi="宋体"/>
          <w:sz w:val="24"/>
          <w:highlight w:val="none"/>
          <w:u w:val="single"/>
        </w:rPr>
        <w:t>本工程质保满</w:t>
      </w:r>
      <w:r>
        <w:rPr>
          <w:rFonts w:hint="eastAsia" w:ascii="宋体" w:hAnsi="宋体"/>
          <w:sz w:val="24"/>
          <w:highlight w:val="none"/>
          <w:u w:val="single"/>
          <w:lang w:val="en-US" w:eastAsia="zh-CN"/>
        </w:rPr>
        <w:t>壹</w:t>
      </w:r>
      <w:r>
        <w:rPr>
          <w:rFonts w:hint="eastAsia" w:ascii="宋体" w:hAnsi="宋体"/>
          <w:sz w:val="24"/>
          <w:highlight w:val="none"/>
          <w:u w:val="single"/>
        </w:rPr>
        <w:t>年后，一个月内承包人递交返还保修金的书面申请并按发包人规定办理相关手续，发包人相关管理部门签字确认无质量问题或其他问题后10日内将剩余保修金返还承包人。</w:t>
      </w:r>
    </w:p>
    <w:p w14:paraId="41792E51">
      <w:pPr>
        <w:widowControl/>
        <w:spacing w:line="560" w:lineRule="exact"/>
        <w:ind w:firstLine="480" w:firstLineChars="200"/>
        <w:rPr>
          <w:rFonts w:hint="eastAsia" w:ascii="宋体" w:hAnsi="宋体"/>
          <w:sz w:val="24"/>
          <w:highlight w:val="none"/>
          <w:u w:val="single"/>
        </w:rPr>
      </w:pPr>
      <w:r>
        <w:rPr>
          <w:rFonts w:hint="eastAsia" w:ascii="宋体" w:hAnsi="宋体"/>
          <w:sz w:val="24"/>
          <w:highlight w:val="none"/>
          <w:u w:val="single"/>
        </w:rPr>
        <w:t>若工程存在质量问题，发包人可推迟支付相应比例的保修款直至保修完成。</w:t>
      </w:r>
    </w:p>
    <w:p w14:paraId="003AF233">
      <w:pPr>
        <w:widowControl/>
        <w:spacing w:line="560" w:lineRule="exact"/>
        <w:ind w:firstLine="482" w:firstLineChars="200"/>
        <w:rPr>
          <w:rFonts w:hint="eastAsia" w:ascii="宋体" w:hAnsi="宋体"/>
          <w:b/>
          <w:kern w:val="0"/>
          <w:sz w:val="24"/>
          <w:highlight w:val="none"/>
        </w:rPr>
      </w:pPr>
      <w:r>
        <w:rPr>
          <w:rFonts w:hint="eastAsia" w:ascii="宋体" w:hAnsi="宋体"/>
          <w:b/>
          <w:kern w:val="0"/>
          <w:sz w:val="24"/>
          <w:highlight w:val="none"/>
        </w:rPr>
        <w:t xml:space="preserve">六、其他 </w:t>
      </w:r>
    </w:p>
    <w:p w14:paraId="38863427">
      <w:pPr>
        <w:widowControl/>
        <w:spacing w:line="560" w:lineRule="exact"/>
        <w:ind w:firstLine="480" w:firstLineChars="200"/>
        <w:rPr>
          <w:rFonts w:hint="eastAsia" w:ascii="宋体" w:hAnsi="宋体"/>
          <w:kern w:val="0"/>
          <w:sz w:val="24"/>
          <w:highlight w:val="none"/>
        </w:rPr>
      </w:pPr>
      <w:r>
        <w:rPr>
          <w:rFonts w:hint="eastAsia" w:ascii="宋体" w:hAnsi="宋体"/>
          <w:kern w:val="0"/>
          <w:sz w:val="24"/>
          <w:highlight w:val="none"/>
        </w:rPr>
        <w:t>各方约定的其他工程质量保修事项：</w:t>
      </w:r>
      <w:r>
        <w:rPr>
          <w:rFonts w:hint="eastAsia" w:ascii="宋体" w:hAnsi="宋体"/>
          <w:sz w:val="24"/>
          <w:highlight w:val="none"/>
          <w:u w:val="single"/>
        </w:rPr>
        <w:t xml:space="preserve">  无   </w:t>
      </w:r>
      <w:r>
        <w:rPr>
          <w:rFonts w:hint="eastAsia" w:ascii="宋体" w:hAnsi="宋体"/>
          <w:sz w:val="24"/>
          <w:highlight w:val="none"/>
        </w:rPr>
        <w:t>。</w:t>
      </w:r>
    </w:p>
    <w:p w14:paraId="654D9A07">
      <w:pPr>
        <w:widowControl/>
        <w:spacing w:line="560" w:lineRule="exact"/>
        <w:ind w:firstLine="480" w:firstLineChars="200"/>
        <w:rPr>
          <w:rFonts w:hint="eastAsia" w:ascii="宋体" w:hAnsi="宋体"/>
          <w:kern w:val="0"/>
          <w:sz w:val="24"/>
          <w:highlight w:val="none"/>
        </w:rPr>
      </w:pPr>
      <w:r>
        <w:rPr>
          <w:rFonts w:hint="eastAsia" w:ascii="宋体" w:hAnsi="宋体"/>
          <w:kern w:val="0"/>
          <w:sz w:val="24"/>
          <w:highlight w:val="none"/>
        </w:rPr>
        <w:t>本工程质量保修书作为施工合同的附件，由施工合同发包人、承包人共同签订。</w:t>
      </w:r>
    </w:p>
    <w:p w14:paraId="41BFCC2C">
      <w:pPr>
        <w:spacing w:line="560" w:lineRule="exact"/>
        <w:rPr>
          <w:rFonts w:hint="eastAsia" w:ascii="宋体" w:hAnsi="宋体"/>
          <w:sz w:val="24"/>
          <w:highlight w:val="none"/>
        </w:rPr>
      </w:pPr>
      <w:r>
        <w:rPr>
          <w:rFonts w:hint="eastAsia" w:ascii="宋体" w:hAnsi="宋体"/>
          <w:sz w:val="24"/>
          <w:highlight w:val="none"/>
        </w:rPr>
        <w:t>发包人：</w:t>
      </w:r>
      <w:r>
        <w:rPr>
          <w:rFonts w:hint="eastAsia" w:ascii="仿宋" w:hAnsi="仿宋" w:eastAsia="仿宋" w:cs="仿宋"/>
          <w:sz w:val="24"/>
          <w:highlight w:val="none"/>
          <w:u w:val="single"/>
        </w:rPr>
        <w:t xml:space="preserve"> </w:t>
      </w:r>
      <w:r>
        <w:rPr>
          <w:rFonts w:hint="eastAsia" w:ascii="宋体" w:hAnsi="宋体" w:cs="宋体"/>
          <w:sz w:val="24"/>
          <w:szCs w:val="24"/>
          <w:highlight w:val="none"/>
          <w:u w:val="single"/>
          <w:lang w:val="en-US" w:eastAsia="zh-CN"/>
        </w:rPr>
        <w:t>蓝田县城市管理和综合执法局</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承包人：</w:t>
      </w:r>
      <w:r>
        <w:rPr>
          <w:rFonts w:hint="eastAsia" w:ascii="宋体" w:hAnsi="宋体" w:eastAsia="宋体" w:cs="宋体"/>
          <w:sz w:val="24"/>
          <w:szCs w:val="24"/>
          <w:highlight w:val="none"/>
          <w:lang w:val="en-US" w:eastAsia="zh-CN"/>
        </w:rPr>
        <w:t xml:space="preserve">       </w:t>
      </w:r>
      <w:r>
        <w:rPr>
          <w:rFonts w:hint="eastAsia" w:ascii="宋体" w:hAnsi="宋体"/>
          <w:sz w:val="24"/>
          <w:highlight w:val="none"/>
        </w:rPr>
        <w:t xml:space="preserve">                 </w:t>
      </w:r>
    </w:p>
    <w:p w14:paraId="0643851B">
      <w:pPr>
        <w:spacing w:line="560" w:lineRule="exact"/>
        <w:rPr>
          <w:rFonts w:hint="default" w:ascii="宋体" w:hAnsi="宋体" w:eastAsia="宋体"/>
          <w:sz w:val="24"/>
          <w:highlight w:val="none"/>
          <w:lang w:val="en-US" w:eastAsia="zh-CN"/>
        </w:rPr>
      </w:pPr>
      <w:r>
        <w:rPr>
          <w:rFonts w:hint="eastAsia" w:ascii="宋体" w:hAnsi="宋体"/>
          <w:sz w:val="24"/>
          <w:highlight w:val="none"/>
          <w:lang w:val="en-US" w:eastAsia="zh-CN"/>
        </w:rPr>
        <w:t xml:space="preserve">       （盖章）                             （盖章）</w:t>
      </w:r>
    </w:p>
    <w:p w14:paraId="3641B98D">
      <w:pPr>
        <w:spacing w:line="560" w:lineRule="exact"/>
        <w:rPr>
          <w:rFonts w:hint="eastAsia" w:ascii="宋体" w:hAnsi="宋体"/>
          <w:sz w:val="24"/>
          <w:highlight w:val="none"/>
        </w:rPr>
      </w:pPr>
    </w:p>
    <w:p w14:paraId="70456864">
      <w:pPr>
        <w:spacing w:line="560" w:lineRule="exact"/>
        <w:rPr>
          <w:rFonts w:hint="eastAsia" w:ascii="宋体" w:hAnsi="宋体" w:eastAsia="宋体" w:cs="宋体"/>
          <w:sz w:val="24"/>
          <w:szCs w:val="24"/>
          <w:highlight w:val="none"/>
          <w:u w:val="single"/>
          <w:lang w:val="en-US" w:eastAsia="zh-CN"/>
        </w:rPr>
      </w:pPr>
      <w:r>
        <w:rPr>
          <w:rFonts w:hint="eastAsia" w:ascii="宋体" w:hAnsi="宋体"/>
          <w:sz w:val="24"/>
          <w:highlight w:val="none"/>
        </w:rPr>
        <w:t>法定代表人或其授权代理人：</w:t>
      </w:r>
      <w:r>
        <w:rPr>
          <w:rFonts w:hint="eastAsia" w:ascii="宋体" w:hAnsi="宋体"/>
          <w:sz w:val="24"/>
          <w:highlight w:val="none"/>
          <w:lang w:val="en-US" w:eastAsia="zh-CN"/>
        </w:rPr>
        <w:t xml:space="preserve">          </w:t>
      </w:r>
      <w:r>
        <w:rPr>
          <w:rFonts w:hint="eastAsia" w:ascii="宋体" w:hAnsi="宋体" w:eastAsia="宋体" w:cs="宋体"/>
          <w:sz w:val="24"/>
          <w:szCs w:val="24"/>
          <w:highlight w:val="none"/>
        </w:rPr>
        <w:t>法定代表人或其授权代理人：</w:t>
      </w:r>
    </w:p>
    <w:p w14:paraId="3ED06F43">
      <w:pPr>
        <w:pStyle w:val="4"/>
        <w:rPr>
          <w:rFonts w:hint="eastAsia"/>
          <w:highlight w:val="none"/>
        </w:rPr>
      </w:pP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8FE34">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3F443DF">
                          <w:pPr>
                            <w:pStyle w:val="6"/>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Jom5dHdAQAAvgMAAA4AAAAAAAAA&#10;AQAgAAAAHgEAAGRycy9lMm9Eb2MueG1sUEsFBgAAAAAGAAYAWQEAAG0FAAAAAA==&#10;">
              <v:fill on="f" focussize="0,0"/>
              <v:stroke on="f"/>
              <v:imagedata o:title=""/>
              <o:lock v:ext="edit" aspectratio="f"/>
              <v:textbox inset="0mm,0mm,0mm,0mm" style="mso-fit-shape-to-text:t;">
                <w:txbxContent>
                  <w:p w14:paraId="33F443DF">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35156A"/>
    <w:multiLevelType w:val="multilevel"/>
    <w:tmpl w:val="0035156A"/>
    <w:lvl w:ilvl="0" w:tentative="0">
      <w:start w:val="1"/>
      <w:numFmt w:val="chineseCountingThousand"/>
      <w:lvlText w:val="%1、"/>
      <w:lvlJc w:val="left"/>
      <w:pPr>
        <w:tabs>
          <w:tab w:val="left" w:pos="-136"/>
        </w:tabs>
        <w:ind w:left="-136" w:firstLine="556"/>
      </w:pPr>
      <w:rPr>
        <w:rFonts w:hint="eastAsia"/>
      </w:rPr>
    </w:lvl>
    <w:lvl w:ilvl="1" w:tentative="0">
      <w:start w:val="1"/>
      <w:numFmt w:val="lowerLetter"/>
      <w:lvlText w:val="%2)"/>
      <w:lvlJc w:val="left"/>
      <w:pPr>
        <w:tabs>
          <w:tab w:val="left" w:pos="1396"/>
        </w:tabs>
        <w:ind w:left="1396" w:hanging="420"/>
      </w:pPr>
    </w:lvl>
    <w:lvl w:ilvl="2" w:tentative="0">
      <w:start w:val="1"/>
      <w:numFmt w:val="lowerRoman"/>
      <w:lvlText w:val="%3."/>
      <w:lvlJc w:val="right"/>
      <w:pPr>
        <w:tabs>
          <w:tab w:val="left" w:pos="1816"/>
        </w:tabs>
        <w:ind w:left="1816" w:hanging="420"/>
      </w:pPr>
    </w:lvl>
    <w:lvl w:ilvl="3" w:tentative="0">
      <w:start w:val="1"/>
      <w:numFmt w:val="decimal"/>
      <w:lvlText w:val="%4."/>
      <w:lvlJc w:val="left"/>
      <w:pPr>
        <w:tabs>
          <w:tab w:val="left" w:pos="2236"/>
        </w:tabs>
        <w:ind w:left="2236" w:hanging="420"/>
      </w:pPr>
    </w:lvl>
    <w:lvl w:ilvl="4" w:tentative="0">
      <w:start w:val="1"/>
      <w:numFmt w:val="lowerLetter"/>
      <w:lvlText w:val="%5)"/>
      <w:lvlJc w:val="left"/>
      <w:pPr>
        <w:tabs>
          <w:tab w:val="left" w:pos="2656"/>
        </w:tabs>
        <w:ind w:left="2656" w:hanging="420"/>
      </w:pPr>
    </w:lvl>
    <w:lvl w:ilvl="5" w:tentative="0">
      <w:start w:val="1"/>
      <w:numFmt w:val="lowerRoman"/>
      <w:lvlText w:val="%6."/>
      <w:lvlJc w:val="right"/>
      <w:pPr>
        <w:tabs>
          <w:tab w:val="left" w:pos="3076"/>
        </w:tabs>
        <w:ind w:left="3076" w:hanging="420"/>
      </w:pPr>
    </w:lvl>
    <w:lvl w:ilvl="6" w:tentative="0">
      <w:start w:val="1"/>
      <w:numFmt w:val="decimal"/>
      <w:lvlText w:val="%7."/>
      <w:lvlJc w:val="left"/>
      <w:pPr>
        <w:tabs>
          <w:tab w:val="left" w:pos="3496"/>
        </w:tabs>
        <w:ind w:left="3496" w:hanging="420"/>
      </w:pPr>
    </w:lvl>
    <w:lvl w:ilvl="7" w:tentative="0">
      <w:start w:val="1"/>
      <w:numFmt w:val="lowerLetter"/>
      <w:lvlText w:val="%8)"/>
      <w:lvlJc w:val="left"/>
      <w:pPr>
        <w:tabs>
          <w:tab w:val="left" w:pos="3916"/>
        </w:tabs>
        <w:ind w:left="3916" w:hanging="420"/>
      </w:pPr>
    </w:lvl>
    <w:lvl w:ilvl="8" w:tentative="0">
      <w:start w:val="1"/>
      <w:numFmt w:val="lowerRoman"/>
      <w:lvlText w:val="%9."/>
      <w:lvlJc w:val="right"/>
      <w:pPr>
        <w:tabs>
          <w:tab w:val="left" w:pos="4336"/>
        </w:tabs>
        <w:ind w:left="4336" w:hanging="420"/>
      </w:pPr>
    </w:lvl>
  </w:abstractNum>
  <w:abstractNum w:abstractNumId="1">
    <w:nsid w:val="00D5078F"/>
    <w:multiLevelType w:val="multilevel"/>
    <w:tmpl w:val="00D5078F"/>
    <w:lvl w:ilvl="0" w:tentative="0">
      <w:start w:val="1"/>
      <w:numFmt w:val="decimal"/>
      <w:lvlText w:val="(%1)"/>
      <w:lvlJc w:val="left"/>
      <w:pPr>
        <w:tabs>
          <w:tab w:val="left" w:pos="420"/>
        </w:tabs>
        <w:ind w:left="420" w:firstLine="0"/>
      </w:pPr>
      <w:rPr>
        <w:rFonts w:hint="eastAsia"/>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
    <w:nsid w:val="0C2060C1"/>
    <w:multiLevelType w:val="multilevel"/>
    <w:tmpl w:val="0C2060C1"/>
    <w:lvl w:ilvl="0" w:tentative="0">
      <w:start w:val="1"/>
      <w:numFmt w:val="decimal"/>
      <w:lvlText w:val="(%1)"/>
      <w:lvlJc w:val="left"/>
      <w:pPr>
        <w:tabs>
          <w:tab w:val="left" w:pos="376"/>
        </w:tabs>
        <w:ind w:left="376" w:firstLine="0"/>
      </w:pPr>
      <w:rPr>
        <w:rFonts w:hint="eastAsia"/>
      </w:rPr>
    </w:lvl>
    <w:lvl w:ilvl="1" w:tentative="0">
      <w:start w:val="1"/>
      <w:numFmt w:val="decimal"/>
      <w:lvlText w:val="(%2)"/>
      <w:lvlJc w:val="left"/>
      <w:pPr>
        <w:tabs>
          <w:tab w:val="left" w:pos="1156"/>
        </w:tabs>
        <w:ind w:left="1156" w:hanging="360"/>
      </w:pPr>
      <w:rPr>
        <w:rFonts w:hint="default"/>
        <w:u w:val="none"/>
      </w:rPr>
    </w:lvl>
    <w:lvl w:ilvl="2" w:tentative="0">
      <w:start w:val="1"/>
      <w:numFmt w:val="lowerRoman"/>
      <w:lvlText w:val="%3."/>
      <w:lvlJc w:val="right"/>
      <w:pPr>
        <w:tabs>
          <w:tab w:val="left" w:pos="1636"/>
        </w:tabs>
        <w:ind w:left="1636" w:hanging="420"/>
      </w:pPr>
    </w:lvl>
    <w:lvl w:ilvl="3" w:tentative="0">
      <w:start w:val="1"/>
      <w:numFmt w:val="decimal"/>
      <w:lvlText w:val="%4."/>
      <w:lvlJc w:val="left"/>
      <w:pPr>
        <w:tabs>
          <w:tab w:val="left" w:pos="2056"/>
        </w:tabs>
        <w:ind w:left="2056" w:hanging="420"/>
      </w:pPr>
    </w:lvl>
    <w:lvl w:ilvl="4" w:tentative="0">
      <w:start w:val="1"/>
      <w:numFmt w:val="lowerLetter"/>
      <w:lvlText w:val="%5)"/>
      <w:lvlJc w:val="left"/>
      <w:pPr>
        <w:tabs>
          <w:tab w:val="left" w:pos="2476"/>
        </w:tabs>
        <w:ind w:left="2476" w:hanging="420"/>
      </w:pPr>
    </w:lvl>
    <w:lvl w:ilvl="5" w:tentative="0">
      <w:start w:val="1"/>
      <w:numFmt w:val="lowerRoman"/>
      <w:lvlText w:val="%6."/>
      <w:lvlJc w:val="right"/>
      <w:pPr>
        <w:tabs>
          <w:tab w:val="left" w:pos="2896"/>
        </w:tabs>
        <w:ind w:left="2896" w:hanging="420"/>
      </w:pPr>
    </w:lvl>
    <w:lvl w:ilvl="6" w:tentative="0">
      <w:start w:val="1"/>
      <w:numFmt w:val="decimal"/>
      <w:lvlText w:val="%7."/>
      <w:lvlJc w:val="left"/>
      <w:pPr>
        <w:tabs>
          <w:tab w:val="left" w:pos="3316"/>
        </w:tabs>
        <w:ind w:left="3316" w:hanging="420"/>
      </w:pPr>
    </w:lvl>
    <w:lvl w:ilvl="7" w:tentative="0">
      <w:start w:val="1"/>
      <w:numFmt w:val="lowerLetter"/>
      <w:lvlText w:val="%8)"/>
      <w:lvlJc w:val="left"/>
      <w:pPr>
        <w:tabs>
          <w:tab w:val="left" w:pos="3736"/>
        </w:tabs>
        <w:ind w:left="3736" w:hanging="420"/>
      </w:pPr>
    </w:lvl>
    <w:lvl w:ilvl="8" w:tentative="0">
      <w:start w:val="1"/>
      <w:numFmt w:val="lowerRoman"/>
      <w:lvlText w:val="%9."/>
      <w:lvlJc w:val="right"/>
      <w:pPr>
        <w:tabs>
          <w:tab w:val="left" w:pos="4156"/>
        </w:tabs>
        <w:ind w:left="4156" w:hanging="420"/>
      </w:pPr>
    </w:lvl>
  </w:abstractNum>
  <w:abstractNum w:abstractNumId="3">
    <w:nsid w:val="1ECD6574"/>
    <w:multiLevelType w:val="multilevel"/>
    <w:tmpl w:val="1ECD6574"/>
    <w:lvl w:ilvl="0" w:tentative="0">
      <w:start w:val="1"/>
      <w:numFmt w:val="decimal"/>
      <w:lvlText w:val="(%1)"/>
      <w:lvlJc w:val="left"/>
      <w:pPr>
        <w:tabs>
          <w:tab w:val="left" w:pos="560"/>
        </w:tabs>
        <w:ind w:left="560" w:firstLine="0"/>
      </w:pPr>
      <w:rPr>
        <w:rFonts w:hint="eastAsia"/>
      </w:rPr>
    </w:lvl>
    <w:lvl w:ilvl="1" w:tentative="0">
      <w:start w:val="1"/>
      <w:numFmt w:val="lowerLetter"/>
      <w:lvlText w:val="%2)"/>
      <w:lvlJc w:val="left"/>
      <w:pPr>
        <w:tabs>
          <w:tab w:val="left" w:pos="1400"/>
        </w:tabs>
        <w:ind w:left="1400" w:hanging="420"/>
      </w:pPr>
    </w:lvl>
    <w:lvl w:ilvl="2" w:tentative="0">
      <w:start w:val="1"/>
      <w:numFmt w:val="lowerRoman"/>
      <w:lvlText w:val="%3."/>
      <w:lvlJc w:val="right"/>
      <w:pPr>
        <w:tabs>
          <w:tab w:val="left" w:pos="1820"/>
        </w:tabs>
        <w:ind w:left="1820" w:hanging="420"/>
      </w:pPr>
    </w:lvl>
    <w:lvl w:ilvl="3" w:tentative="0">
      <w:start w:val="1"/>
      <w:numFmt w:val="decimal"/>
      <w:lvlText w:val="%4."/>
      <w:lvlJc w:val="left"/>
      <w:pPr>
        <w:tabs>
          <w:tab w:val="left" w:pos="2240"/>
        </w:tabs>
        <w:ind w:left="2240" w:hanging="420"/>
      </w:pPr>
    </w:lvl>
    <w:lvl w:ilvl="4" w:tentative="0">
      <w:start w:val="1"/>
      <w:numFmt w:val="lowerLetter"/>
      <w:lvlText w:val="%5)"/>
      <w:lvlJc w:val="left"/>
      <w:pPr>
        <w:tabs>
          <w:tab w:val="left" w:pos="2660"/>
        </w:tabs>
        <w:ind w:left="2660" w:hanging="420"/>
      </w:pPr>
    </w:lvl>
    <w:lvl w:ilvl="5" w:tentative="0">
      <w:start w:val="1"/>
      <w:numFmt w:val="lowerRoman"/>
      <w:lvlText w:val="%6."/>
      <w:lvlJc w:val="right"/>
      <w:pPr>
        <w:tabs>
          <w:tab w:val="left" w:pos="3080"/>
        </w:tabs>
        <w:ind w:left="3080" w:hanging="420"/>
      </w:pPr>
    </w:lvl>
    <w:lvl w:ilvl="6" w:tentative="0">
      <w:start w:val="1"/>
      <w:numFmt w:val="decimal"/>
      <w:lvlText w:val="%7."/>
      <w:lvlJc w:val="left"/>
      <w:pPr>
        <w:tabs>
          <w:tab w:val="left" w:pos="3500"/>
        </w:tabs>
        <w:ind w:left="3500" w:hanging="420"/>
      </w:pPr>
    </w:lvl>
    <w:lvl w:ilvl="7" w:tentative="0">
      <w:start w:val="1"/>
      <w:numFmt w:val="lowerLetter"/>
      <w:lvlText w:val="%8)"/>
      <w:lvlJc w:val="left"/>
      <w:pPr>
        <w:tabs>
          <w:tab w:val="left" w:pos="3920"/>
        </w:tabs>
        <w:ind w:left="3920" w:hanging="420"/>
      </w:pPr>
    </w:lvl>
    <w:lvl w:ilvl="8" w:tentative="0">
      <w:start w:val="1"/>
      <w:numFmt w:val="lowerRoman"/>
      <w:lvlText w:val="%9."/>
      <w:lvlJc w:val="right"/>
      <w:pPr>
        <w:tabs>
          <w:tab w:val="left" w:pos="4340"/>
        </w:tabs>
        <w:ind w:left="4340" w:hanging="420"/>
      </w:pPr>
    </w:lvl>
  </w:abstractNum>
  <w:abstractNum w:abstractNumId="4">
    <w:nsid w:val="1F6113E6"/>
    <w:multiLevelType w:val="multilevel"/>
    <w:tmpl w:val="1F6113E6"/>
    <w:lvl w:ilvl="0" w:tentative="0">
      <w:start w:val="1"/>
      <w:numFmt w:val="decimal"/>
      <w:lvlText w:val="%1）"/>
      <w:lvlJc w:val="left"/>
      <w:pPr>
        <w:tabs>
          <w:tab w:val="left" w:pos="840"/>
        </w:tabs>
        <w:ind w:left="840" w:hanging="360"/>
      </w:pPr>
      <w:rPr>
        <w:rFonts w:hint="eastAsia"/>
      </w:rPr>
    </w:lvl>
    <w:lvl w:ilvl="1" w:tentative="0">
      <w:start w:val="1"/>
      <w:numFmt w:val="decimal"/>
      <w:lvlText w:val="%2、"/>
      <w:lvlJc w:val="left"/>
      <w:pPr>
        <w:tabs>
          <w:tab w:val="left" w:pos="1260"/>
        </w:tabs>
        <w:ind w:left="1260" w:hanging="360"/>
      </w:pPr>
      <w:rPr>
        <w:rFonts w:hint="eastAsia"/>
      </w:rPr>
    </w:lvl>
    <w:lvl w:ilvl="2" w:tentative="0">
      <w:start w:val="1"/>
      <w:numFmt w:val="decimal"/>
      <w:lvlText w:val="(%3)"/>
      <w:lvlJc w:val="left"/>
      <w:pPr>
        <w:tabs>
          <w:tab w:val="left" w:pos="1320"/>
        </w:tabs>
        <w:ind w:left="1320" w:firstLine="0"/>
      </w:pPr>
      <w:rPr>
        <w:rFonts w:hint="eastAsia"/>
      </w:r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5">
    <w:nsid w:val="25C23853"/>
    <w:multiLevelType w:val="multilevel"/>
    <w:tmpl w:val="25C23853"/>
    <w:lvl w:ilvl="0" w:tentative="0">
      <w:start w:val="1"/>
      <w:numFmt w:val="decimal"/>
      <w:lvlText w:val="(%1)"/>
      <w:lvlJc w:val="left"/>
      <w:pPr>
        <w:tabs>
          <w:tab w:val="left" w:pos="0"/>
        </w:tabs>
        <w:ind w:left="0" w:firstLine="0"/>
      </w:pPr>
      <w:rPr>
        <w:rFonts w:hint="eastAsia"/>
      </w:rPr>
    </w:lvl>
    <w:lvl w:ilvl="1" w:tentative="0">
      <w:start w:val="1"/>
      <w:numFmt w:val="decimal"/>
      <w:lvlText w:val="(%2)"/>
      <w:lvlJc w:val="left"/>
      <w:pPr>
        <w:tabs>
          <w:tab w:val="left" w:pos="420"/>
        </w:tabs>
        <w:ind w:left="420" w:firstLine="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2B5768AD"/>
    <w:multiLevelType w:val="multilevel"/>
    <w:tmpl w:val="2B5768AD"/>
    <w:lvl w:ilvl="0" w:tentative="0">
      <w:start w:val="1"/>
      <w:numFmt w:val="decimal"/>
      <w:lvlText w:val="(%1)"/>
      <w:lvlJc w:val="left"/>
      <w:pPr>
        <w:tabs>
          <w:tab w:val="left" w:pos="560"/>
        </w:tabs>
        <w:ind w:left="560" w:firstLine="0"/>
      </w:pPr>
      <w:rPr>
        <w:rFonts w:hint="eastAsia"/>
      </w:rPr>
    </w:lvl>
    <w:lvl w:ilvl="1" w:tentative="0">
      <w:start w:val="1"/>
      <w:numFmt w:val="lowerLetter"/>
      <w:lvlText w:val="%2)"/>
      <w:lvlJc w:val="left"/>
      <w:pPr>
        <w:tabs>
          <w:tab w:val="left" w:pos="1400"/>
        </w:tabs>
        <w:ind w:left="1400" w:hanging="420"/>
      </w:pPr>
    </w:lvl>
    <w:lvl w:ilvl="2" w:tentative="0">
      <w:start w:val="1"/>
      <w:numFmt w:val="lowerRoman"/>
      <w:lvlText w:val="%3."/>
      <w:lvlJc w:val="right"/>
      <w:pPr>
        <w:tabs>
          <w:tab w:val="left" w:pos="1820"/>
        </w:tabs>
        <w:ind w:left="1820" w:hanging="420"/>
      </w:pPr>
    </w:lvl>
    <w:lvl w:ilvl="3" w:tentative="0">
      <w:start w:val="1"/>
      <w:numFmt w:val="decimal"/>
      <w:lvlText w:val="%4."/>
      <w:lvlJc w:val="left"/>
      <w:pPr>
        <w:tabs>
          <w:tab w:val="left" w:pos="2240"/>
        </w:tabs>
        <w:ind w:left="2240" w:hanging="420"/>
      </w:pPr>
    </w:lvl>
    <w:lvl w:ilvl="4" w:tentative="0">
      <w:start w:val="1"/>
      <w:numFmt w:val="lowerLetter"/>
      <w:lvlText w:val="%5)"/>
      <w:lvlJc w:val="left"/>
      <w:pPr>
        <w:tabs>
          <w:tab w:val="left" w:pos="2660"/>
        </w:tabs>
        <w:ind w:left="2660" w:hanging="420"/>
      </w:pPr>
    </w:lvl>
    <w:lvl w:ilvl="5" w:tentative="0">
      <w:start w:val="1"/>
      <w:numFmt w:val="lowerRoman"/>
      <w:lvlText w:val="%6."/>
      <w:lvlJc w:val="right"/>
      <w:pPr>
        <w:tabs>
          <w:tab w:val="left" w:pos="3080"/>
        </w:tabs>
        <w:ind w:left="3080" w:hanging="420"/>
      </w:pPr>
    </w:lvl>
    <w:lvl w:ilvl="6" w:tentative="0">
      <w:start w:val="1"/>
      <w:numFmt w:val="decimal"/>
      <w:lvlText w:val="%7."/>
      <w:lvlJc w:val="left"/>
      <w:pPr>
        <w:tabs>
          <w:tab w:val="left" w:pos="3500"/>
        </w:tabs>
        <w:ind w:left="3500" w:hanging="420"/>
      </w:pPr>
    </w:lvl>
    <w:lvl w:ilvl="7" w:tentative="0">
      <w:start w:val="1"/>
      <w:numFmt w:val="lowerLetter"/>
      <w:lvlText w:val="%8)"/>
      <w:lvlJc w:val="left"/>
      <w:pPr>
        <w:tabs>
          <w:tab w:val="left" w:pos="3920"/>
        </w:tabs>
        <w:ind w:left="3920" w:hanging="420"/>
      </w:pPr>
    </w:lvl>
    <w:lvl w:ilvl="8" w:tentative="0">
      <w:start w:val="1"/>
      <w:numFmt w:val="lowerRoman"/>
      <w:lvlText w:val="%9."/>
      <w:lvlJc w:val="right"/>
      <w:pPr>
        <w:tabs>
          <w:tab w:val="left" w:pos="4340"/>
        </w:tabs>
        <w:ind w:left="4340" w:hanging="420"/>
      </w:pPr>
    </w:lvl>
  </w:abstractNum>
  <w:abstractNum w:abstractNumId="7">
    <w:nsid w:val="5AC8612D"/>
    <w:multiLevelType w:val="multilevel"/>
    <w:tmpl w:val="5AC8612D"/>
    <w:lvl w:ilvl="0" w:tentative="0">
      <w:start w:val="1"/>
      <w:numFmt w:val="decimal"/>
      <w:lvlText w:val="(%1)"/>
      <w:lvlJc w:val="left"/>
      <w:pPr>
        <w:tabs>
          <w:tab w:val="left" w:pos="521"/>
        </w:tabs>
        <w:ind w:left="521" w:firstLine="0"/>
      </w:pPr>
      <w:rPr>
        <w:rFonts w:hint="eastAsia"/>
      </w:rPr>
    </w:lvl>
    <w:lvl w:ilvl="1" w:tentative="0">
      <w:start w:val="1"/>
      <w:numFmt w:val="lowerLetter"/>
      <w:lvlText w:val="%2)"/>
      <w:lvlJc w:val="left"/>
      <w:pPr>
        <w:tabs>
          <w:tab w:val="left" w:pos="1361"/>
        </w:tabs>
        <w:ind w:left="1361" w:hanging="420"/>
      </w:pPr>
    </w:lvl>
    <w:lvl w:ilvl="2" w:tentative="0">
      <w:start w:val="1"/>
      <w:numFmt w:val="lowerRoman"/>
      <w:lvlText w:val="%3."/>
      <w:lvlJc w:val="right"/>
      <w:pPr>
        <w:tabs>
          <w:tab w:val="left" w:pos="1781"/>
        </w:tabs>
        <w:ind w:left="1781" w:hanging="420"/>
      </w:pPr>
    </w:lvl>
    <w:lvl w:ilvl="3" w:tentative="0">
      <w:start w:val="1"/>
      <w:numFmt w:val="decimal"/>
      <w:lvlText w:val="%4."/>
      <w:lvlJc w:val="left"/>
      <w:pPr>
        <w:tabs>
          <w:tab w:val="left" w:pos="2201"/>
        </w:tabs>
        <w:ind w:left="2201" w:hanging="420"/>
      </w:pPr>
    </w:lvl>
    <w:lvl w:ilvl="4" w:tentative="0">
      <w:start w:val="1"/>
      <w:numFmt w:val="lowerLetter"/>
      <w:lvlText w:val="%5)"/>
      <w:lvlJc w:val="left"/>
      <w:pPr>
        <w:tabs>
          <w:tab w:val="left" w:pos="2621"/>
        </w:tabs>
        <w:ind w:left="2621" w:hanging="420"/>
      </w:pPr>
    </w:lvl>
    <w:lvl w:ilvl="5" w:tentative="0">
      <w:start w:val="1"/>
      <w:numFmt w:val="lowerRoman"/>
      <w:lvlText w:val="%6."/>
      <w:lvlJc w:val="right"/>
      <w:pPr>
        <w:tabs>
          <w:tab w:val="left" w:pos="3041"/>
        </w:tabs>
        <w:ind w:left="3041" w:hanging="420"/>
      </w:pPr>
    </w:lvl>
    <w:lvl w:ilvl="6" w:tentative="0">
      <w:start w:val="1"/>
      <w:numFmt w:val="decimal"/>
      <w:lvlText w:val="%7."/>
      <w:lvlJc w:val="left"/>
      <w:pPr>
        <w:tabs>
          <w:tab w:val="left" w:pos="3461"/>
        </w:tabs>
        <w:ind w:left="3461" w:hanging="420"/>
      </w:pPr>
    </w:lvl>
    <w:lvl w:ilvl="7" w:tentative="0">
      <w:start w:val="1"/>
      <w:numFmt w:val="lowerLetter"/>
      <w:lvlText w:val="%8)"/>
      <w:lvlJc w:val="left"/>
      <w:pPr>
        <w:tabs>
          <w:tab w:val="left" w:pos="3881"/>
        </w:tabs>
        <w:ind w:left="3881" w:hanging="420"/>
      </w:pPr>
    </w:lvl>
    <w:lvl w:ilvl="8" w:tentative="0">
      <w:start w:val="1"/>
      <w:numFmt w:val="lowerRoman"/>
      <w:lvlText w:val="%9."/>
      <w:lvlJc w:val="right"/>
      <w:pPr>
        <w:tabs>
          <w:tab w:val="left" w:pos="4301"/>
        </w:tabs>
        <w:ind w:left="4301" w:hanging="420"/>
      </w:pPr>
    </w:lvl>
  </w:abstractNum>
  <w:abstractNum w:abstractNumId="8">
    <w:nsid w:val="7AA55623"/>
    <w:multiLevelType w:val="multilevel"/>
    <w:tmpl w:val="7AA55623"/>
    <w:lvl w:ilvl="0" w:tentative="0">
      <w:start w:val="1"/>
      <w:numFmt w:val="decimal"/>
      <w:lvlText w:val="%1)"/>
      <w:lvlJc w:val="left"/>
      <w:pPr>
        <w:tabs>
          <w:tab w:val="left" w:pos="420"/>
        </w:tabs>
        <w:ind w:left="42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4"/>
  </w:num>
  <w:num w:numId="3">
    <w:abstractNumId w:val="1"/>
  </w:num>
  <w:num w:numId="4">
    <w:abstractNumId w:val="2"/>
  </w:num>
  <w:num w:numId="5">
    <w:abstractNumId w:val="3"/>
  </w:num>
  <w:num w:numId="6">
    <w:abstractNumId w:val="6"/>
  </w:num>
  <w:num w:numId="7">
    <w:abstractNumId w:val="5"/>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xMWE1ODBiYThlODc1YmI2MzE1YjUzOTliMWFlN2IifQ=="/>
  </w:docVars>
  <w:rsids>
    <w:rsidRoot w:val="00000000"/>
    <w:rsid w:val="03DE3D70"/>
    <w:rsid w:val="05D5351C"/>
    <w:rsid w:val="0CA22B9A"/>
    <w:rsid w:val="0E07516C"/>
    <w:rsid w:val="0F2A2DBB"/>
    <w:rsid w:val="10534E42"/>
    <w:rsid w:val="11B4271E"/>
    <w:rsid w:val="12DB113D"/>
    <w:rsid w:val="13AD017E"/>
    <w:rsid w:val="15E37892"/>
    <w:rsid w:val="18607986"/>
    <w:rsid w:val="18D550D0"/>
    <w:rsid w:val="1D0E635D"/>
    <w:rsid w:val="1F271E1F"/>
    <w:rsid w:val="211D1944"/>
    <w:rsid w:val="247E6261"/>
    <w:rsid w:val="29564EDD"/>
    <w:rsid w:val="29E62491"/>
    <w:rsid w:val="2DCC09B7"/>
    <w:rsid w:val="2FFC4B51"/>
    <w:rsid w:val="300761B5"/>
    <w:rsid w:val="31144E94"/>
    <w:rsid w:val="331D2116"/>
    <w:rsid w:val="3B6B5C0B"/>
    <w:rsid w:val="3BC12914"/>
    <w:rsid w:val="3CC55F42"/>
    <w:rsid w:val="3DD02EC6"/>
    <w:rsid w:val="45315F02"/>
    <w:rsid w:val="45DF267C"/>
    <w:rsid w:val="4F4902D7"/>
    <w:rsid w:val="53661503"/>
    <w:rsid w:val="543B73BE"/>
    <w:rsid w:val="587A4F38"/>
    <w:rsid w:val="59860235"/>
    <w:rsid w:val="5C95402D"/>
    <w:rsid w:val="5F4071F2"/>
    <w:rsid w:val="62A235D8"/>
    <w:rsid w:val="66FF2DB0"/>
    <w:rsid w:val="6D745CED"/>
    <w:rsid w:val="6ED54DEB"/>
    <w:rsid w:val="70DC47BD"/>
    <w:rsid w:val="73201BD5"/>
    <w:rsid w:val="78030A6D"/>
    <w:rsid w:val="78394792"/>
    <w:rsid w:val="7C365A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uiPriority w:val="0"/>
    <w:pPr>
      <w:ind w:firstLine="420"/>
    </w:pPr>
    <w:rPr>
      <w:szCs w:val="20"/>
    </w:rPr>
  </w:style>
  <w:style w:type="paragraph" w:styleId="4">
    <w:name w:val="Body Text"/>
    <w:basedOn w:val="1"/>
    <w:next w:val="1"/>
    <w:qFormat/>
    <w:uiPriority w:val="0"/>
    <w:pPr>
      <w:keepNext w:val="0"/>
      <w:keepLines w:val="0"/>
      <w:widowControl w:val="0"/>
      <w:suppressLineNumbers w:val="0"/>
      <w:adjustRightInd w:val="0"/>
      <w:spacing w:before="0" w:beforeAutospacing="0" w:after="60" w:afterAutospacing="0" w:line="360" w:lineRule="atLeast"/>
      <w:ind w:left="72" w:leftChars="30" w:right="30" w:rightChars="30"/>
      <w:jc w:val="center"/>
    </w:pPr>
    <w:rPr>
      <w:rFonts w:hint="default" w:ascii="Times New Roman" w:hAnsi="Times New Roman" w:eastAsia="Times New Roman" w:cs="Times New Roman"/>
      <w:kern w:val="0"/>
      <w:sz w:val="20"/>
      <w:szCs w:val="20"/>
      <w:lang w:val="en-US" w:eastAsia="zh-CN" w:bidi="ar"/>
    </w:rPr>
  </w:style>
  <w:style w:type="paragraph" w:styleId="5">
    <w:name w:val="Plain Text"/>
    <w:basedOn w:val="1"/>
    <w:qFormat/>
    <w:uiPriority w:val="0"/>
    <w:rPr>
      <w:rFonts w:ascii="宋体" w:hAnsi="Courier New"/>
      <w:szCs w:val="21"/>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Indent 3"/>
    <w:basedOn w:val="1"/>
    <w:qFormat/>
    <w:uiPriority w:val="0"/>
    <w:pPr>
      <w:widowControl/>
      <w:tabs>
        <w:tab w:val="left" w:pos="0"/>
        <w:tab w:val="left" w:pos="1134"/>
      </w:tabs>
      <w:adjustRightInd w:val="0"/>
      <w:snapToGrid w:val="0"/>
      <w:spacing w:line="360" w:lineRule="auto"/>
      <w:ind w:left="567"/>
      <w:jc w:val="left"/>
    </w:pPr>
    <w:rPr>
      <w:rFonts w:ascii="仿宋_GB2312" w:eastAsia="仿宋_GB2312"/>
      <w:kern w:val="0"/>
      <w:sz w:val="28"/>
      <w:szCs w:val="20"/>
    </w:rPr>
  </w:style>
  <w:style w:type="paragraph" w:customStyle="1" w:styleId="1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2">
    <w:name w:val="正文文字缩进"/>
    <w:uiPriority w:val="0"/>
    <w:pPr>
      <w:spacing w:line="351" w:lineRule="atLeast"/>
      <w:ind w:firstLine="555"/>
      <w:textAlignment w:val="baseline"/>
    </w:pPr>
    <w:rPr>
      <w:rFonts w:ascii="Times New Roman" w:hAnsi="Times New Roman" w:eastAsia="宋体" w:cs="Times New Roman"/>
      <w:color w:val="000000"/>
      <w:sz w:val="24"/>
      <w:u w:val="none"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25393</Words>
  <Characters>26336</Characters>
  <Lines>0</Lines>
  <Paragraphs>0</Paragraphs>
  <TotalTime>0</TotalTime>
  <ScaleCrop>false</ScaleCrop>
  <LinksUpToDate>false</LinksUpToDate>
  <CharactersWithSpaces>28760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代理公司</cp:lastModifiedBy>
  <cp:lastPrinted>2024-05-15T02:17:00Z</cp:lastPrinted>
  <dcterms:modified xsi:type="dcterms:W3CDTF">2024-10-23T02:39:50Z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E2E92F2129DC4C8AA4D72EA9CFBCE039_13</vt:lpwstr>
  </property>
</Properties>
</file>