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2023年垃圾焚烧生态补偿费(2024年农村公厕改造)(二次)</w:t>
      </w:r>
    </w:p>
    <w:p>
      <w:pPr>
        <w:pStyle w:val="null3"/>
        <w:jc w:val="center"/>
        <w:outlineLvl w:val="2"/>
      </w:pPr>
      <w:r>
        <w:rPr>
          <w:sz w:val="28"/>
          <w:b/>
        </w:rPr>
        <w:t>采购项目编号：</w:t>
      </w:r>
      <w:r>
        <w:rPr>
          <w:sz w:val="28"/>
          <w:b/>
        </w:rPr>
        <w:t>ZKXR-2024-1017</w:t>
      </w:r>
      <w:r>
        <w:br/>
      </w:r>
      <w:r>
        <w:br/>
      </w:r>
      <w:r>
        <w:br/>
      </w:r>
    </w:p>
    <w:p>
      <w:pPr>
        <w:pStyle w:val="null3"/>
        <w:jc w:val="center"/>
        <w:outlineLvl w:val="2"/>
      </w:pPr>
      <w:r>
        <w:rPr>
          <w:sz w:val="28"/>
          <w:b/>
        </w:rPr>
        <w:t>西安市蓝田县城市管理和综合执法局局（本级）</w:t>
      </w:r>
    </w:p>
    <w:p>
      <w:pPr>
        <w:pStyle w:val="null3"/>
        <w:jc w:val="center"/>
        <w:outlineLvl w:val="2"/>
      </w:pPr>
      <w:r>
        <w:rPr>
          <w:sz w:val="28"/>
          <w:b/>
        </w:rPr>
        <w:t>中科旭日建设集团有限公司</w:t>
      </w:r>
      <w:r>
        <w:rPr>
          <w:sz w:val="28"/>
          <w:b/>
        </w:rPr>
        <w:t>共同编制</w:t>
      </w:r>
    </w:p>
    <w:p>
      <w:pPr>
        <w:pStyle w:val="null3"/>
        <w:jc w:val="center"/>
        <w:outlineLvl w:val="2"/>
      </w:pPr>
      <w:r>
        <w:rPr>
          <w:sz w:val="28"/>
          <w:b/>
        </w:rPr>
        <w:t>2024年11月08日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中科旭日建设集团有限公司</w:t>
      </w:r>
      <w:r>
        <w:rPr/>
        <w:t>（以下简称“代理机构”）受</w:t>
      </w:r>
      <w:r>
        <w:rPr/>
        <w:t>西安市蓝田县城市管理和综合执法局局（本级）</w:t>
      </w:r>
      <w:r>
        <w:rPr/>
        <w:t>委托，拟对</w:t>
      </w:r>
      <w:r>
        <w:rPr/>
        <w:t>2023年垃圾焚烧生态补偿费(2024年农村公厕改造)(二次)</w:t>
      </w:r>
      <w:r>
        <w:rPr/>
        <w:t>采用竞争性磋商采购方式进行采购，兹邀请供应商参加本项目的竞争性磋商。</w:t>
      </w:r>
    </w:p>
    <w:p>
      <w:pPr>
        <w:pStyle w:val="null3"/>
        <w:outlineLvl w:val="2"/>
      </w:pPr>
      <w:r>
        <w:rPr>
          <w:sz w:val="28"/>
          <w:b/>
        </w:rPr>
        <w:t>一、采购项目编号：</w:t>
      </w:r>
      <w:r>
        <w:rPr>
          <w:sz w:val="28"/>
          <w:b/>
        </w:rPr>
        <w:t>ZKXR-2024-1017</w:t>
      </w:r>
    </w:p>
    <w:p>
      <w:pPr>
        <w:pStyle w:val="null3"/>
        <w:outlineLvl w:val="2"/>
      </w:pPr>
      <w:r>
        <w:rPr>
          <w:sz w:val="28"/>
          <w:b/>
        </w:rPr>
        <w:t>二、采购项目名称：</w:t>
      </w:r>
      <w:r>
        <w:rPr>
          <w:sz w:val="28"/>
          <w:b/>
        </w:rPr>
        <w:t>2023年垃圾焚烧生态补偿费(2024年农村公厕改造)(二次)</w:t>
      </w:r>
    </w:p>
    <w:p>
      <w:pPr>
        <w:pStyle w:val="null3"/>
        <w:outlineLvl w:val="2"/>
      </w:pPr>
      <w:r>
        <w:rPr>
          <w:sz w:val="28"/>
          <w:b/>
        </w:rPr>
        <w:t>三、磋商项目简介</w:t>
      </w:r>
    </w:p>
    <w:p>
      <w:pPr>
        <w:pStyle w:val="null3"/>
        <w:ind w:firstLine="480"/>
      </w:pPr>
      <w:r>
        <w:rPr/>
        <w:t>2023年垃圾焚烧生态补偿费(2024年农村公厕建设-改造部分)项目共14处，砖混结构11处，移动成品式3处。其中 成品移动式3座，分别为“马河桥、蓝田驾校、郊野公园”；砖混结构11座，分别为（劳动广场公厕、白鹿广场 原新城广 场）、（农贸市场 环卫站公厕、北小驿站公厕、普化镇邵寨村广场、安村镇政府、小寨镇小寨村委会、小寨镇小学旁、 三里镇席家河村委会、三里镇涝池庄村委会）、（三里镇杨岩村）”。改造工程内容包括拆除原有装饰装修、施工垃圾清 运，新做墙地面及天棚装修工程、新做水电安装工程，移动成品式新建14㎡。</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采购包1（2023年垃圾焚烧生态补偿费(2024年农村公厕改造)）：属于专门面向中小企业采购。</w:t>
      </w:r>
    </w:p>
    <w:p>
      <w:pPr>
        <w:pStyle w:val="null3"/>
        <w:ind w:firstLine="480"/>
      </w:pPr>
      <w:r>
        <w:rPr/>
        <w:t>（三）本项目的特定资格要求：</w:t>
      </w:r>
    </w:p>
    <w:p>
      <w:pPr>
        <w:pStyle w:val="null3"/>
      </w:pPr>
      <w:r>
        <w:rPr/>
        <w:t>采购包1：</w:t>
      </w:r>
    </w:p>
    <w:p>
      <w:pPr>
        <w:pStyle w:val="null3"/>
      </w:pPr>
      <w:r>
        <w:rPr/>
        <w:t>1、供应商具有独立承担民事责任的能力：具有独立承担民事责任能力的法人、其他组织或自然人，并出具合法有效的营业执照或事业单位法人证书等国家规定的相关证明，自然人参与的提供其身份证明；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t>2、供应商应授权合法的人员参加磋商全过程：法定代表人参加投标时，提供法定代表人身份证明和本人身份证；授权代表参加投标时，提供法定代表人授权书和被授权人身份证；非法人单位参照执行；</w:t>
      </w:r>
    </w:p>
    <w:p>
      <w:pPr>
        <w:pStyle w:val="null3"/>
      </w:pPr>
      <w:r>
        <w:rPr/>
        <w:t>3、供应商资质要求：须提供建设行政主管部门颁发建筑工程施工总承包三级（含三级）及以上资质，并具有合格有效的安全生产许可证；</w:t>
      </w:r>
    </w:p>
    <w:p>
      <w:pPr>
        <w:pStyle w:val="null3"/>
      </w:pPr>
      <w:r>
        <w:rPr/>
        <w:t>4、拟派项目经理资格要求：拟派项目经理须具备建筑工程专业二级注册建造师及安全生产考核合格证书，在本单位注册且无在建工程和不良记录（提供无在建工程、无不良记录承诺书）；</w:t>
      </w:r>
    </w:p>
    <w:p>
      <w:pPr>
        <w:pStyle w:val="null3"/>
      </w:pPr>
      <w:r>
        <w:rPr/>
        <w:t>5、供应商信用要求：（1）投标人在“全国建筑市场监管公共服务平台”可查询到企业及项目负责人基本信息； （2）出具参加本次政府采购活动前三年内在经营活动中没有重大违法记录的书面声明； （3）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p>
      <w:pPr>
        <w:pStyle w:val="null3"/>
      </w:pPr>
      <w:r>
        <w:rPr/>
        <w:t>6、财务状况报告：须提供2023年度的经审计的财务报告（至少包括三表一注，成立时间至提交投标文件截止时间不足一年的可提供成立后任意时段的资产负债表），或招标前三个月内开户银行出具的资信证明（附开户许可证或开户银行证明）；</w:t>
      </w:r>
    </w:p>
    <w:p>
      <w:pPr>
        <w:pStyle w:val="null3"/>
      </w:pPr>
      <w:r>
        <w:rPr/>
        <w:t>7、税收缴纳证明：提供投标文件递交时间前一年内至少一个月已缴纳的纳税证明或完税证明凭据；其他组织和自然人提供响应文件递交时间前一年内至少一个月缴纳税收的凭据；依法免税的供应商应提供相关文件证明；</w:t>
      </w:r>
    </w:p>
    <w:p>
      <w:pPr>
        <w:pStyle w:val="null3"/>
      </w:pPr>
      <w:r>
        <w:rPr/>
        <w:t>8、社会保障资金缴纳证明：提供投标文件递交时间前一年内至少一个月已缴纳的社会保障资金的凭据（专用收据或社会保险缴纳清单）；依法不需要缴纳社会保障资金的供应商应提供相关文件证明；</w:t>
      </w:r>
    </w:p>
    <w:p>
      <w:pPr>
        <w:pStyle w:val="null3"/>
      </w:pPr>
      <w:r>
        <w:rPr/>
        <w:t>9、供应商具有履行合同所必需的设备和专业技术能：具备履行合同所必需的设备和专业技术能力的证明材料(由投标人根据项目需求提供说明材料或者承诺)；</w:t>
      </w:r>
    </w:p>
    <w:p>
      <w:pPr>
        <w:pStyle w:val="null3"/>
      </w:pPr>
      <w:r>
        <w:rPr/>
        <w:t>10、非联合 体磋商：提供非联合体磋商声明。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西安市蓝田县城市管理和综合执法局局（本级）</w:t>
      </w:r>
    </w:p>
    <w:p>
      <w:pPr>
        <w:pStyle w:val="null3"/>
      </w:pPr>
      <w:r>
        <w:rPr/>
        <w:t xml:space="preserve"> 地址： </w:t>
      </w:r>
      <w:r>
        <w:rPr/>
        <w:t>蓝田县体育路50号</w:t>
      </w:r>
    </w:p>
    <w:p>
      <w:pPr>
        <w:pStyle w:val="null3"/>
      </w:pPr>
      <w:r>
        <w:rPr/>
        <w:t xml:space="preserve"> 邮编： </w:t>
      </w:r>
      <w:r>
        <w:rPr/>
        <w:t>710500</w:t>
      </w:r>
    </w:p>
    <w:p>
      <w:pPr>
        <w:pStyle w:val="null3"/>
      </w:pPr>
      <w:r>
        <w:rPr/>
        <w:t xml:space="preserve"> 联系人： </w:t>
      </w:r>
      <w:r>
        <w:rPr/>
        <w:t>白佳</w:t>
      </w:r>
    </w:p>
    <w:p>
      <w:pPr>
        <w:pStyle w:val="null3"/>
      </w:pPr>
      <w:r>
        <w:rPr/>
        <w:t xml:space="preserve"> 联系电话： </w:t>
      </w:r>
      <w:r>
        <w:rPr/>
        <w:t>029-82752276</w:t>
      </w:r>
    </w:p>
    <w:p>
      <w:pPr>
        <w:pStyle w:val="null3"/>
        <w:outlineLvl w:val="3"/>
      </w:pPr>
      <w:r>
        <w:rPr>
          <w:sz w:val="24"/>
          <w:b/>
        </w:rPr>
        <w:t>代理机构：</w:t>
      </w:r>
      <w:r>
        <w:rPr>
          <w:sz w:val="24"/>
          <w:b/>
        </w:rPr>
        <w:t>中科旭日建设集团有限公司</w:t>
      </w:r>
    </w:p>
    <w:p>
      <w:pPr>
        <w:pStyle w:val="null3"/>
      </w:pPr>
      <w:r>
        <w:rPr/>
        <w:t xml:space="preserve"> 地址： </w:t>
      </w:r>
      <w:r>
        <w:rPr/>
        <w:t>四川省成都市武侯区四川省成都市武侯区科西三路2号西物慧鼎8层5号</w:t>
      </w:r>
    </w:p>
    <w:p>
      <w:pPr>
        <w:pStyle w:val="null3"/>
      </w:pPr>
      <w:r>
        <w:rPr/>
        <w:t xml:space="preserve"> 邮编： </w:t>
      </w:r>
      <w:r>
        <w:rPr/>
        <w:t>610041</w:t>
      </w:r>
    </w:p>
    <w:p>
      <w:pPr>
        <w:pStyle w:val="null3"/>
      </w:pPr>
      <w:r>
        <w:rPr/>
        <w:t xml:space="preserve"> 联系人： </w:t>
      </w:r>
      <w:r>
        <w:rPr/>
        <w:t>董秋娥</w:t>
      </w:r>
    </w:p>
    <w:p>
      <w:pPr>
        <w:pStyle w:val="null3"/>
      </w:pPr>
      <w:r>
        <w:rPr/>
        <w:t xml:space="preserve"> 联系电话： </w:t>
      </w:r>
      <w:r>
        <w:rPr/>
        <w:t>18392046469</w:t>
      </w:r>
    </w:p>
    <w:p>
      <w:pPr>
        <w:pStyle w:val="null3"/>
        <w:outlineLvl w:val="3"/>
      </w:pPr>
      <w:r>
        <w:rPr>
          <w:sz w:val="24"/>
          <w:b/>
        </w:rPr>
        <w:t>采购监督机构：</w:t>
      </w:r>
      <w:r>
        <w:rPr>
          <w:sz w:val="24"/>
          <w:b/>
        </w:rPr>
        <w:t xml:space="preserve"> 蓝田县政府采购中心</w:t>
      </w:r>
    </w:p>
    <w:p>
      <w:pPr>
        <w:pStyle w:val="null3"/>
        <w:ind w:firstLine="480"/>
      </w:pPr>
      <w:r>
        <w:rPr/>
        <w:t>联系人：</w:t>
      </w:r>
      <w:r>
        <w:rPr/>
        <w:t>秦西锋</w:t>
      </w:r>
    </w:p>
    <w:p>
      <w:pPr>
        <w:pStyle w:val="null3"/>
        <w:ind w:firstLine="480"/>
      </w:pPr>
      <w:r>
        <w:rPr/>
        <w:t>联系电话：</w:t>
      </w:r>
      <w:r>
        <w:rPr/>
        <w:t>029-82721045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代理服务费收费标准：本项目收取代理服务费 代理服务费用收取对象：中标/成交供应商代理服 务费收费标准：本项目收取代理服务费 代理服务费用收取对象：中标/成交供应商 代理服务费 收费标准： 招标代理服务费： 参照国家计委颁发的《招标代理服务收费管理暂行办法》(计价 格[2002]1980号)和国家发展改革委员会办公厅颁发的《关于招标代理服务收费有关问题的通 知》(发改办价格[2003]857号)的收费标准计取。中标供应商在领取中标通知书前，须向采购代 理机构一次性支付招标代理服务费。 招标代理服务费账户: 名称：中科旭日建设集团 有限公司 西安分公司 税号：91610111MABLW4H509 单位地址：陕西省西安市灞桥区纺西街华夏世纪 广场A座2105室 电话：18392046469 账号：2615 5101 0400 0842 6 开户行：中国农业银 行西安长安区樱花北路支行 造价咨询费: 中标供应商应向造价咨询机构交纳造价咨询费，造价 咨询费以招标最高限价为计算基数，按照陕价行发【2014】88号文件《陕西省执行政府指导价的工程造价咨询服务收费项目和标准》计取。 造价咨询费账户: 名称：陕西天丞伟丰项目管理有限公司 纳税人识别号：91610122MA6U98CR 3M 单位地址：陕西省西安市灞桥区长乐东路民政局家属院一号楼二单元1001号 电话：15319 719053 开户行：中国建设银行股份有限公司蓝田县支行 账号：6105 0170 5305 00000607</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西安市蓝田县城市管理和综合执法局局（本级）</w:t>
      </w:r>
      <w:r>
        <w:rPr/>
        <w:t>和</w:t>
      </w:r>
      <w:r>
        <w:rPr/>
        <w:t>中科旭日建设集团有限公司</w:t>
      </w:r>
      <w:r>
        <w:rPr/>
        <w:t>享有。对磋商文件中供应商参加本次政府采购活动应当具备的条件，磋商项目技术、服务、商务及其他要求，评审细则及标准由</w:t>
      </w:r>
      <w:r>
        <w:rPr/>
        <w:t>西安市蓝田县城市管理和综合执法局局（本级）</w:t>
      </w:r>
      <w:r>
        <w:rPr/>
        <w:t>负责解释。除上述磋商文件内容，其他内容由</w:t>
      </w:r>
      <w:r>
        <w:rPr/>
        <w:t>中科旭日建设集团有限公司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西安市蓝田县城市管理和综合执法局局（本级）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中科旭日建设集团有限公司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达到国家规定的合格标准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中科旭日建设集团有限公司</w:t>
      </w:r>
      <w:r>
        <w:rPr/>
        <w:t xml:space="preserve"> 负责答复；供应商对采购过程的询问、质疑由</w:t>
      </w:r>
      <w:r>
        <w:rPr/>
        <w:t>中科旭日建设集团有限公司</w:t>
      </w:r>
      <w:r>
        <w:rPr/>
        <w:t xml:space="preserve"> 负责答复；供应商对采购结果的询问、质疑由 </w:t>
      </w:r>
      <w:r>
        <w:rPr/>
        <w:t>中科旭日建设集团有限公司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联系人：董秋娥</w:t>
      </w:r>
    </w:p>
    <w:p>
      <w:pPr>
        <w:pStyle w:val="null3"/>
      </w:pPr>
      <w:r>
        <w:rPr/>
        <w:t>联系电话：18392046469</w:t>
      </w:r>
    </w:p>
    <w:p>
      <w:pPr>
        <w:pStyle w:val="null3"/>
      </w:pPr>
      <w:r>
        <w:rPr/>
        <w:t>地址：陕西省西安市灞桥区纺西街华夏世纪广场A座2105室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2,080,000.00</w:t>
      </w:r>
    </w:p>
    <w:p>
      <w:pPr>
        <w:pStyle w:val="null3"/>
      </w:pPr>
      <w:r>
        <w:rPr/>
        <w:t>采购包最高限价（元）: 2,077,359.37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14座公厕</w:t>
            </w:r>
          </w:p>
        </w:tc>
        <w:tc>
          <w:tcPr>
            <w:tcW w:type="dxa" w:w="1384"/>
          </w:tcPr>
          <w:p>
            <w:pPr>
              <w:pStyle w:val="null3"/>
              <w:jc w:val="right"/>
            </w:pPr>
            <w:r>
              <w:rPr/>
              <w:t>14.00</w:t>
            </w:r>
          </w:p>
        </w:tc>
        <w:tc>
          <w:tcPr>
            <w:tcW w:type="dxa" w:w="1384"/>
          </w:tcPr>
          <w:p>
            <w:pPr>
              <w:pStyle w:val="null3"/>
              <w:jc w:val="right"/>
            </w:pPr>
            <w:r>
              <w:rPr/>
              <w:t>2,080,000.00</w:t>
            </w:r>
          </w:p>
        </w:tc>
        <w:tc>
          <w:tcPr>
            <w:tcW w:type="dxa" w:w="1384"/>
          </w:tcPr>
          <w:p>
            <w:pPr>
              <w:pStyle w:val="null3"/>
            </w:pPr>
            <w:r>
              <w:rPr/>
              <w:t>座</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标的名称：14座公厕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楷体" w:hAnsi="楷体" w:cs="楷体" w:eastAsia="楷体"/>
                <w:sz w:val="28"/>
                <w:b/>
              </w:rPr>
              <w:t>一、</w:t>
            </w:r>
            <w:r>
              <w:rPr>
                <w:rFonts w:ascii="楷体" w:hAnsi="楷体" w:cs="楷体" w:eastAsia="楷体"/>
                <w:sz w:val="28"/>
                <w:b/>
              </w:rPr>
              <w:t>项目概况</w:t>
            </w:r>
          </w:p>
          <w:p>
            <w:pPr>
              <w:pStyle w:val="null3"/>
              <w:ind w:firstLine="560"/>
              <w:jc w:val="both"/>
            </w:pPr>
            <w:r>
              <w:rPr>
                <w:rFonts w:ascii="楷体" w:hAnsi="楷体" w:cs="楷体" w:eastAsia="楷体"/>
                <w:sz w:val="28"/>
              </w:rPr>
              <w:t>随着城市化进程的加速，城市基础设施建设日显重要。公共卫生间作为城市基础设施的一部分，对于改善居民生活环境、提升城市形象具有重要意义。本项目旨在满足市民日益增长的公共卫生需求，提升城市公共服务水平，促进城市文明建设。</w:t>
            </w:r>
          </w:p>
          <w:p>
            <w:pPr>
              <w:pStyle w:val="null3"/>
              <w:jc w:val="both"/>
            </w:pPr>
            <w:r>
              <w:rPr>
                <w:rFonts w:ascii="楷体" w:hAnsi="楷体" w:cs="楷体" w:eastAsia="楷体"/>
                <w:sz w:val="28"/>
                <w:b/>
              </w:rPr>
              <w:t>二、</w:t>
            </w:r>
            <w:r>
              <w:rPr>
                <w:rFonts w:ascii="楷体" w:hAnsi="楷体" w:cs="楷体" w:eastAsia="楷体"/>
                <w:sz w:val="28"/>
                <w:b/>
              </w:rPr>
              <w:t>工程内容和实施地点、计划工期、缺陷责任期、质量保修期</w:t>
            </w:r>
          </w:p>
          <w:p>
            <w:pPr>
              <w:pStyle w:val="null3"/>
              <w:ind w:firstLine="420"/>
              <w:jc w:val="both"/>
            </w:pPr>
            <w:r>
              <w:rPr>
                <w:rFonts w:ascii="楷体" w:hAnsi="楷体" w:cs="楷体" w:eastAsia="楷体"/>
                <w:sz w:val="28"/>
              </w:rPr>
              <w:t>1、工程内容：2023年垃圾焚烧生态补偿费(2024年农村公厕建设-改造部分)项目共14处，砖混结构11处，移动成品式3处。其中成品移动式3座，分别为“马河桥、蓝田驾校、郊野公园”；砖混结构11座，分别为（劳动广场公厕、白鹿广场 原新城广场）、（农贸市场 环卫站公厕、北小驿站公厕、普化镇邵寨村广场、安村镇政府、小寨镇小寨村委会、小寨镇小学旁、三里镇席家河村委会、三里镇涝池庄村委会）、（三里镇杨岩村）”。改造工程内容包括拆除原有装饰装修、施工垃圾清运，新做墙地面及天棚装修工程、新做水电安装工程，移动成品式新建14㎡。</w:t>
            </w:r>
          </w:p>
          <w:p>
            <w:pPr>
              <w:pStyle w:val="null3"/>
              <w:ind w:firstLine="420"/>
              <w:jc w:val="both"/>
            </w:pPr>
            <w:r>
              <w:rPr>
                <w:rFonts w:ascii="楷体" w:hAnsi="楷体" w:cs="楷体" w:eastAsia="楷体"/>
                <w:sz w:val="28"/>
              </w:rPr>
              <w:t>2、实施地点：蓝田县</w:t>
            </w:r>
          </w:p>
          <w:p>
            <w:pPr>
              <w:pStyle w:val="null3"/>
              <w:ind w:firstLine="420"/>
              <w:jc w:val="both"/>
            </w:pPr>
            <w:r>
              <w:rPr>
                <w:rFonts w:ascii="楷体" w:hAnsi="楷体" w:cs="楷体" w:eastAsia="楷体"/>
                <w:sz w:val="28"/>
              </w:rPr>
              <w:t>3、计划工期：合同签订之</w:t>
            </w:r>
            <w:r>
              <w:rPr>
                <w:rFonts w:ascii="楷体" w:hAnsi="楷体" w:cs="楷体" w:eastAsia="楷体"/>
                <w:sz w:val="28"/>
                <w:color w:val="000000"/>
              </w:rPr>
              <w:t>日</w:t>
            </w:r>
            <w:r>
              <w:rPr>
                <w:rFonts w:ascii="楷体" w:hAnsi="楷体" w:cs="楷体" w:eastAsia="楷体"/>
                <w:sz w:val="28"/>
                <w:color w:val="000000"/>
              </w:rPr>
              <w:t>起</w:t>
            </w:r>
            <w:r>
              <w:rPr>
                <w:rFonts w:ascii="楷体" w:hAnsi="楷体" w:cs="楷体" w:eastAsia="楷体"/>
                <w:sz w:val="28"/>
                <w:color w:val="000000"/>
              </w:rPr>
              <w:t>120个日</w:t>
            </w:r>
            <w:r>
              <w:rPr>
                <w:rFonts w:ascii="楷体" w:hAnsi="楷体" w:cs="楷体" w:eastAsia="楷体"/>
                <w:sz w:val="28"/>
                <w:color w:val="000000"/>
              </w:rPr>
              <w:t>历</w:t>
            </w:r>
            <w:r>
              <w:rPr>
                <w:rFonts w:ascii="楷体" w:hAnsi="楷体" w:cs="楷体" w:eastAsia="楷体"/>
                <w:sz w:val="28"/>
              </w:rPr>
              <w:t>日。</w:t>
            </w:r>
          </w:p>
          <w:p>
            <w:pPr>
              <w:pStyle w:val="null3"/>
              <w:ind w:firstLine="420"/>
              <w:jc w:val="both"/>
            </w:pPr>
            <w:r>
              <w:rPr>
                <w:rFonts w:ascii="楷体" w:hAnsi="楷体" w:cs="楷体" w:eastAsia="楷体"/>
                <w:sz w:val="28"/>
              </w:rPr>
              <w:t>4、缺陷责任期：自竣工验收合格之日起12个月</w:t>
            </w:r>
          </w:p>
          <w:p>
            <w:pPr>
              <w:pStyle w:val="null3"/>
              <w:ind w:firstLine="420"/>
              <w:jc w:val="both"/>
            </w:pPr>
            <w:r>
              <w:rPr>
                <w:rFonts w:ascii="楷体" w:hAnsi="楷体" w:cs="楷体" w:eastAsia="楷体"/>
                <w:sz w:val="28"/>
              </w:rPr>
              <w:t>5、质量保修期：不少于12个月</w:t>
            </w:r>
          </w:p>
          <w:p>
            <w:pPr>
              <w:pStyle w:val="null3"/>
              <w:jc w:val="both"/>
            </w:pPr>
            <w:r>
              <w:rPr>
                <w:rFonts w:ascii="楷体" w:hAnsi="楷体" w:cs="楷体" w:eastAsia="楷体"/>
                <w:sz w:val="28"/>
                <w:b/>
              </w:rPr>
              <w:t>四、</w:t>
            </w:r>
            <w:r>
              <w:rPr>
                <w:rFonts w:ascii="楷体" w:hAnsi="楷体" w:cs="楷体" w:eastAsia="楷体"/>
                <w:sz w:val="28"/>
                <w:b/>
              </w:rPr>
              <w:t>工程量清单和计价依据</w:t>
            </w:r>
          </w:p>
          <w:p>
            <w:pPr>
              <w:pStyle w:val="null3"/>
              <w:ind w:firstLine="560"/>
              <w:jc w:val="both"/>
            </w:pPr>
            <w:r>
              <w:rPr>
                <w:rFonts w:ascii="楷体" w:hAnsi="楷体" w:cs="楷体" w:eastAsia="楷体"/>
                <w:sz w:val="28"/>
              </w:rPr>
              <w:t>1、计价依据</w:t>
            </w:r>
          </w:p>
          <w:p>
            <w:pPr>
              <w:pStyle w:val="null3"/>
              <w:ind w:firstLine="560"/>
              <w:jc w:val="both"/>
            </w:pPr>
            <w:r>
              <w:rPr>
                <w:rFonts w:ascii="楷体" w:hAnsi="楷体" w:cs="楷体" w:eastAsia="楷体"/>
                <w:sz w:val="28"/>
              </w:rPr>
              <w:t>1、按工程量清单计价法编制，按《陕西省建设工程工程量清单计价规则》（2009）及相关费用文件；</w:t>
            </w:r>
          </w:p>
          <w:p>
            <w:pPr>
              <w:pStyle w:val="null3"/>
              <w:ind w:firstLine="560"/>
              <w:jc w:val="both"/>
            </w:pPr>
            <w:r>
              <w:rPr>
                <w:rFonts w:ascii="楷体" w:hAnsi="楷体" w:cs="楷体" w:eastAsia="楷体"/>
                <w:sz w:val="28"/>
              </w:rPr>
              <w:t>2、《陕西省建筑、装饰工程消耗量定额》（2004）及补充定额；《陕西省建筑、装饰工程价目表》（2009）及参考费率；</w:t>
            </w:r>
          </w:p>
          <w:p>
            <w:pPr>
              <w:pStyle w:val="null3"/>
              <w:ind w:firstLine="560"/>
              <w:jc w:val="both"/>
            </w:pPr>
            <w:r>
              <w:rPr>
                <w:rFonts w:ascii="楷体" w:hAnsi="楷体" w:cs="楷体" w:eastAsia="楷体"/>
                <w:sz w:val="28"/>
              </w:rPr>
              <w:t>3、《陕西省安装工程消耗量定额》（2004）及补充定额；《陕西省安装工程价目表》（2009）；</w:t>
            </w:r>
          </w:p>
          <w:p>
            <w:pPr>
              <w:pStyle w:val="null3"/>
              <w:ind w:firstLine="560"/>
              <w:jc w:val="both"/>
            </w:pPr>
            <w:r>
              <w:rPr>
                <w:rFonts w:ascii="楷体" w:hAnsi="楷体" w:cs="楷体" w:eastAsia="楷体"/>
                <w:sz w:val="28"/>
              </w:rPr>
              <w:t>4、《陕西省园林绿化工程价目表》（2009）；</w:t>
            </w:r>
          </w:p>
          <w:p>
            <w:pPr>
              <w:pStyle w:val="null3"/>
              <w:ind w:firstLine="560"/>
              <w:jc w:val="both"/>
            </w:pPr>
            <w:r>
              <w:rPr>
                <w:rFonts w:ascii="楷体" w:hAnsi="楷体" w:cs="楷体" w:eastAsia="楷体"/>
                <w:sz w:val="28"/>
              </w:rPr>
              <w:t>5、人工费执行陕建发【2021】1097 号文按市场价计入；规费执行陕建发【2020】1097 号文；税金执行陕建发【2019】45 号文件；</w:t>
            </w:r>
          </w:p>
          <w:p>
            <w:pPr>
              <w:pStyle w:val="null3"/>
              <w:ind w:firstLine="560"/>
              <w:jc w:val="both"/>
            </w:pPr>
            <w:r>
              <w:rPr>
                <w:rFonts w:ascii="楷体" w:hAnsi="楷体" w:cs="楷体" w:eastAsia="楷体"/>
                <w:sz w:val="28"/>
              </w:rPr>
              <w:t>6、劳保费根据《陕西省住房和城乡建设厅关于全省统一停止收缴建筑业劳保费用的通知》陕建发【2021】1021 号文件，不在扣除劳保费；</w:t>
            </w:r>
          </w:p>
          <w:p>
            <w:pPr>
              <w:pStyle w:val="null3"/>
              <w:ind w:firstLine="560"/>
              <w:jc w:val="both"/>
            </w:pPr>
            <w:r>
              <w:rPr>
                <w:rFonts w:ascii="楷体" w:hAnsi="楷体" w:cs="楷体" w:eastAsia="楷体"/>
                <w:sz w:val="28"/>
              </w:rPr>
              <w:t>7、实名制管理费执行陕建发【2019】1246 号文；</w:t>
            </w:r>
          </w:p>
          <w:p>
            <w:pPr>
              <w:pStyle w:val="null3"/>
              <w:ind w:firstLine="560"/>
              <w:jc w:val="both"/>
            </w:pPr>
            <w:r>
              <w:rPr>
                <w:rFonts w:ascii="楷体" w:hAnsi="楷体" w:cs="楷体" w:eastAsia="楷体"/>
                <w:sz w:val="28"/>
              </w:rPr>
              <w:t>8、材料价执行《蓝田县建设工程信息价》2024年6月信息价，部分主材参照《陕西省建设工程信息价》同期价格及市场询价；</w:t>
            </w:r>
          </w:p>
          <w:p>
            <w:pPr>
              <w:pStyle w:val="null3"/>
              <w:ind w:firstLine="560"/>
              <w:jc w:val="both"/>
            </w:pPr>
            <w:r>
              <w:rPr>
                <w:rFonts w:ascii="楷体" w:hAnsi="楷体" w:cs="楷体" w:eastAsia="楷体"/>
                <w:sz w:val="28"/>
              </w:rPr>
              <w:t>9、项目设计施工图及相关法律法规、标准图集、相关规范等。</w:t>
            </w:r>
          </w:p>
          <w:p>
            <w:pPr>
              <w:pStyle w:val="null3"/>
              <w:ind w:firstLine="560"/>
              <w:jc w:val="both"/>
            </w:pPr>
            <w:r>
              <w:rPr>
                <w:rFonts w:ascii="楷体" w:hAnsi="楷体" w:cs="楷体" w:eastAsia="楷体"/>
                <w:sz w:val="28"/>
              </w:rPr>
              <w:t>10、工程量清单计价软件使用“广联达云计价平台 GCCP6.4100.23.120”</w:t>
            </w:r>
          </w:p>
          <w:p>
            <w:pPr>
              <w:pStyle w:val="null3"/>
              <w:ind w:firstLine="560"/>
              <w:jc w:val="both"/>
            </w:pPr>
            <w:r>
              <w:rPr>
                <w:rFonts w:ascii="楷体" w:hAnsi="楷体" w:cs="楷体" w:eastAsia="楷体"/>
                <w:sz w:val="28"/>
              </w:rPr>
              <w:t>2、工程量清单</w:t>
            </w:r>
          </w:p>
          <w:p>
            <w:pPr>
              <w:pStyle w:val="null3"/>
              <w:ind w:firstLine="560"/>
              <w:jc w:val="both"/>
            </w:pPr>
            <w:r>
              <w:rPr>
                <w:rFonts w:ascii="楷体" w:hAnsi="楷体" w:cs="楷体" w:eastAsia="楷体"/>
                <w:sz w:val="28"/>
              </w:rPr>
              <w:t>详见工程量清单</w:t>
            </w:r>
          </w:p>
          <w:p>
            <w:pPr>
              <w:pStyle w:val="null3"/>
              <w:jc w:val="both"/>
            </w:pPr>
            <w:r>
              <w:rPr>
                <w:rFonts w:ascii="楷体" w:hAnsi="楷体" w:cs="楷体" w:eastAsia="楷体"/>
                <w:sz w:val="28"/>
                <w:b/>
              </w:rPr>
              <w:t>五、</w:t>
            </w:r>
            <w:r>
              <w:rPr>
                <w:rFonts w:ascii="楷体" w:hAnsi="楷体" w:cs="楷体" w:eastAsia="楷体"/>
                <w:sz w:val="28"/>
                <w:b/>
              </w:rPr>
              <w:t>施工要求</w:t>
            </w:r>
          </w:p>
          <w:p>
            <w:pPr>
              <w:pStyle w:val="null3"/>
              <w:ind w:firstLine="560"/>
              <w:jc w:val="both"/>
            </w:pPr>
            <w:r>
              <w:rPr>
                <w:rFonts w:ascii="楷体" w:hAnsi="楷体" w:cs="楷体" w:eastAsia="楷体"/>
                <w:sz w:val="28"/>
              </w:rPr>
              <w:t>在施工期间，中标供应商必须注意施工人员的人身安全，加强安全措施，并对施工人员进行安全教育。</w:t>
            </w:r>
          </w:p>
          <w:p>
            <w:pPr>
              <w:pStyle w:val="null3"/>
              <w:jc w:val="both"/>
            </w:pPr>
            <w:r>
              <w:rPr>
                <w:rFonts w:ascii="楷体" w:hAnsi="楷体" w:cs="楷体" w:eastAsia="楷体"/>
                <w:sz w:val="28"/>
                <w:b/>
              </w:rPr>
              <w:t>六、</w:t>
            </w:r>
            <w:r>
              <w:rPr>
                <w:rFonts w:ascii="楷体" w:hAnsi="楷体" w:cs="楷体" w:eastAsia="楷体"/>
                <w:sz w:val="28"/>
                <w:b/>
              </w:rPr>
              <w:t>商务要求</w:t>
            </w:r>
          </w:p>
          <w:p>
            <w:pPr>
              <w:pStyle w:val="null3"/>
              <w:numPr>
                <w:ilvl w:val="0"/>
                <w:numId w:val="1"/>
              </w:numPr>
              <w:jc w:val="both"/>
            </w:pPr>
            <w:r>
              <w:rPr>
                <w:rFonts w:ascii="楷体" w:hAnsi="楷体" w:cs="楷体" w:eastAsia="楷体"/>
                <w:sz w:val="28"/>
              </w:rPr>
              <w:t>合同价款：</w:t>
            </w:r>
            <w:r>
              <w:rPr>
                <w:rFonts w:ascii="楷体" w:hAnsi="楷体" w:cs="楷体" w:eastAsia="楷体"/>
                <w:sz w:val="28"/>
              </w:rPr>
              <w:t>本项目为固定总价合同</w:t>
            </w:r>
          </w:p>
          <w:p>
            <w:pPr>
              <w:pStyle w:val="null3"/>
              <w:ind w:left="420"/>
              <w:jc w:val="both"/>
            </w:pPr>
            <w:r>
              <w:rPr>
                <w:rFonts w:ascii="楷体" w:hAnsi="楷体" w:cs="楷体" w:eastAsia="楷体"/>
                <w:sz w:val="28"/>
              </w:rPr>
              <w:t>2、款项结算：</w:t>
            </w:r>
          </w:p>
          <w:p>
            <w:pPr>
              <w:pStyle w:val="null3"/>
              <w:ind w:firstLine="560"/>
              <w:jc w:val="both"/>
            </w:pPr>
            <w:r>
              <w:rPr>
                <w:rFonts w:ascii="楷体" w:hAnsi="楷体" w:cs="楷体" w:eastAsia="楷体"/>
                <w:sz w:val="28"/>
              </w:rPr>
              <w:t>(1)合同签订后预付合同金额的 40%</w:t>
            </w:r>
          </w:p>
          <w:p>
            <w:pPr>
              <w:pStyle w:val="null3"/>
              <w:ind w:firstLine="560"/>
              <w:jc w:val="both"/>
            </w:pPr>
            <w:r>
              <w:rPr>
                <w:rFonts w:ascii="楷体" w:hAnsi="楷体" w:cs="楷体" w:eastAsia="楷体"/>
                <w:sz w:val="28"/>
              </w:rPr>
              <w:t>(2)工程进度为80%时付至合同金额的80%</w:t>
            </w:r>
          </w:p>
          <w:p>
            <w:pPr>
              <w:pStyle w:val="null3"/>
              <w:ind w:firstLine="560"/>
              <w:jc w:val="both"/>
            </w:pPr>
            <w:r>
              <w:rPr>
                <w:rFonts w:ascii="楷体" w:hAnsi="楷体" w:cs="楷体" w:eastAsia="楷体"/>
                <w:sz w:val="28"/>
              </w:rPr>
              <w:t>(3)工程完工验收合格及审计结束后，如审计金额高于中标价，则以中标价为准，支付合同金额的100%;如审计金额低于中标价，则以审计金额为准，支付审计金额的 100%。</w:t>
            </w:r>
          </w:p>
          <w:p>
            <w:pPr>
              <w:pStyle w:val="null3"/>
              <w:jc w:val="both"/>
            </w:pPr>
            <w:r>
              <w:rPr>
                <w:rFonts w:ascii="楷体" w:hAnsi="楷体" w:cs="楷体" w:eastAsia="楷体"/>
                <w:sz w:val="28"/>
                <w:b/>
              </w:rPr>
              <w:t>七、</w:t>
            </w:r>
            <w:r>
              <w:rPr>
                <w:rFonts w:ascii="楷体" w:hAnsi="楷体" w:cs="楷体" w:eastAsia="楷体"/>
                <w:sz w:val="28"/>
                <w:b/>
              </w:rPr>
              <w:t>其他</w:t>
            </w:r>
          </w:p>
          <w:p>
            <w:pPr>
              <w:pStyle w:val="null3"/>
              <w:numPr>
                <w:ilvl w:val="0"/>
                <w:numId w:val="1"/>
              </w:numPr>
              <w:jc w:val="both"/>
            </w:pPr>
            <w:r>
              <w:rPr>
                <w:rFonts w:ascii="楷体" w:hAnsi="楷体" w:cs="楷体" w:eastAsia="楷体"/>
                <w:sz w:val="28"/>
              </w:rPr>
              <w:t>对供应商的业绩要求</w:t>
            </w:r>
          </w:p>
          <w:p>
            <w:pPr>
              <w:pStyle w:val="null3"/>
              <w:ind w:left="420" w:firstLine="504"/>
              <w:jc w:val="both"/>
            </w:pPr>
            <w:r>
              <w:rPr>
                <w:rFonts w:ascii="楷体" w:hAnsi="楷体" w:cs="楷体" w:eastAsia="楷体"/>
                <w:sz w:val="28"/>
              </w:rPr>
              <w:t>提供</w:t>
            </w:r>
            <w:r>
              <w:rPr>
                <w:rFonts w:ascii="楷体" w:hAnsi="楷体" w:cs="楷体" w:eastAsia="楷体"/>
                <w:sz w:val="28"/>
              </w:rPr>
              <w:t>20</w:t>
            </w:r>
            <w:r>
              <w:rPr>
                <w:rFonts w:ascii="楷体" w:hAnsi="楷体" w:cs="楷体" w:eastAsia="楷体"/>
                <w:sz w:val="28"/>
              </w:rPr>
              <w:t>21</w:t>
            </w:r>
            <w:r>
              <w:rPr>
                <w:rFonts w:ascii="楷体" w:hAnsi="楷体" w:cs="楷体" w:eastAsia="楷体"/>
                <w:sz w:val="28"/>
              </w:rPr>
              <w:t xml:space="preserve"> </w:t>
            </w:r>
            <w:r>
              <w:rPr>
                <w:rFonts w:ascii="楷体" w:hAnsi="楷体" w:cs="楷体" w:eastAsia="楷体"/>
                <w:sz w:val="28"/>
              </w:rPr>
              <w:t>年</w:t>
            </w:r>
            <w:r>
              <w:rPr>
                <w:rFonts w:ascii="楷体" w:hAnsi="楷体" w:cs="楷体" w:eastAsia="楷体"/>
                <w:sz w:val="28"/>
              </w:rPr>
              <w:t xml:space="preserve">  </w:t>
            </w:r>
            <w:r>
              <w:rPr>
                <w:rFonts w:ascii="楷体" w:hAnsi="楷体" w:cs="楷体" w:eastAsia="楷体"/>
                <w:sz w:val="28"/>
              </w:rPr>
              <w:t>1</w:t>
            </w:r>
            <w:r>
              <w:rPr>
                <w:rFonts w:ascii="楷体" w:hAnsi="楷体" w:cs="楷体" w:eastAsia="楷体"/>
                <w:sz w:val="28"/>
              </w:rPr>
              <w:t>月</w:t>
            </w:r>
            <w:r>
              <w:rPr>
                <w:rFonts w:ascii="楷体" w:hAnsi="楷体" w:cs="楷体" w:eastAsia="楷体"/>
                <w:sz w:val="28"/>
              </w:rPr>
              <w:t>日以来</w:t>
            </w:r>
            <w:r>
              <w:rPr>
                <w:rFonts w:ascii="楷体" w:hAnsi="楷体" w:cs="楷体" w:eastAsia="楷体"/>
                <w:sz w:val="28"/>
              </w:rPr>
              <w:t>类似</w:t>
            </w:r>
            <w:r>
              <w:rPr>
                <w:rFonts w:ascii="楷体" w:hAnsi="楷体" w:cs="楷体" w:eastAsia="楷体"/>
                <w:sz w:val="28"/>
              </w:rPr>
              <w:t>项目业绩，以合同签订日期为准，并加盖供应</w:t>
            </w:r>
            <w:r>
              <w:rPr>
                <w:rFonts w:ascii="楷体" w:hAnsi="楷体" w:cs="楷体" w:eastAsia="楷体"/>
                <w:sz w:val="28"/>
              </w:rPr>
              <w:t>商公章的合同关键页复印件。</w:t>
            </w:r>
          </w:p>
          <w:p>
            <w:pPr>
              <w:pStyle w:val="null3"/>
              <w:numPr>
                <w:ilvl w:val="0"/>
                <w:numId w:val="1"/>
              </w:numPr>
              <w:jc w:val="both"/>
            </w:pPr>
            <w:r>
              <w:rPr>
                <w:rFonts w:ascii="楷体" w:hAnsi="楷体" w:cs="楷体" w:eastAsia="楷体"/>
                <w:sz w:val="28"/>
              </w:rPr>
              <w:t>质量验收标准或规范</w:t>
            </w:r>
          </w:p>
          <w:p>
            <w:pPr>
              <w:pStyle w:val="null3"/>
              <w:ind w:left="420" w:firstLine="280"/>
              <w:jc w:val="both"/>
            </w:pPr>
            <w:r>
              <w:rPr>
                <w:rFonts w:ascii="楷体" w:hAnsi="楷体" w:cs="楷体" w:eastAsia="楷体"/>
                <w:sz w:val="28"/>
              </w:rPr>
              <w:t>质量标准：</w:t>
            </w:r>
            <w:r>
              <w:rPr>
                <w:rFonts w:ascii="楷体" w:hAnsi="楷体" w:cs="楷体" w:eastAsia="楷体"/>
                <w:sz w:val="28"/>
              </w:rPr>
              <w:t>达到国家规定的合格标准</w:t>
            </w:r>
          </w:p>
          <w:p>
            <w:pPr>
              <w:pStyle w:val="null3"/>
              <w:ind w:left="420" w:firstLine="280"/>
              <w:jc w:val="both"/>
            </w:pPr>
            <w:r>
              <w:rPr>
                <w:rFonts w:ascii="楷体" w:hAnsi="楷体" w:cs="楷体" w:eastAsia="楷体"/>
                <w:sz w:val="28"/>
              </w:rPr>
              <w:t>验收标准或规范：</w:t>
            </w:r>
            <w:r>
              <w:rPr>
                <w:rFonts w:ascii="楷体" w:hAnsi="楷体" w:cs="楷体" w:eastAsia="楷体"/>
                <w:sz w:val="28"/>
              </w:rPr>
              <w:t>达到国家标准，行业标准及采购人要求。</w:t>
            </w:r>
          </w:p>
          <w:p>
            <w:pPr>
              <w:pStyle w:val="null3"/>
              <w:numPr>
                <w:ilvl w:val="0"/>
                <w:numId w:val="1"/>
              </w:numPr>
              <w:jc w:val="both"/>
            </w:pPr>
            <w:r>
              <w:rPr>
                <w:rFonts w:ascii="楷体" w:hAnsi="楷体" w:cs="楷体" w:eastAsia="楷体"/>
                <w:sz w:val="28"/>
                <w:color w:val="000000"/>
              </w:rPr>
              <w:t>违约责任</w:t>
            </w:r>
          </w:p>
          <w:p>
            <w:pPr>
              <w:pStyle w:val="null3"/>
              <w:ind w:firstLine="560"/>
              <w:jc w:val="both"/>
            </w:pPr>
            <w:r>
              <w:rPr>
                <w:rFonts w:ascii="楷体" w:hAnsi="楷体" w:cs="楷体" w:eastAsia="楷体"/>
                <w:sz w:val="28"/>
              </w:rPr>
              <w:t>供应商</w:t>
            </w:r>
            <w:r>
              <w:rPr>
                <w:rFonts w:ascii="楷体" w:hAnsi="楷体" w:cs="楷体" w:eastAsia="楷体"/>
                <w:sz w:val="28"/>
              </w:rPr>
              <w:t>应按照合同规定的期限完成</w:t>
            </w:r>
            <w:r>
              <w:rPr>
                <w:rFonts w:ascii="楷体" w:hAnsi="楷体" w:cs="楷体" w:eastAsia="楷体"/>
                <w:sz w:val="28"/>
              </w:rPr>
              <w:t>工程</w:t>
            </w:r>
            <w:r>
              <w:rPr>
                <w:rFonts w:ascii="楷体" w:hAnsi="楷体" w:cs="楷体" w:eastAsia="楷体"/>
                <w:sz w:val="28"/>
              </w:rPr>
              <w:t>，每延迟一天应承担当期应付款</w:t>
            </w:r>
            <w:r>
              <w:rPr>
                <w:rFonts w:ascii="楷体" w:hAnsi="楷体" w:cs="楷体" w:eastAsia="楷体"/>
                <w:sz w:val="28"/>
              </w:rPr>
              <w:t>2%的违约金，违约金累计不超过当期应付款10%。若违约金累计已达上限，乙方仍未履行，甲方有权解除合同。</w:t>
            </w:r>
          </w:p>
          <w:p>
            <w:pPr>
              <w:pStyle w:val="null3"/>
              <w:numPr>
                <w:ilvl w:val="0"/>
                <w:numId w:val="1"/>
              </w:numPr>
              <w:jc w:val="both"/>
            </w:pPr>
            <w:r>
              <w:rPr>
                <w:rFonts w:ascii="楷体" w:hAnsi="楷体" w:cs="楷体" w:eastAsia="楷体"/>
                <w:sz w:val="28"/>
              </w:rPr>
              <w:t>与本工程相关的特别说明</w:t>
            </w:r>
          </w:p>
          <w:p>
            <w:pPr>
              <w:pStyle w:val="null3"/>
              <w:ind w:left="420"/>
              <w:jc w:val="both"/>
            </w:pPr>
            <w:r>
              <w:rPr>
                <w:rFonts w:ascii="楷体" w:hAnsi="楷体" w:cs="楷体" w:eastAsia="楷体"/>
                <w:sz w:val="28"/>
              </w:rPr>
              <w:t xml:space="preserve">   </w:t>
            </w:r>
            <w:r>
              <w:rPr>
                <w:rFonts w:ascii="楷体" w:hAnsi="楷体" w:cs="楷体" w:eastAsia="楷体"/>
                <w:sz w:val="28"/>
              </w:rPr>
              <w:t>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达到国家规定的“合格”标准 验收标准或规范：达到国家标准，行业标准及采购人要求。</w:t>
      </w:r>
    </w:p>
    <w:p>
      <w:pPr>
        <w:pStyle w:val="null3"/>
        <w:ind w:firstLine="480"/>
      </w:pPr>
      <w:r>
        <w:rPr/>
        <w:t>三、针对本项目的其他技术服务要求：</w:t>
      </w:r>
    </w:p>
    <w:p>
      <w:pPr>
        <w:pStyle w:val="null3"/>
      </w:pPr>
      <w:r>
        <w:rPr/>
        <w:t>达到国家规定的“合格”标准 验收标准或规范：达到国家标准，行业标准及采购人要求。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须提供2023年度的经审计的财务报告（至 少包括三表一注，成立时间至提交投标文 件截止时间不足一年的可提供成立后任意 时段的资产负债表），或招标前三个月内 开户银行出具的资信证明（附开户许可证 或开户银行证明）； 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供应商具有独立承担民事责任的能力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供应商资质要求</w:t>
            </w:r>
          </w:p>
        </w:tc>
        <w:tc>
          <w:tcPr>
            <w:tcW w:type="dxa" w:w="3322"/>
          </w:tcPr>
          <w:p>
            <w:pPr>
              <w:pStyle w:val="null3"/>
            </w:pPr>
            <w:r>
              <w:rPr/>
              <w:t>须提供建设行政主管部门颁发建筑工程施工总承包三级（含三级）及以上资质，并具有合格有效的安全生产许可证；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拟派项目经理资格要求</w:t>
            </w:r>
          </w:p>
        </w:tc>
        <w:tc>
          <w:tcPr>
            <w:tcW w:type="dxa" w:w="3322"/>
          </w:tcPr>
          <w:p>
            <w:pPr>
              <w:pStyle w:val="null3"/>
            </w:pPr>
            <w:r>
              <w:rPr/>
              <w:t>拟派项目经理须具备建筑工程专业二级注册建造师及安全生产考核合格证书，在本单位注册且无在建工程和不良记录（提供无在建工程、无不良记录承诺书）；</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供应商信用要求</w:t>
            </w:r>
          </w:p>
        </w:tc>
        <w:tc>
          <w:tcPr>
            <w:tcW w:type="dxa" w:w="3322"/>
          </w:tcPr>
          <w:p>
            <w:pPr>
              <w:pStyle w:val="null3"/>
            </w:pPr>
            <w:r>
              <w:rPr/>
              <w:t>（1）投标人在“全国建筑市场监管公共服务平台”可查询到企业及项目负责人基本信息； （2）出具参加本次政府采购活动前三年内在经营活动中没有重大违法记录的书面声明； （3）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财务状况报告</w:t>
            </w:r>
          </w:p>
        </w:tc>
        <w:tc>
          <w:tcPr>
            <w:tcW w:type="dxa" w:w="3322"/>
          </w:tcPr>
          <w:p>
            <w:pPr>
              <w:pStyle w:val="null3"/>
            </w:pPr>
            <w:r>
              <w:rPr/>
              <w:t>须提供2023年度的经审计的财务报告（至少包括三表一注，成立时间至提交投标文件截止时间不足一年的可提供成立后任意时段的资产负债表），或招标前三个月内开户银行出具的资信证明（附开户许可证或开户银行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提供投标文件递交时间前一年内至少一个月已缴纳的纳税证明或完税证明凭据；其他组织和自然人提供响应文件递交时间前一年内至少一个月缴纳税收的凭据；依法免税的供应商应提供相关文件证明；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提供投标文件递交时间前一年内至少一个月已缴纳的社会保障资金的凭据（专用收据或社会保险缴纳清单）；依法不需要缴纳社会保障资金的供应商应提供相关文件证明；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供应商具有履行合同所必需的设备和专业技术能</w:t>
            </w:r>
          </w:p>
        </w:tc>
        <w:tc>
          <w:tcPr>
            <w:tcW w:type="dxa" w:w="3322"/>
          </w:tcPr>
          <w:p>
            <w:pPr>
              <w:pStyle w:val="null3"/>
            </w:pPr>
            <w:r>
              <w:rPr/>
              <w:t>具备履行合同所必需的设备和专业技术能力的证明材料(由投标人根据项目需求提供说明材料或者承诺)；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非联合 体磋商</w:t>
            </w:r>
          </w:p>
        </w:tc>
        <w:tc>
          <w:tcPr>
            <w:tcW w:type="dxa" w:w="3322"/>
          </w:tcPr>
          <w:p>
            <w:pPr>
              <w:pStyle w:val="null3"/>
            </w:pPr>
            <w:r>
              <w:rPr/>
              <w:t>提供非联合体磋商声明。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报价唯一</w:t>
            </w:r>
          </w:p>
        </w:tc>
        <w:tc>
          <w:tcPr>
            <w:tcW w:type="dxa" w:w="3322"/>
          </w:tcPr>
          <w:p>
            <w:pPr>
              <w:pStyle w:val="null3"/>
            </w:pPr>
            <w:r>
              <w:rPr/>
              <w:t>只能有一个有效报价，不得提交选择性报价， 按要求提交二次或多次报价，且每轮报价不超 过采购预算金额或最高限价或磋商小组认为低 于成本价的报价。</w:t>
            </w:r>
          </w:p>
        </w:tc>
        <w:tc>
          <w:tcPr>
            <w:tcW w:type="dxa" w:w="1661"/>
          </w:tcPr>
          <w:p>
            <w:pPr>
              <w:pStyle w:val="null3"/>
            </w:pPr>
            <w:r>
              <w:rPr/>
              <w:t>响应文件封面 已标价工程量清单 报价函 标的清单</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供应商应提交的相关资格证明材料 响应函</w:t>
            </w:r>
          </w:p>
        </w:tc>
      </w:tr>
      <w:tr>
        <w:tc>
          <w:tcPr>
            <w:tcW w:type="dxa" w:w="831"/>
          </w:tcPr>
          <w:p>
            <w:pPr>
              <w:pStyle w:val="null3"/>
            </w:pPr>
            <w:r>
              <w:rPr/>
              <w:t>4</w:t>
            </w:r>
          </w:p>
        </w:tc>
        <w:tc>
          <w:tcPr>
            <w:tcW w:type="dxa" w:w="2492"/>
          </w:tcPr>
          <w:p>
            <w:pPr>
              <w:pStyle w:val="null3"/>
            </w:pPr>
            <w:r>
              <w:rPr/>
              <w:t>应满足磋商文件中的规定</w:t>
            </w:r>
          </w:p>
        </w:tc>
        <w:tc>
          <w:tcPr>
            <w:tcW w:type="dxa" w:w="3322"/>
          </w:tcPr>
          <w:p>
            <w:pPr>
              <w:pStyle w:val="null3"/>
            </w:pPr>
            <w:r>
              <w:rPr/>
              <w:t>按磋商文件要求签字，需盖章处按磋商文件要 求盖章</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磋商响应文件内容符合磋商文件要求</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 接受的附加条件</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施工总体方案内容至少包括①施工准备；②施工进度安排;③施工方法；④重点难点工程分析及解决措施； ⑤影响正常施工外在因素分析及对应预案等。 以上内容专门针对本项目且阐述明晰、全面、合理 得 10 分，每缺一项内容扣 2 分，若上述内容存在瑕疵， 每存在 1 处瑕疵扣 1 分，扣完为止。（本项所称“瑕疵”是指内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 程 质 量 技 术 组 织 措 施</w:t>
            </w:r>
          </w:p>
        </w:tc>
        <w:tc>
          <w:tcPr>
            <w:tcW w:type="dxa" w:w="2492"/>
          </w:tcPr>
          <w:p>
            <w:pPr>
              <w:pStyle w:val="null3"/>
            </w:pPr>
            <w:r>
              <w:rPr/>
              <w:t>工程质量技术组织措施内容至少包括①质量管理 工作流程；②工程质量保障方案；③工程 质量控制体系； ④材料和构配件的质量控制等；⑤施工检测及工序交验方案等。 以上内 容专门针对本项目且阐述明晰、全面、合理 得 10 分，每缺一项内容扣 2 分，若上述内 容存在瑕疵，每存在 1 处瑕疵扣 1 分，扣完为止。（本项所称“瑕疵”是指内容不完整或 缺少关键点、仅有框架或标题、复制采购需求；非专门针对本项目或不适用本项目特性、 套用其他项目内容；对同一问题前后表述矛盾；存在逻辑漏洞、科学原理或常识错误；不 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 全 生 产 的 技 术 组 织 措 施</w:t>
            </w:r>
          </w:p>
        </w:tc>
        <w:tc>
          <w:tcPr>
            <w:tcW w:type="dxa" w:w="2492"/>
          </w:tcPr>
          <w:p>
            <w:pPr>
              <w:pStyle w:val="null3"/>
            </w:pPr>
            <w:r>
              <w:rPr/>
              <w:t>安全生产的技术组织措施内容至少包括①安全生产管 理制度；②配置安全组织机构；③安 全隐患排查、整改制度；④应急救援机制等。 以上内容专门针对本项目且阐述明晰、全 面、合理 得10分，每缺一项内容扣 2.5分，若上述内容存在瑕疵，每存在 1 处瑕疵扣 1 分，扣完为止。（本项所称“瑕疵”是指内容不完整或缺少关键点、仅有框架或标题、复制 采购需求；非专门针对本项目或不适用本项目特性、套用其他项目内容；对同一问题前后 表述矛盾；存在逻辑漏洞、科学原理或常识错误；不利于本项目目标的实现、现有技术条 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文 明 施 工 及 环 境 保 护 组 织 措 施</w:t>
            </w:r>
          </w:p>
        </w:tc>
        <w:tc>
          <w:tcPr>
            <w:tcW w:type="dxa" w:w="2492"/>
          </w:tcPr>
          <w:p>
            <w:pPr>
              <w:pStyle w:val="null3"/>
            </w:pPr>
            <w:r>
              <w:rPr/>
              <w:t>文明施工及环境保护组织措施内容至少包括①文明及环境保护管理制度； ②防尘降噪措施 ； ③节能减排措施； ④文明及环境保护施工监督检查机制等。 以上内容专门针对本项目 且阐述明晰、全面、合理得 10分，每缺一项内容扣 2.5分，若上述内容存在瑕疵，每存 在 1 处瑕疵扣 1 分，扣完为止。（本项所称“瑕疵”是指内容不完整或缺少关键点、仅有 框架或标题、复制采购需求；非专门针对本项目或不适用本项目特性、套用其他项目内容 ；对同一问题前后表述矛盾；存在逻辑漏洞、科学原理或常识错误；不利于本项目目标的 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 工 组 织 和 项 目 管 理 机 构</w:t>
            </w:r>
          </w:p>
        </w:tc>
        <w:tc>
          <w:tcPr>
            <w:tcW w:type="dxa" w:w="2492"/>
          </w:tcPr>
          <w:p>
            <w:pPr>
              <w:pStyle w:val="null3"/>
            </w:pPr>
            <w:r>
              <w:rPr/>
              <w:t>施工组织和项目管理机构内容至少包括①项目管理 机构图;②岗位安排及职责（配备施工 员、安全员、资料 员、材料员、质量员）；③管理制度；④相应的协调措施等。 以上内 容专门针对本项目且阐述明晰、全面、合理 得 10 分，每缺一项内容扣 2.5分，若上述内 容存在瑕疵， 每存在 1 处瑕疵扣 1 分，扣完为止。（本项所称“瑕疵”是指内容不完整或 缺少关键点、仅有框架或标题、复制采购需求；非专门针对本项目或不适用本项目特性、 套用其他项目内容；对同一问题前后表述矛盾；存在逻辑漏洞、科学原理或常识错误；不 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 工 部 署 与 进 度 计 划</w:t>
            </w:r>
          </w:p>
        </w:tc>
        <w:tc>
          <w:tcPr>
            <w:tcW w:type="dxa" w:w="2492"/>
          </w:tcPr>
          <w:p>
            <w:pPr>
              <w:pStyle w:val="null3"/>
            </w:pPr>
            <w:r>
              <w:rPr/>
              <w:t>施工部署与进度计划内容至少包括①施工总平面布 置； ②进度安排计划； ③工期目标控 制和保证措施； ④ 材料供应措施； ⑤成品、半成品保护监管措施等。 以上内容专门针对 本项目且阐述明晰、全面、合理 得 5分，每缺一项内容扣 1分，若上述内容存在瑕疵， 每存在 1 处瑕疵扣 0.5分，扣完为止。（本项所称“瑕疵”是指内容不完整或缺少关键点、 仅有框架或标题、复制采购需求；非专门针对本项目或不适用本项目特性、套用其他项目 内容；对同一问题前后表述矛盾；存在逻辑漏洞、科学原理或常识错误；不利于本项目目 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 工 机 械 配 置 和 材 料 投 入 计 划</w:t>
            </w:r>
          </w:p>
        </w:tc>
        <w:tc>
          <w:tcPr>
            <w:tcW w:type="dxa" w:w="2492"/>
          </w:tcPr>
          <w:p>
            <w:pPr>
              <w:pStyle w:val="null3"/>
            </w:pPr>
            <w:r>
              <w:rPr/>
              <w:t>施工机械配置和材料投入计划内容至少包括①施工 机械配置计划； ②施工材料投入计划 ； ③施工机械的维 护保养和材料的贮存； ④施工机械、材料的监督和检查等。 以上内容 专门针对本项目且阐述明晰、全面、合理 得 10分，每缺一项内容扣 2.5分，若上述内容 存在瑕疵， 每存在 1 处瑕疵扣 1 分，扣完为止。（本项所称“瑕疵”是指内容不完整或缺 少关键点、仅有框架或标题、复制采购需求；非专门针对本项目或不适用本项目特性、套 用其他项目内容；对同一问题前后表述矛盾；存在逻辑漏洞、科学原理或常识错误；不利 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 绩</w:t>
            </w:r>
          </w:p>
        </w:tc>
        <w:tc>
          <w:tcPr>
            <w:tcW w:type="dxa" w:w="2492"/>
          </w:tcPr>
          <w:p>
            <w:pPr>
              <w:pStyle w:val="null3"/>
            </w:pPr>
            <w:r>
              <w:rPr/>
              <w:t>提供 2021 年 1月 1日以来类似项目业绩，以合同签订日期为准，并加盖供应商公章的合 同关键页复印件。每个有效业绩得 2.5 分，满分共计 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经评委会一致认定满足竞争性磋商文件要求且磋商价格最低的磋商报价为评标基准价，其价格得分计30分。 其他供应商的价格得分统一按公式计算： 报价得分＝评标基准价÷磋商报价×30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