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版本号：241208001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蓝田县公安局2024年民辅警离退休人员体检项目</w:t>
      </w:r>
    </w:p>
    <w:p>
      <w:pPr>
        <w:pStyle w:val="null3"/>
        <w:jc w:val="center"/>
        <w:outlineLvl w:val="2"/>
      </w:pPr>
      <w:r>
        <w:rPr>
          <w:sz w:val="28"/>
          <w:b/>
        </w:rPr>
        <w:t>采购项目编号：</w:t>
      </w:r>
      <w:r>
        <w:rPr>
          <w:sz w:val="28"/>
          <w:b/>
        </w:rPr>
        <w:t>ZZDY-2024-046</w:t>
      </w:r>
      <w:r>
        <w:br/>
      </w:r>
      <w:r>
        <w:br/>
      </w:r>
      <w:r>
        <w:br/>
      </w:r>
    </w:p>
    <w:p>
      <w:pPr>
        <w:pStyle w:val="null3"/>
        <w:jc w:val="center"/>
        <w:outlineLvl w:val="2"/>
      </w:pPr>
      <w:r>
        <w:rPr>
          <w:sz w:val="28"/>
          <w:b/>
        </w:rPr>
        <w:t>西安市蓝田县公安局（本级）</w:t>
      </w:r>
    </w:p>
    <w:p>
      <w:pPr>
        <w:pStyle w:val="null3"/>
        <w:jc w:val="center"/>
        <w:outlineLvl w:val="2"/>
      </w:pPr>
      <w:r>
        <w:rPr>
          <w:sz w:val="28"/>
          <w:b/>
        </w:rPr>
        <w:t>陕西中正鼎裕项目管理有限公司</w:t>
      </w:r>
      <w:r>
        <w:rPr>
          <w:sz w:val="28"/>
          <w:b/>
        </w:rPr>
        <w:t>共同编制</w:t>
      </w:r>
    </w:p>
    <w:p>
      <w:pPr>
        <w:pStyle w:val="null3"/>
        <w:jc w:val="center"/>
        <w:outlineLvl w:val="2"/>
      </w:pPr>
      <w:r>
        <w:rPr>
          <w:sz w:val="28"/>
          <w:b/>
        </w:rPr>
        <w:t>2024年12月08日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陕西中正鼎裕项目管理有限公司</w:t>
      </w:r>
      <w:r>
        <w:rPr/>
        <w:t>（以下简称“代理机构”）受</w:t>
      </w:r>
      <w:r>
        <w:rPr/>
        <w:t>西安市蓝田县公安局（本级）</w:t>
      </w:r>
      <w:r>
        <w:rPr/>
        <w:t>委托，拟对</w:t>
      </w:r>
      <w:r>
        <w:rPr/>
        <w:t>蓝田县公安局2024年民辅警离退休人员体检项目</w:t>
      </w:r>
      <w:r>
        <w:rPr/>
        <w:t>采用竞争性磋商采购方式进行采购，兹邀请供应商参加本项目的竞争性磋商。</w:t>
      </w:r>
    </w:p>
    <w:p>
      <w:pPr>
        <w:pStyle w:val="null3"/>
        <w:outlineLvl w:val="2"/>
      </w:pPr>
      <w:r>
        <w:rPr>
          <w:sz w:val="28"/>
          <w:b/>
        </w:rPr>
        <w:t>一、项目编号：</w:t>
      </w:r>
      <w:r>
        <w:rPr>
          <w:sz w:val="28"/>
          <w:b/>
        </w:rPr>
        <w:t>ZZDY-2024-046</w:t>
      </w:r>
    </w:p>
    <w:p>
      <w:pPr>
        <w:pStyle w:val="null3"/>
        <w:outlineLvl w:val="2"/>
      </w:pPr>
      <w:r>
        <w:rPr>
          <w:sz w:val="28"/>
          <w:b/>
        </w:rPr>
        <w:t>二、项目名称：</w:t>
      </w:r>
      <w:r>
        <w:rPr>
          <w:sz w:val="28"/>
          <w:b/>
        </w:rPr>
        <w:t>蓝田县公安局2024年民辅警离退休人员体检项目</w:t>
      </w:r>
    </w:p>
    <w:p>
      <w:pPr>
        <w:pStyle w:val="null3"/>
        <w:outlineLvl w:val="2"/>
      </w:pPr>
      <w:r>
        <w:rPr>
          <w:sz w:val="28"/>
          <w:b/>
        </w:rPr>
        <w:t>三、磋商项目简介</w:t>
      </w:r>
    </w:p>
    <w:p>
      <w:pPr>
        <w:pStyle w:val="null3"/>
        <w:ind w:firstLine="480"/>
      </w:pPr>
      <w:r>
        <w:rPr/>
        <w:t>为了切实保障民警身心健康，全面落实从优待警各项政策，使每名工作人员保持健康体魄，全身心投入到工作中去，近期将开展蓝田县公安局2024年民辅警离退休人员体检。本次体检根据各个年龄段身体状况的不同，除一般内外科常规检查及肝功、透视、心电图外，针对公安行业特点增加部分特例检查项目。 体检按时间共分三阶段执行。第一阶段:民警职工体检 534 人，体检项目计划33项;第二阶段:辅警体检 322 人，体检项目计划21 项，;第三阶段:离退休人员体检108人，体检项目计划21项;所有人员早餐及往来车辆由体检机构提供。（具体体检安排详见采购计划）</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1、有效的主体资格证明：供应商应为具备卫生行政主管部门批准的三级或以上资质的综合性医院或具有医疗机构执业许可证（诊疗项目中有开展健康体检服务的科目）的体检医疗机构</w:t>
      </w:r>
    </w:p>
    <w:p>
      <w:pPr>
        <w:pStyle w:val="null3"/>
      </w:pPr>
      <w:r>
        <w:rPr/>
        <w:t>2、供应商具备放射诊疗许可证或辐射安全许可证：供应商具备放射诊疗许可证或辐射安全许可证</w:t>
      </w:r>
    </w:p>
    <w:p>
      <w:pPr>
        <w:pStyle w:val="null3"/>
      </w:pPr>
      <w:r>
        <w:rPr/>
        <w:t>3、供应商应具有独立承担民事责任的能力且具备向采购人提供相关货物及服务的企业法人、事业法人、其他组织：企业法人应提供统一社会信用代码的营业执照；事业法人应提供统一社会信用代码的事业单位法人证；其他组织应提供合法证明文件；</w:t>
      </w:r>
    </w:p>
    <w:p>
      <w:pPr>
        <w:pStyle w:val="null3"/>
      </w:pPr>
      <w:r>
        <w:rPr/>
        <w:t>4、法定代表人授权委托书：法定代表人直接参加磋商须提交法定代表人身份证明书及其身份证原件，法定代表人授权代表参加磋商的，须出具授权书及被授权人身份证（原件）；</w:t>
      </w:r>
    </w:p>
    <w:p>
      <w:pPr>
        <w:pStyle w:val="null3"/>
      </w:pPr>
      <w:r>
        <w:rPr/>
        <w:t>5、财务状况报告：提供 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或承诺函。（以上四种形式的资料提供任何一种即可）（依法不需要财务报告的供应商应提供相关文件证明 ）</w:t>
      </w:r>
    </w:p>
    <w:p>
      <w:pPr>
        <w:pStyle w:val="null3"/>
      </w:pPr>
      <w:r>
        <w:rPr/>
        <w:t>6、税收缴纳证明：供应商须提供磋商截止时间一年内任意1个月的缴税证明（注：依法免税或零申报的供应商应提供相关文件证明；）</w:t>
      </w:r>
    </w:p>
    <w:p>
      <w:pPr>
        <w:pStyle w:val="null3"/>
      </w:pPr>
      <w:r>
        <w:rPr/>
        <w:t>7、社会保障资金缴纳证明：供应商须提供磋商截止时间一年内任意1个月的社会保险缴纳证明（注：依法不需要缴纳社会保障资金的供应商应提供相关文件证明；）</w:t>
      </w:r>
    </w:p>
    <w:p>
      <w:pPr>
        <w:pStyle w:val="null3"/>
      </w:pPr>
      <w:r>
        <w:rPr/>
        <w:t>8、专业技术能力：供应商须提供具有履行合同所必需的设备和专业技术能力的承诺函(加盖供应商公章)</w:t>
      </w:r>
    </w:p>
    <w:p>
      <w:pPr>
        <w:pStyle w:val="null3"/>
      </w:pPr>
      <w:r>
        <w:rPr/>
        <w:t>9、企业声明：供应商应具备良好的商业信誉，提供参加政府采购活动前3年内在经营活动中没有重大违法记录的书面声明（原件加盖供应商公章）</w:t>
      </w:r>
    </w:p>
    <w:p>
      <w:pPr>
        <w:pStyle w:val="null3"/>
      </w:pPr>
      <w:r>
        <w:rPr/>
        <w:t>10、信用中国：未在“信用中国”网站（www.creditchina.gov.cn）和“中国政府采购网”（ccgp.gov.cn）列入失信被执行人、重大税收违法案件当事人名单、政府采购严重违法失信行为记录名单。（代理开标现场查询）</w:t>
      </w:r>
    </w:p>
    <w:p>
      <w:pPr>
        <w:pStyle w:val="null3"/>
      </w:pPr>
      <w:r>
        <w:rPr/>
        <w:t>11、本项目不接受联合体投标：提供非联合体承诺书</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西安市蓝田县公安局（本级）</w:t>
      </w:r>
    </w:p>
    <w:p>
      <w:pPr>
        <w:pStyle w:val="null3"/>
      </w:pPr>
      <w:r>
        <w:rPr/>
        <w:t xml:space="preserve"> 地址： </w:t>
      </w:r>
      <w:r>
        <w:rPr/>
        <w:t>蓝田县孝泉路8号</w:t>
      </w:r>
    </w:p>
    <w:p>
      <w:pPr>
        <w:pStyle w:val="null3"/>
      </w:pPr>
      <w:r>
        <w:rPr/>
        <w:t xml:space="preserve"> 邮编： </w:t>
      </w:r>
      <w:r>
        <w:rPr/>
        <w:t>710500</w:t>
      </w:r>
    </w:p>
    <w:p>
      <w:pPr>
        <w:pStyle w:val="null3"/>
      </w:pPr>
      <w:r>
        <w:rPr/>
        <w:t xml:space="preserve"> 联系人： </w:t>
      </w:r>
      <w:r>
        <w:rPr/>
        <w:t>西安市蓝田县公安局（本级）经办</w:t>
      </w:r>
    </w:p>
    <w:p>
      <w:pPr>
        <w:pStyle w:val="null3"/>
      </w:pPr>
      <w:r>
        <w:rPr/>
        <w:t xml:space="preserve"> 联系电话： </w:t>
      </w:r>
      <w:r>
        <w:rPr/>
        <w:t>13572867891</w:t>
      </w:r>
    </w:p>
    <w:p>
      <w:pPr>
        <w:pStyle w:val="null3"/>
        <w:outlineLvl w:val="3"/>
      </w:pPr>
      <w:r>
        <w:rPr>
          <w:sz w:val="24"/>
          <w:b/>
        </w:rPr>
        <w:t>代理机构：</w:t>
      </w:r>
      <w:r>
        <w:rPr>
          <w:sz w:val="24"/>
          <w:b/>
        </w:rPr>
        <w:t>陕西中正鼎裕项目管理有限公司</w:t>
      </w:r>
    </w:p>
    <w:p>
      <w:pPr>
        <w:pStyle w:val="null3"/>
      </w:pPr>
      <w:r>
        <w:rPr/>
        <w:t xml:space="preserve"> 地址： </w:t>
      </w:r>
      <w:r>
        <w:rPr/>
        <w:t>西安市高新区科技路48号创业广场B座1506</w:t>
      </w:r>
    </w:p>
    <w:p>
      <w:pPr>
        <w:pStyle w:val="null3"/>
      </w:pPr>
      <w:r>
        <w:rPr/>
        <w:t xml:space="preserve"> 邮编： </w:t>
      </w:r>
      <w:r>
        <w:rPr/>
        <w:t>710000</w:t>
      </w:r>
    </w:p>
    <w:p>
      <w:pPr>
        <w:pStyle w:val="null3"/>
      </w:pPr>
      <w:r>
        <w:rPr/>
        <w:t xml:space="preserve"> 联系人： </w:t>
      </w:r>
      <w:r>
        <w:rPr/>
        <w:t>吕秋洋</w:t>
      </w:r>
    </w:p>
    <w:p>
      <w:pPr>
        <w:pStyle w:val="null3"/>
      </w:pPr>
      <w:r>
        <w:rPr/>
        <w:t xml:space="preserve"> 联系电话： </w:t>
      </w:r>
      <w:r>
        <w:rPr/>
        <w:t>17691005085</w:t>
      </w:r>
    </w:p>
    <w:p>
      <w:pPr>
        <w:pStyle w:val="null3"/>
        <w:outlineLvl w:val="3"/>
      </w:pPr>
      <w:r>
        <w:rPr>
          <w:sz w:val="24"/>
          <w:b/>
        </w:rPr>
        <w:t>采购监督机构：</w:t>
      </w:r>
      <w:r>
        <w:rPr>
          <w:sz w:val="24"/>
          <w:b/>
        </w:rPr>
        <w:t>蓝田县政府采购管理股</w:t>
      </w:r>
    </w:p>
    <w:p>
      <w:pPr>
        <w:pStyle w:val="null3"/>
        <w:ind w:firstLine="480"/>
      </w:pPr>
      <w:r>
        <w:rPr/>
        <w:t>联系人：</w:t>
      </w:r>
      <w:r>
        <w:rPr/>
        <w:t>张 驰</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采购包1：651,900.00元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价格【2002】1980号）和发改价格[2015]299号规定计取。由中标人在办理中标通知书手续之前向采购代理机构一次性转账缴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西安市蓝田县公安局（本级）</w:t>
      </w:r>
      <w:r>
        <w:rPr/>
        <w:t>和</w:t>
      </w:r>
      <w:r>
        <w:rPr/>
        <w:t>陕西中正鼎裕项目管理有限公司</w:t>
      </w:r>
      <w:r>
        <w:rPr/>
        <w:t>享有。对磋商文件中供应商参加本次政府采购活动应当具备的条件，磋商项目技术、服务、商务及其他要求，评审细则及标准由</w:t>
      </w:r>
      <w:r>
        <w:rPr/>
        <w:t>西安市蓝田县公安局（本级）</w:t>
      </w:r>
      <w:r>
        <w:rPr/>
        <w:t>负责解释。除上述磋商文件内容，其他内容由</w:t>
      </w:r>
      <w:r>
        <w:rPr/>
        <w:t>陕西中正鼎裕项目管理有限公司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西安市蓝田县公安局（本级）</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陕西中正鼎裕项目管理有限公司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体检服务行业验收标准。 体检项目根据各个年龄段身体状况的不同，除一般内外科常规检查及肝功、透视、心电图外，针对公安行业特点增加部分特例检查项目。</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陕西中正鼎裕项目管理有限公司</w:t>
      </w:r>
      <w:r>
        <w:rPr/>
        <w:t xml:space="preserve"> 负责答复；供应商对除采购需求外的采购文件的询问、质疑由</w:t>
      </w:r>
      <w:r>
        <w:rPr/>
        <w:t>陕西中正鼎裕项目管理有限公司</w:t>
      </w:r>
      <w:r>
        <w:rPr/>
        <w:t xml:space="preserve"> 负责答复；供应商对采购过程、采购结果的询问、质疑由 </w:t>
      </w:r>
      <w:r>
        <w:rPr/>
        <w:t>陕西中正鼎裕项目管理有限公司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联系人：吕秋洋</w:t>
      </w:r>
    </w:p>
    <w:p>
      <w:pPr>
        <w:pStyle w:val="null3"/>
      </w:pPr>
      <w:r>
        <w:rPr/>
        <w:t>联系电话：17691005085</w:t>
      </w:r>
    </w:p>
    <w:p>
      <w:pPr>
        <w:pStyle w:val="null3"/>
      </w:pPr>
      <w:r>
        <w:rPr/>
        <w:t>地址：西安市高新区科技路48号创业广场B座1506</w:t>
      </w:r>
    </w:p>
    <w:p>
      <w:pPr>
        <w:pStyle w:val="null3"/>
      </w:pPr>
      <w:r>
        <w:rPr/>
        <w:t>邮编：710000</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为了切实保障民警身心健康，全面落实从优待警各项政策，使每名工作人员保持健康体魄，全身心投入到工作中去，近期将开展蓝田县公安局2024年民辅警离退休人员体检。本次体检根据各个年龄段身体状况的不同，除一般内外科常规检查及肝功、透视、心电图外，针对公安行业特点增加部分特例检查项目。体检按时间共分三阶段执行。第一阶段:民警职工体检 534 人，体检项目计划33项;第二阶段:辅警体检 322 人，体检项目计划21 项，;第三阶段:离退休人员体检108人，体检项目计划21项;所有人员早餐及往来车辆由体检机构提供。（具体体检安排详见采购计划）</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651,900.00</w:t>
      </w:r>
    </w:p>
    <w:p>
      <w:pPr>
        <w:pStyle w:val="null3"/>
      </w:pPr>
      <w:r>
        <w:rPr/>
        <w:t>采购包最高限价（元）: 651,900.00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蓝田县公安局2024年民辅警离退休人员体检项目</w:t>
            </w:r>
          </w:p>
        </w:tc>
        <w:tc>
          <w:tcPr>
            <w:tcW w:type="dxa" w:w="831"/>
          </w:tcPr>
          <w:p>
            <w:pPr>
              <w:pStyle w:val="null3"/>
              <w:jc w:val="right"/>
            </w:pPr>
            <w:r>
              <w:rPr/>
              <w:t>1.00</w:t>
            </w:r>
          </w:p>
        </w:tc>
        <w:tc>
          <w:tcPr>
            <w:tcW w:type="dxa" w:w="831"/>
          </w:tcPr>
          <w:p>
            <w:pPr>
              <w:pStyle w:val="null3"/>
              <w:jc w:val="right"/>
            </w:pPr>
            <w:r>
              <w:rPr/>
              <w:t>651,900.00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标的名称：蓝田县公安局2024年民辅警离退休人员体检项目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一、项目名称：蓝田县公安局</w:t>
            </w:r>
            <w:r>
              <w:rPr>
                <w:rFonts w:ascii="宋体" w:hAnsi="宋体" w:cs="宋体" w:eastAsia="宋体"/>
                <w:sz w:val="24"/>
              </w:rPr>
              <w:t>2024年民辅警离退休人员体检项目</w:t>
            </w:r>
          </w:p>
          <w:p>
            <w:pPr>
              <w:pStyle w:val="null3"/>
              <w:jc w:val="both"/>
            </w:pPr>
            <w:r>
              <w:rPr>
                <w:rFonts w:ascii="宋体" w:hAnsi="宋体" w:cs="宋体" w:eastAsia="宋体"/>
                <w:sz w:val="24"/>
              </w:rPr>
              <w:t>二、采购预算：</w:t>
            </w:r>
            <w:r>
              <w:rPr>
                <w:rFonts w:ascii="calibri" w:hAnsi="calibri" w:cs="calibri" w:eastAsia="calibri"/>
                <w:sz w:val="24"/>
              </w:rPr>
              <w:t>65.19</w:t>
            </w:r>
            <w:r>
              <w:rPr>
                <w:rFonts w:ascii="宋体" w:hAnsi="宋体" w:cs="宋体" w:eastAsia="宋体"/>
                <w:sz w:val="24"/>
              </w:rPr>
              <w:t>万</w:t>
            </w:r>
            <w:r>
              <w:rPr>
                <w:rFonts w:ascii="宋体" w:hAnsi="宋体" w:cs="宋体" w:eastAsia="宋体"/>
                <w:sz w:val="24"/>
              </w:rPr>
              <w:t>元</w:t>
            </w:r>
          </w:p>
          <w:p>
            <w:pPr>
              <w:pStyle w:val="null3"/>
              <w:ind w:left="1665"/>
              <w:jc w:val="both"/>
            </w:pPr>
            <w:r>
              <w:rPr>
                <w:rFonts w:ascii="宋体" w:hAnsi="宋体" w:cs="宋体" w:eastAsia="宋体"/>
                <w:sz w:val="24"/>
              </w:rPr>
              <w:t>三、</w:t>
            </w:r>
            <w:r>
              <w:rPr>
                <w:rFonts w:ascii="宋体" w:hAnsi="宋体" w:cs="宋体" w:eastAsia="宋体"/>
                <w:sz w:val="24"/>
              </w:rPr>
              <w:t>采购需求：体检按时间共分三阶段执行。第一阶段</w:t>
            </w:r>
            <w:r>
              <w:rPr>
                <w:rFonts w:ascii="宋体" w:hAnsi="宋体" w:cs="宋体" w:eastAsia="宋体"/>
                <w:sz w:val="24"/>
              </w:rPr>
              <w:t>:民警职工体检 534 人，体检项目计划33项;第二阶段:辅警体检 322 人，体检项目计划21 项，;第三阶段:离退休人员体检108人，体检项目计划21项;所有人员早餐及往来车辆由体检机构提供。</w:t>
            </w:r>
          </w:p>
          <w:p>
            <w:pPr>
              <w:pStyle w:val="null3"/>
              <w:jc w:val="both"/>
            </w:pPr>
            <w:r>
              <w:rPr>
                <w:rFonts w:ascii="宋体" w:hAnsi="宋体" w:cs="宋体" w:eastAsia="宋体"/>
                <w:sz w:val="24"/>
              </w:rPr>
              <w:t>四、</w:t>
            </w:r>
            <w:r>
              <w:rPr>
                <w:rFonts w:ascii="宋体" w:hAnsi="宋体" w:cs="宋体" w:eastAsia="宋体"/>
                <w:sz w:val="24"/>
              </w:rPr>
              <w:t>服务内容：</w:t>
            </w:r>
            <w:r>
              <w:rPr>
                <w:rFonts w:ascii="宋体" w:hAnsi="宋体" w:cs="宋体" w:eastAsia="宋体"/>
                <w:sz w:val="24"/>
              </w:rPr>
              <w:t>蓝田县公安局</w:t>
            </w:r>
            <w:r>
              <w:rPr>
                <w:rFonts w:ascii="宋体" w:hAnsi="宋体" w:cs="宋体" w:eastAsia="宋体"/>
                <w:sz w:val="24"/>
              </w:rPr>
              <w:t>2024年民辅警离退休人员体检项目（民警职工体检、辅警体检、 离职退休人员体检）</w:t>
            </w:r>
          </w:p>
          <w:p>
            <w:pPr>
              <w:pStyle w:val="null3"/>
              <w:jc w:val="both"/>
            </w:pPr>
            <w:r>
              <w:rPr>
                <w:rFonts w:ascii="宋体" w:hAnsi="宋体" w:cs="宋体" w:eastAsia="宋体"/>
                <w:sz w:val="24"/>
              </w:rPr>
              <w:t>五、</w:t>
            </w:r>
            <w:r>
              <w:rPr>
                <w:rFonts w:ascii="宋体" w:hAnsi="宋体" w:cs="宋体" w:eastAsia="宋体"/>
                <w:sz w:val="24"/>
              </w:rPr>
              <w:t>服务标准</w:t>
            </w:r>
          </w:p>
          <w:p>
            <w:pPr>
              <w:pStyle w:val="null3"/>
              <w:ind w:firstLine="480"/>
              <w:jc w:val="both"/>
            </w:pPr>
            <w:r>
              <w:rPr>
                <w:rFonts w:ascii="宋体" w:hAnsi="宋体" w:cs="宋体" w:eastAsia="宋体"/>
                <w:sz w:val="24"/>
              </w:rPr>
              <w:t>质量标准：符合国家相关标准、行业标准。：</w:t>
            </w:r>
          </w:p>
          <w:p>
            <w:pPr>
              <w:pStyle w:val="null3"/>
              <w:ind w:left="120" w:firstLine="480"/>
              <w:jc w:val="both"/>
            </w:pPr>
            <w:r>
              <w:rPr>
                <w:rFonts w:ascii="宋体" w:hAnsi="宋体" w:cs="宋体" w:eastAsia="宋体"/>
                <w:sz w:val="24"/>
              </w:rPr>
              <w:t>本次体检项目根据各个年龄段身体状况的不同，除一般内外科常规检查及肝功、透视、心电图外，针对公安行业特点增加部分特例检查项目。</w:t>
            </w:r>
          </w:p>
        </w:tc>
      </w:tr>
      <w:tr>
        <w:tc>
          <w:tcPr>
            <w:tcW w:type="dxa" w:w="2769"/>
          </w:tcPr>
          <w:p/>
        </w:tc>
        <w:tc>
          <w:tcPr>
            <w:tcW w:type="dxa" w:w="2769"/>
          </w:tcPr>
          <w:p>
            <w:pPr>
              <w:pStyle w:val="null3"/>
            </w:pPr>
            <w:r>
              <w:rPr/>
              <w:t>2</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41"/>
              <w:gridCol w:w="395"/>
              <w:gridCol w:w="1541"/>
              <w:gridCol w:w="232"/>
              <w:gridCol w:w="232"/>
            </w:tblGrid>
            <w:tr>
              <w:tc>
                <w:tcPr>
                  <w:tcW w:type="dxa" w:w="2541"/>
                  <w:gridSpan w:val="5"/>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黑体" w:hAnsi="黑体" w:cs="黑体" w:eastAsia="黑体"/>
                      <w:sz w:val="28"/>
                      <w:b/>
                      <w:color w:val="000000"/>
                    </w:rPr>
                    <w:t>蓝田县公安局</w:t>
                  </w:r>
                  <w:r>
                    <w:rPr>
                      <w:rFonts w:ascii="黑体" w:hAnsi="黑体" w:cs="黑体" w:eastAsia="黑体"/>
                      <w:sz w:val="28"/>
                      <w:b/>
                      <w:color w:val="000000"/>
                    </w:rPr>
                    <w:t>2024年度辅警体检项目（</w:t>
                  </w:r>
                  <w:r>
                    <w:rPr>
                      <w:rFonts w:ascii="黑体" w:hAnsi="黑体" w:cs="黑体" w:eastAsia="黑体"/>
                      <w:sz w:val="28"/>
                      <w:b/>
                      <w:color w:val="FF0000"/>
                    </w:rPr>
                    <w:t>退休人数</w:t>
                  </w:r>
                  <w:r>
                    <w:rPr>
                      <w:rFonts w:ascii="黑体" w:hAnsi="黑体" w:cs="黑体" w:eastAsia="黑体"/>
                      <w:sz w:val="28"/>
                      <w:b/>
                      <w:color w:val="FF0000"/>
                    </w:rPr>
                    <w:t>108人，临聘322人</w:t>
                  </w:r>
                  <w:r>
                    <w:rPr>
                      <w:rFonts w:ascii="黑体" w:hAnsi="黑体" w:cs="黑体" w:eastAsia="黑体"/>
                      <w:sz w:val="28"/>
                      <w:b/>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序号</w:t>
                  </w:r>
                </w:p>
              </w:tc>
              <w:tc>
                <w:tcPr>
                  <w:tcW w:type="dxa" w:w="39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项目</w:t>
                  </w:r>
                </w:p>
              </w:tc>
              <w:tc>
                <w:tcPr>
                  <w:tcW w:type="dxa" w:w="1541"/>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18"/>
                      <w:b/>
                      <w:color w:val="000000"/>
                    </w:rPr>
                    <w:t>项目意义</w:t>
                  </w:r>
                </w:p>
              </w:tc>
              <w:tc>
                <w:tcPr>
                  <w:tcW w:type="dxa" w:w="232"/>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辅警</w:t>
                  </w:r>
                  <w:r>
                    <w:rPr>
                      <w:rFonts w:ascii="宋体" w:hAnsi="宋体" w:cs="宋体" w:eastAsia="宋体"/>
                      <w:sz w:val="18"/>
                      <w:b/>
                      <w:color w:val="000000"/>
                    </w:rPr>
                    <w:t>/退休男</w:t>
                  </w:r>
                </w:p>
              </w:tc>
              <w:tc>
                <w:tcPr>
                  <w:tcW w:type="dxa" w:w="232"/>
                  <w:tcBorders>
                    <w:top w:val="single" w:color="000000" w:sz="4"/>
                    <w:left w:val="none" w:color="000000" w:sz="4"/>
                    <w:bottom w:val="non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辅警</w:t>
                  </w:r>
                  <w:r>
                    <w:rPr>
                      <w:rFonts w:ascii="宋体" w:hAnsi="宋体" w:cs="宋体" w:eastAsia="宋体"/>
                      <w:sz w:val="18"/>
                      <w:b/>
                      <w:color w:val="000000"/>
                    </w:rPr>
                    <w:t>/退休女</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身高体重血压</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通过测量身高、体重、血压可评价血压与体重是否正常，测定体重指数，可初步筛查高血压病</w:t>
                  </w:r>
                </w:p>
              </w:tc>
              <w:tc>
                <w:tcPr>
                  <w:tcW w:type="dxa" w:w="23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2</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内科</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通过视、触、叩、听检查心、肺、肝、脾等重要脏器的基本状况，发现常见疾病的相关征兆，或初步排除常见疾病。</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3</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心电图</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通过心电图机检查，可诊断心律失常、心绞痛、心肌梗塞、冠心病、心室肥厚、心肌缺血、心脏传导阻滞等心脏疾患，是健康体检不可缺少的一项检查。</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4</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腹部彩超</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腹部彩超对人体腹腔内肝、胆、肾、胰、脾、血管等器官的内部结构形态进行检查，可筛查：脂肪肝、结石、囊肿、肿瘤、血管瘤、肝硬化、肾实质病变，是腹部脏器检查的重要项目。且彩色超声比黑白超声检查更清晰，分辨率更高。</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5</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男性泌尿彩超</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通过彩色超声影像对男性前列腺和膀胱的检查，可筛查前列腺肥大、前列腺癌、前列腺囊肿、前列腺钙化、膀胱占位性病变。是男性体检的重要检查项目。</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6</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甲状腺彩超</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通过彩色超声影像检查，可筛查甲状腺肿、甲状腺囊肿、甲状腺炎、甲状腺瘤、甲状腺癌等疾病</w:t>
                  </w:r>
                  <w:r>
                    <w:rPr>
                      <w:rFonts w:ascii="宋体" w:hAnsi="宋体" w:cs="宋体" w:eastAsia="宋体"/>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7</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女性妇科彩超</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通过彩色超声影像对女性子宫、附件、膀胱等部位检查，可筛查子宫肌瘤、子宫癌、子宫内膜增生、卵巢囊肿、卵巢癌、膀胱占位性病变等疾病，是女性体检的重要检查项目。</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8</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乳腺彩超</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乳房彩色超声检查可筛查乳腺炎、乳腺增生、乳腺癌、乳腺囊肿或良性纤维瘤，是乳腺疾病最有效的检查方法之一。</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9</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血常规</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通过血液分析可发现有无贫血、细菌感染、病毒感染、白血病、败血病、血小板数量异常等血液方面疾病，对机体其他器官的病变，也具有重要的诊断价值。</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10</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尿常规</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通过对尿液的检查分析，可以诊断泌尿系统疾病，如泌尿系感染、肾炎、肿瘤、结石、血管病变，还可以协助诊断其他系统疾病，如糖尿病、急性胰腺炎、急性或慢性溶血、肝胆疾病等。</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11</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肝功</w:t>
                  </w:r>
                  <w:r>
                    <w:rPr>
                      <w:rFonts w:ascii="宋体" w:hAnsi="宋体" w:cs="宋体" w:eastAsia="宋体"/>
                      <w:sz w:val="18"/>
                      <w:color w:val="000000"/>
                    </w:rPr>
                    <w:t>12项</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谷丙转氨酶、谷草转氨酶、谷氨酰转肽酶、碱性磷酸酶、总蛋白、白蛋白、球蛋白、总胆红素、直接胆红素、间接胆红素。通过血液生化分析可反映目前肝细胞的新陈代谢状态，可筛查肝、胆功能异常、急（慢）性肝炎，黄疸性肝炎、肝硬化、肝癌、心肌炎、肾炎等脏器疾病。</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12</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肝功</w:t>
                  </w:r>
                  <w:r>
                    <w:rPr>
                      <w:rFonts w:ascii="宋体" w:hAnsi="宋体" w:cs="宋体" w:eastAsia="宋体"/>
                      <w:sz w:val="18"/>
                      <w:color w:val="000000"/>
                    </w:rPr>
                    <w:t>9项</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谷草转氨酶、谷氨酰转肽酶、碱性磷酸酶、总蛋白、白蛋白、球蛋白、总胆红素、直接胆红素、间接胆红素。通过血液生化分析可反映目前肝细胞的新陈代谢状态，</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13</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乙肝五项</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乙肝表面抗原、乙肝表面抗体、乙肝</w:t>
                  </w:r>
                  <w:r>
                    <w:rPr>
                      <w:rFonts w:ascii="宋体" w:hAnsi="宋体" w:cs="宋体" w:eastAsia="宋体"/>
                      <w:sz w:val="18"/>
                      <w:color w:val="000000"/>
                    </w:rPr>
                    <w:t>e抗原、乙肝e抗体、乙肝核心抗体、可筛查是否感染乙肝病毒，是否产生乙肝抗体，是否应注射疫苗和注射疫苗的效果。</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14</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肾功能</w:t>
                  </w:r>
                  <w:r>
                    <w:rPr>
                      <w:rFonts w:ascii="宋体" w:hAnsi="宋体" w:cs="宋体" w:eastAsia="宋体"/>
                      <w:sz w:val="18"/>
                      <w:color w:val="000000"/>
                    </w:rPr>
                    <w:t>4项</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通过血液检查尿素氮</w:t>
                  </w:r>
                  <w:r>
                    <w:rPr>
                      <w:rFonts w:ascii="宋体" w:hAnsi="宋体" w:cs="宋体" w:eastAsia="宋体"/>
                      <w:sz w:val="18"/>
                      <w:color w:val="000000"/>
                    </w:rPr>
                    <w:t>、尿酸、肌酐，血</w:t>
                  </w:r>
                  <w:r>
                    <w:rPr>
                      <w:rFonts w:ascii="宋体" w:hAnsi="宋体" w:cs="宋体" w:eastAsia="宋体"/>
                      <w:sz w:val="18"/>
                      <w:color w:val="000000"/>
                    </w:rPr>
                    <w:t>β2-微球蛋白,胱抑素C，可筛查肾脏是否受损，是否有急（慢）性肾功能减退或肾衰，有无痛风、高尿酸血症等疾病。</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15</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空腹血糖</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通过血液检测，可了解空腹时血液中葡萄糖的含量，是筛查糖尿病最基本的方法，也是判断糖尿病病情控制程度及进行饮食指导的主要指标。</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16</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血脂</w:t>
                  </w:r>
                  <w:r>
                    <w:rPr>
                      <w:rFonts w:ascii="宋体" w:hAnsi="宋体" w:cs="宋体" w:eastAsia="宋体"/>
                      <w:sz w:val="18"/>
                      <w:color w:val="000000"/>
                    </w:rPr>
                    <w:t>4项</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甘油三酯、总胆固醇、高密度脂蛋白</w:t>
                  </w:r>
                  <w:r>
                    <w:rPr>
                      <w:rFonts w:ascii="宋体" w:hAnsi="宋体" w:cs="宋体" w:eastAsia="宋体"/>
                      <w:sz w:val="18"/>
                      <w:color w:val="000000"/>
                    </w:rPr>
                    <w:t>、低密度脂蛋白</w:t>
                  </w:r>
                  <w:r>
                    <w:rPr>
                      <w:rFonts w:ascii="宋体" w:hAnsi="宋体" w:cs="宋体" w:eastAsia="宋体"/>
                      <w:sz w:val="18"/>
                      <w:color w:val="000000"/>
                    </w:rPr>
                    <w:t>;通过血液检查可了解血液中脂类的含量，筛查是否有高血脂症。对高血压、糖尿病、动脉硬化、心肌梗塞、脑卒中、肥胖症、冠心病、肾病综合症有较高的预测和参考价值。</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17</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甲胎蛋白</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是诊断原发性肝癌的一个特异性临床指标，若呈阳性，对癌症的诊断有重要临床意义。</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18</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DR胸部正位片</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面包、牛奶营养丰富的早餐。</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19</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营养早餐</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包括员工整体健康分析、亚健康状态主要特点、疾病风险预警等。</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20</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体检报告</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客服专家面对面为每位员工讲解体检结果，提供健康建议。</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141"/>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21</w:t>
                  </w:r>
                </w:p>
              </w:tc>
              <w:tc>
                <w:tcPr>
                  <w:tcW w:type="dxa" w:w="3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咨询</w:t>
                  </w:r>
                  <w:r>
                    <w:rPr>
                      <w:rFonts w:ascii="宋体" w:hAnsi="宋体" w:cs="宋体" w:eastAsia="宋体"/>
                      <w:sz w:val="18"/>
                      <w:color w:val="000000"/>
                    </w:rPr>
                    <w:t>/报告讲解</w:t>
                  </w:r>
                </w:p>
              </w:tc>
              <w:tc>
                <w:tcPr>
                  <w:tcW w:type="dxa" w:w="154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32"/>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bl>
          <w:p/>
        </w:tc>
      </w:tr>
      <w:tr>
        <w:tc>
          <w:tcPr>
            <w:tcW w:type="dxa" w:w="2769"/>
          </w:tcPr>
          <w:p/>
        </w:tc>
        <w:tc>
          <w:tcPr>
            <w:tcW w:type="dxa" w:w="2769"/>
          </w:tcPr>
          <w:p>
            <w:pPr>
              <w:pStyle w:val="null3"/>
            </w:pPr>
            <w:r>
              <w:rPr/>
              <w:t>3</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08"/>
              <w:gridCol w:w="347"/>
              <w:gridCol w:w="938"/>
              <w:gridCol w:w="240"/>
              <w:gridCol w:w="193"/>
              <w:gridCol w:w="201"/>
              <w:gridCol w:w="201"/>
              <w:gridCol w:w="226"/>
            </w:tblGrid>
            <w:tr>
              <w:tc>
                <w:tcPr>
                  <w:tcW w:type="dxa" w:w="2554"/>
                  <w:gridSpan w:val="8"/>
                  <w:tcBorders>
                    <w:top w:val="singl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left"/>
                  </w:pPr>
                  <w:r>
                    <w:rPr>
                      <w:rFonts w:ascii="黑体" w:hAnsi="黑体" w:cs="黑体" w:eastAsia="黑体"/>
                      <w:sz w:val="28"/>
                      <w:b/>
                      <w:color w:val="000000"/>
                    </w:rPr>
                    <w:t>蓝田县公安局</w:t>
                  </w:r>
                  <w:r>
                    <w:rPr>
                      <w:rFonts w:ascii="黑体" w:hAnsi="黑体" w:cs="黑体" w:eastAsia="黑体"/>
                      <w:sz w:val="28"/>
                      <w:b/>
                      <w:color w:val="000000"/>
                    </w:rPr>
                    <w:t>2024年度员工体检项目</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序号</w:t>
                  </w:r>
                </w:p>
              </w:tc>
              <w:tc>
                <w:tcPr>
                  <w:tcW w:type="dxa" w:w="347"/>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项目</w:t>
                  </w:r>
                </w:p>
              </w:tc>
              <w:tc>
                <w:tcPr>
                  <w:tcW w:type="dxa" w:w="938"/>
                  <w:tcBorders>
                    <w:top w:val="single" w:color="000000" w:sz="4"/>
                    <w:left w:val="none" w:color="000000" w:sz="4"/>
                    <w:bottom w:val="single" w:color="000000" w:sz="4"/>
                    <w:right w:val="single" w:color="000000" w:sz="4"/>
                  </w:tcBorders>
                  <w:shd w:fill="FFFFFF"/>
                  <w:tcMar>
                    <w:top w:type="dxa" w:w="0"/>
                    <w:left w:type="dxa" w:w="120"/>
                    <w:bottom w:type="dxa" w:w="0"/>
                    <w:right w:type="dxa" w:w="120"/>
                  </w:tcMar>
                  <w:vAlign w:val="top"/>
                </w:tcPr>
                <w:p>
                  <w:pPr>
                    <w:pStyle w:val="null3"/>
                    <w:jc w:val="center"/>
                  </w:pPr>
                  <w:r>
                    <w:rPr>
                      <w:rFonts w:ascii="宋体" w:hAnsi="宋体" w:cs="宋体" w:eastAsia="宋体"/>
                      <w:sz w:val="18"/>
                      <w:b/>
                      <w:color w:val="000000"/>
                    </w:rPr>
                    <w:t>项目意义</w:t>
                  </w:r>
                </w:p>
              </w:tc>
              <w:tc>
                <w:tcPr>
                  <w:tcW w:type="dxa" w:w="2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50岁以上男</w:t>
                  </w:r>
                  <w:r>
                    <w:rPr>
                      <w:rFonts w:ascii="宋体" w:hAnsi="宋体" w:cs="宋体" w:eastAsia="宋体"/>
                      <w:sz w:val="18"/>
                      <w:b/>
                      <w:color w:val="FF0000"/>
                    </w:rPr>
                    <w:t>93人</w:t>
                  </w:r>
                </w:p>
              </w:tc>
              <w:tc>
                <w:tcPr>
                  <w:tcW w:type="dxa" w:w="19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35-49岁男</w:t>
                  </w:r>
                  <w:r>
                    <w:rPr>
                      <w:rFonts w:ascii="宋体" w:hAnsi="宋体" w:cs="宋体" w:eastAsia="宋体"/>
                      <w:sz w:val="18"/>
                      <w:b/>
                      <w:color w:val="FF0000"/>
                    </w:rPr>
                    <w:t>262人</w:t>
                  </w:r>
                </w:p>
              </w:tc>
              <w:tc>
                <w:tcPr>
                  <w:tcW w:type="dxa" w:w="20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35男性以下</w:t>
                  </w:r>
                  <w:r>
                    <w:rPr>
                      <w:rFonts w:ascii="宋体" w:hAnsi="宋体" w:cs="宋体" w:eastAsia="宋体"/>
                      <w:sz w:val="18"/>
                      <w:b/>
                      <w:color w:val="FF0000"/>
                    </w:rPr>
                    <w:t>128人</w:t>
                  </w:r>
                </w:p>
              </w:tc>
              <w:tc>
                <w:tcPr>
                  <w:tcW w:type="dxa" w:w="201"/>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女性已婚</w:t>
                  </w:r>
                  <w:r>
                    <w:rPr>
                      <w:rFonts w:ascii="宋体" w:hAnsi="宋体" w:cs="宋体" w:eastAsia="宋体"/>
                      <w:sz w:val="18"/>
                      <w:b/>
                      <w:color w:val="000000"/>
                    </w:rPr>
                    <w:t>35以上</w:t>
                  </w:r>
                  <w:r>
                    <w:rPr>
                      <w:rFonts w:ascii="宋体" w:hAnsi="宋体" w:cs="宋体" w:eastAsia="宋体"/>
                      <w:sz w:val="18"/>
                      <w:b/>
                      <w:color w:val="FF0000"/>
                    </w:rPr>
                    <w:t>38人</w:t>
                  </w:r>
                </w:p>
              </w:tc>
              <w:tc>
                <w:tcPr>
                  <w:tcW w:type="dxa" w:w="226"/>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b/>
                      <w:color w:val="000000"/>
                    </w:rPr>
                    <w:t>女性已婚</w:t>
                  </w:r>
                  <w:r>
                    <w:rPr>
                      <w:rFonts w:ascii="宋体" w:hAnsi="宋体" w:cs="宋体" w:eastAsia="宋体"/>
                      <w:sz w:val="18"/>
                      <w:b/>
                      <w:color w:val="000000"/>
                    </w:rPr>
                    <w:t>35以下</w:t>
                  </w:r>
                  <w:r>
                    <w:rPr>
                      <w:rFonts w:ascii="宋体" w:hAnsi="宋体" w:cs="宋体" w:eastAsia="宋体"/>
                      <w:sz w:val="18"/>
                      <w:b/>
                      <w:color w:val="FF0000"/>
                    </w:rPr>
                    <w:t>13人</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身高体重血压</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通过测量身高、体重、血压可评价血压与体重是否正常，测定体重指数，可初步筛查高血压病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内科</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通过视、触、叩、听检查心、肺、肝、脾等重要脏器的基本状况，发现常见疾病的相关征兆，或初步排除常见疾病。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3</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眼科（视力）</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通过对视力、辨色力、结膜、角膜、眼睑、瞳孔、眼球运动功能的检查，可筛查：近视、远视、散光、色盲、沙眼、结膜炎、角膜炎等疾病。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4</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眼底检查</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眼底检查对眼底病变及全身系统性疾病的诊断及治疗提供重要的信息。</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5</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眼压检查</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通过眼压仪对眼压的测定，了解是否有青光眼及高眼压症。年龄超过</w:t>
                  </w:r>
                  <w:r>
                    <w:rPr>
                      <w:rFonts w:ascii="宋体" w:hAnsi="宋体" w:cs="宋体" w:eastAsia="宋体"/>
                      <w:sz w:val="18"/>
                      <w:color w:val="000000"/>
                    </w:rPr>
                    <w:t>35岁有青光眼家族史者、高度近视、糖尿病患者，应定期测眼压，以便早期发现异常变化。</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6</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心电图</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通过心电图机检查，可诊断心律失常、心绞痛、心肌梗塞、冠心病、心室肥厚、心肌缺血、心脏传导阻滞等心脏疾患，是健康体检不可缺少的一项检查。</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7</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腹部彩超</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腹部彩超对人体腹腔内肝、胆、肾、胰、脾、血管等器官的内部结构形态进行检查，可筛查：脂肪肝、结石、囊肿、肿瘤、血管瘤、肝硬化、肾实质病变，是腹部脏器检查的重要项目。且彩色超声比黑白超声检查更清晰，分辨率更高。</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8</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男性泌尿彩超</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通过彩色超声影像对男性前列腺和膀胱的检查，可筛查前列腺肥大、前列腺癌、前列腺囊肿、前列腺钙化、膀胱占位性病变。是男性体检的重要检查项目。</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9</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甲状腺彩超</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通过彩色超声影像检查，可筛查甲状腺肿、甲状腺囊肿、甲状腺炎、甲状腺瘤、甲状腺癌等疾病</w:t>
                  </w:r>
                  <w:r>
                    <w:rPr>
                      <w:rFonts w:ascii="宋体" w:hAnsi="宋体" w:cs="宋体" w:eastAsia="宋体"/>
                      <w:sz w:val="18"/>
                      <w:color w:val="000000"/>
                    </w:rPr>
                    <w:t>.</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10</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女性妇科彩超</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通过彩色超声影像对女性子宫、附件、膀胱等部位检查，可筛查子宫肌瘤、子宫癌、子宫内膜增生、卵巢囊肿、卵巢癌、膀胱占位性病变等疾病，是女性体检的重要检查项目。</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11</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乳腺彩超</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乳房彩色超声检查可筛查乳腺炎、乳腺增生、乳腺癌、乳腺囊肿或良性纤维瘤，是乳腺疾病最有效的检查方法之一。</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12</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C14呼气实验</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筛查机体有无幽门螺杆菌感染，幽门螺杆菌是慢性胃炎、胃溃疡、十二指肠溃疡、胃癌的主要致病因子</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13</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血常规</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通过血液分析可发现有无贫血、细菌感染、病毒感染、白血病、败血病、血小板数量异常等血液方面疾病，对机体其他器官的病变，也具有重要的诊断价值。</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14</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尿常规</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通过对尿液的检查分析，可以诊断泌尿系统疾病，如泌尿系感染、肾炎、肿瘤、结石、血管病变，还可以协助诊断其他系统疾病，如糖尿病、急性胰腺炎、急性或慢性溶血、肝胆疾病等。</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15</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肝功</w:t>
                  </w:r>
                  <w:r>
                    <w:rPr>
                      <w:rFonts w:ascii="宋体" w:hAnsi="宋体" w:cs="宋体" w:eastAsia="宋体"/>
                      <w:sz w:val="18"/>
                      <w:color w:val="000000"/>
                    </w:rPr>
                    <w:t>12项</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谷丙转氨酶、谷草转氨酶、谷氨酰转肽酶、碱性磷酸酶、总蛋白、白蛋白、球蛋白、总胆红素、直接胆红素、间接胆红素。通过血液生化分析可反映目前肝细胞的新陈代谢状态，可筛查肝、胆功能异常、急（慢）性肝炎，黄疸性肝炎、肝硬化、肝癌、心肌炎、肾炎等脏器疾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16</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肝功</w:t>
                  </w:r>
                  <w:r>
                    <w:rPr>
                      <w:rFonts w:ascii="宋体" w:hAnsi="宋体" w:cs="宋体" w:eastAsia="宋体"/>
                      <w:sz w:val="18"/>
                      <w:color w:val="000000"/>
                    </w:rPr>
                    <w:t>9项</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谷草转氨酶、谷氨酰转肽酶、碱性磷酸酶、总蛋白、白蛋白、球蛋白、总胆红素、直接胆红素、间接胆红素。通过血液生化分析可反映目前肝细胞的新陈代谢状态，</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17</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乙肝五项</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乙肝表面抗原、乙肝表面抗体、乙肝</w:t>
                  </w:r>
                  <w:r>
                    <w:rPr>
                      <w:rFonts w:ascii="宋体" w:hAnsi="宋体" w:cs="宋体" w:eastAsia="宋体"/>
                      <w:sz w:val="18"/>
                      <w:color w:val="000000"/>
                    </w:rPr>
                    <w:t>e抗原、乙肝e抗体、乙肝核心抗体、可筛查是否感染乙肝病毒，是否产生乙肝抗体，是否应注射疫苗和注射疫苗的效果。</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18</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肾功能</w:t>
                  </w:r>
                  <w:r>
                    <w:rPr>
                      <w:rFonts w:ascii="宋体" w:hAnsi="宋体" w:cs="宋体" w:eastAsia="宋体"/>
                      <w:sz w:val="18"/>
                      <w:color w:val="000000"/>
                    </w:rPr>
                    <w:t>4项</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通过血液检查尿素氮</w:t>
                  </w:r>
                  <w:r>
                    <w:rPr>
                      <w:rFonts w:ascii="宋体" w:hAnsi="宋体" w:cs="宋体" w:eastAsia="宋体"/>
                      <w:sz w:val="18"/>
                      <w:color w:val="000000"/>
                    </w:rPr>
                    <w:t>、尿酸、肌酐，血</w:t>
                  </w:r>
                  <w:r>
                    <w:rPr>
                      <w:rFonts w:ascii="宋体" w:hAnsi="宋体" w:cs="宋体" w:eastAsia="宋体"/>
                      <w:sz w:val="18"/>
                      <w:color w:val="000000"/>
                    </w:rPr>
                    <w:t>β2-微球蛋白,胱抑素C，可筛查肾脏是否受损，是否有急（慢）性肾功能减退或肾衰，有无痛风、高尿酸血症等疾病。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19</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空腹血糖</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通过血液检测，可了解空腹时血液中葡萄糖的含量，是筛查糖尿病最基本的方法，也是判断糖尿病病情控制程度及进行饮食指导的主要指标。</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20</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糖化血红蛋白</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糖化血红蛋白，现已作为监测血糖。控制是否达标等等重要手段。</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21</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血脂</w:t>
                  </w:r>
                  <w:r>
                    <w:rPr>
                      <w:rFonts w:ascii="宋体" w:hAnsi="宋体" w:cs="宋体" w:eastAsia="宋体"/>
                      <w:sz w:val="18"/>
                      <w:color w:val="000000"/>
                    </w:rPr>
                    <w:t>4项</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甘油三酯、总胆固醇、高密度脂蛋白</w:t>
                  </w:r>
                  <w:r>
                    <w:rPr>
                      <w:rFonts w:ascii="宋体" w:hAnsi="宋体" w:cs="宋体" w:eastAsia="宋体"/>
                      <w:sz w:val="18"/>
                      <w:color w:val="000000"/>
                    </w:rPr>
                    <w:t>、低密度脂蛋白</w:t>
                  </w:r>
                  <w:r>
                    <w:rPr>
                      <w:rFonts w:ascii="宋体" w:hAnsi="宋体" w:cs="宋体" w:eastAsia="宋体"/>
                      <w:sz w:val="18"/>
                      <w:color w:val="000000"/>
                    </w:rPr>
                    <w:t>;通过血液检查可了解血液中脂类的含量，筛查是否有高血脂症。对高血压、糖尿病、动脉硬化、心肌梗塞、脑卒中、肥胖症、冠心病、肾病综合症有较高的预测和参考价值。</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22</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妇科检查</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妇科体检医师通过问诊女性月经史、手术史、孕产史、及对外阴、阴道分泌物、宫颈、宫体、附件的检查，可了解女性子宫大小、形态及位置有无异常，可筛查：阴道炎、宫颈糜烂、附件炎、盆腔炎等疾病。</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23</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白带常规</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通过显微镜对阴道分泌物的检查</w:t>
                  </w:r>
                  <w:r>
                    <w:rPr>
                      <w:rFonts w:ascii="宋体" w:hAnsi="宋体" w:cs="宋体" w:eastAsia="宋体"/>
                      <w:sz w:val="18"/>
                      <w:color w:val="000000"/>
                    </w:rPr>
                    <w:t>,确定阴道清洁程度,寻找病原体，确定阴道炎症性质。</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24</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甲胎蛋白</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是诊断原发性肝癌的一个特异性临床指标，若呈阳性，对癌症的诊断有重要临床意义。</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25</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癌胚抗原</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为消化道肿瘤的辅助诊断指标，若呈阳性，对癌症的诊断有重要临床意义</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26</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前列腺癌症筛查</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检查前列腺肿瘤</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27</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糖类抗原</w:t>
                  </w:r>
                  <w:r>
                    <w:rPr>
                      <w:rFonts w:ascii="宋体" w:hAnsi="宋体" w:cs="宋体" w:eastAsia="宋体"/>
                      <w:sz w:val="18"/>
                      <w:color w:val="000000"/>
                    </w:rPr>
                    <w:t>12/5</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糖链抗原</w:t>
                  </w:r>
                  <w:r>
                    <w:rPr>
                      <w:rFonts w:ascii="宋体" w:hAnsi="宋体" w:cs="宋体" w:eastAsia="宋体"/>
                      <w:sz w:val="18"/>
                      <w:color w:val="000000"/>
                    </w:rPr>
                    <w:t>CA125是上皮性卵巢癌、子宫内膜癌、输卵管癌、肺癌等多种癌症的肿瘤标志物。</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28</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胸部</w:t>
                  </w:r>
                  <w:r>
                    <w:rPr>
                      <w:rFonts w:ascii="宋体" w:hAnsi="宋体" w:cs="宋体" w:eastAsia="宋体"/>
                      <w:sz w:val="18"/>
                      <w:color w:val="000000"/>
                    </w:rPr>
                    <w:t>CT</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胸部</w:t>
                  </w:r>
                  <w:r>
                    <w:rPr>
                      <w:rFonts w:ascii="宋体" w:hAnsi="宋体" w:cs="宋体" w:eastAsia="宋体"/>
                      <w:sz w:val="18"/>
                      <w:color w:val="000000"/>
                    </w:rPr>
                    <w:t>CT平扫来检查肺部或者胸部的疾病，比如肺部结节、气胸以及肺部感染</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29</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头颅</w:t>
                  </w:r>
                  <w:r>
                    <w:rPr>
                      <w:rFonts w:ascii="宋体" w:hAnsi="宋体" w:cs="宋体" w:eastAsia="宋体"/>
                      <w:sz w:val="18"/>
                      <w:color w:val="000000"/>
                    </w:rPr>
                    <w:t>CT</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检查肺部或者胸部的疾病，比如肺部结节、气胸以及肺部感染</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30</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DR胸部正位片</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面包、牛奶营养丰富的早餐。</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w:hAnsi="arial" w:cs="arial" w:eastAsia="arial"/>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31</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营养早餐</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包括员工整体健康分析、亚健康状态主要特点、疾病风险预警等。</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32</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体检报告</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宋体" w:hAnsi="宋体" w:cs="宋体" w:eastAsia="宋体"/>
                      <w:sz w:val="18"/>
                      <w:color w:val="000000"/>
                    </w:rPr>
                    <w:t>客服专家面对面为每位员工讲解体检结果，提供健康建议。</w:t>
                  </w: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r>
              <w:tc>
                <w:tcPr>
                  <w:tcW w:type="dxa" w:w="208"/>
                  <w:tcBorders>
                    <w:top w:val="none" w:color="000000" w:sz="4"/>
                    <w:left w:val="single" w:color="000000" w:sz="4"/>
                    <w:bottom w:val="single" w:color="000000" w:sz="4"/>
                    <w:right w:val="single" w:color="000000" w:sz="4"/>
                  </w:tcBorders>
                  <w:shd w:fill="DBDBDB"/>
                  <w:tcMar>
                    <w:top w:type="dxa" w:w="0"/>
                    <w:left w:type="dxa" w:w="120"/>
                    <w:bottom w:type="dxa" w:w="0"/>
                    <w:right w:type="dxa" w:w="120"/>
                  </w:tcMar>
                  <w:vAlign w:val="top"/>
                </w:tcPr>
                <w:p>
                  <w:pPr>
                    <w:pStyle w:val="null3"/>
                    <w:jc w:val="center"/>
                  </w:pPr>
                  <w:r>
                    <w:rPr>
                      <w:rFonts w:ascii="宋体" w:hAnsi="宋体" w:cs="宋体" w:eastAsia="宋体"/>
                      <w:sz w:val="18"/>
                      <w:b/>
                      <w:color w:val="000000"/>
                    </w:rPr>
                    <w:t>33</w:t>
                  </w:r>
                </w:p>
              </w:tc>
              <w:tc>
                <w:tcPr>
                  <w:tcW w:type="dxa" w:w="34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宋体" w:hAnsi="宋体" w:cs="宋体" w:eastAsia="宋体"/>
                      <w:sz w:val="18"/>
                      <w:color w:val="000000"/>
                    </w:rPr>
                    <w:t>咨询</w:t>
                  </w:r>
                  <w:r>
                    <w:rPr>
                      <w:rFonts w:ascii="宋体" w:hAnsi="宋体" w:cs="宋体" w:eastAsia="宋体"/>
                      <w:sz w:val="18"/>
                      <w:color w:val="000000"/>
                    </w:rPr>
                    <w:t>/报告讲解</w:t>
                  </w:r>
                </w:p>
              </w:tc>
              <w:tc>
                <w:tcPr>
                  <w:tcW w:type="dxa" w:w="938"/>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19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01"/>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c>
                <w:tcPr>
                  <w:tcW w:type="dxa" w:w="22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arial, helvetica, sans-serif" w:hAnsi="arial, helvetica, sans-serif" w:cs="arial, helvetica, sans-serif" w:eastAsia="arial, helvetica, sans-serif"/>
                      <w:sz w:val="18"/>
                      <w:color w:val="000000"/>
                    </w:rPr>
                    <w:t>√</w:t>
                  </w:r>
                </w:p>
              </w:tc>
            </w:tr>
          </w:tbl>
          <w:p/>
        </w:tc>
      </w:tr>
    </w:tbl>
    <w:p>
      <w:pPr>
        <w:pStyle w:val="null3"/>
        <w:outlineLvl w:val="2"/>
      </w:pPr>
      <w:r>
        <w:rPr>
          <w:sz w:val="28"/>
          <w:b/>
        </w:rPr>
        <w:t>3.2.3人员配置要求</w:t>
      </w:r>
    </w:p>
    <w:p>
      <w:pPr>
        <w:pStyle w:val="null3"/>
      </w:pPr>
      <w:r>
        <w:rPr/>
        <w:t>采购包1：</w:t>
      </w:r>
    </w:p>
    <w:p>
      <w:pPr>
        <w:pStyle w:val="null3"/>
      </w:pPr>
      <w:r>
        <w:rPr/>
        <w:t>满足本项目需求</w:t>
      </w:r>
    </w:p>
    <w:p>
      <w:pPr>
        <w:pStyle w:val="null3"/>
        <w:outlineLvl w:val="2"/>
      </w:pPr>
      <w:r>
        <w:rPr>
          <w:sz w:val="28"/>
          <w:b/>
        </w:rPr>
        <w:t>3.2.4设施设备要求</w:t>
      </w:r>
    </w:p>
    <w:p>
      <w:pPr>
        <w:pStyle w:val="null3"/>
      </w:pPr>
      <w:r>
        <w:rPr/>
        <w:t>采购包1：</w:t>
      </w:r>
    </w:p>
    <w:p>
      <w:pPr>
        <w:pStyle w:val="null3"/>
      </w:pPr>
      <w:r>
        <w:rPr/>
        <w:t>拟投入本项目硬件医疗配备齐全</w:t>
      </w:r>
    </w:p>
    <w:p>
      <w:pPr>
        <w:pStyle w:val="null3"/>
        <w:outlineLvl w:val="2"/>
      </w:pPr>
      <w:r>
        <w:rPr>
          <w:sz w:val="28"/>
          <w:b/>
        </w:rPr>
        <w:t>3.2.5其他要求</w:t>
      </w:r>
    </w:p>
    <w:p>
      <w:pPr>
        <w:pStyle w:val="null3"/>
      </w:pPr>
      <w:r>
        <w:rPr/>
        <w:t>采购包1：</w:t>
      </w:r>
    </w:p>
    <w:p>
      <w:pPr>
        <w:pStyle w:val="null3"/>
      </w:pPr>
      <w:r>
        <w:rPr/>
        <w:t>1.本次体检项目根据各个年龄段身体状况的不同，除一般内外科常规检查及肝功、透视、心电图外，针对公安行业特点增加部分特例检查项目。 2.针对本项目提供专业化服务方案。 3.及时有效的配合采购人及其他项目负责单位做出的积极、切实可行的服务。</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w:t>
      </w:r>
    </w:p>
    <w:p>
      <w:pPr>
        <w:pStyle w:val="null3"/>
        <w:outlineLvl w:val="3"/>
      </w:pPr>
      <w:r>
        <w:rPr>
          <w:sz w:val="24"/>
          <w:b/>
        </w:rPr>
        <w:t>3.3.2服务地点</w:t>
      </w:r>
    </w:p>
    <w:p>
      <w:pPr>
        <w:pStyle w:val="null3"/>
      </w:pPr>
      <w:r>
        <w:rPr/>
        <w:t>采购包1：</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体检服务行业验收标准。体检项目根据各个年龄段身体状况的不同，除一般内外科常规检查及肝功、透视、心电图外，针对公安行业特点增加部分特例检查项目。</w:t>
      </w:r>
    </w:p>
    <w:p>
      <w:pPr>
        <w:pStyle w:val="null3"/>
        <w:outlineLvl w:val="3"/>
      </w:pPr>
      <w:r>
        <w:rPr>
          <w:sz w:val="24"/>
          <w:b/>
        </w:rPr>
        <w:t>3.3.4支付方式</w:t>
      </w:r>
    </w:p>
    <w:p>
      <w:pPr>
        <w:pStyle w:val="null3"/>
      </w:pPr>
      <w:r>
        <w:rPr/>
        <w:t>采购包1：</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体检完成后，成交供应商向采购人提交完整体检报告后，经采购人验收合格一次性付清全部服务费。付款前，成交供应商应向采购人开具等额增值税发票</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按《中华人民共和国政府采购法》第七十三条、《中华人民共和国民法典》第五百七十七条中的相关条款执行。未按合同或磋商文件要求提供的产品或者服务，质量不能满足采购人技术要求，采购单位有权终止合同，甚至对供应商违约行为进行追究。</w:t>
      </w:r>
    </w:p>
    <w:p>
      <w:pPr>
        <w:pStyle w:val="null3"/>
        <w:outlineLvl w:val="2"/>
      </w:pPr>
      <w:r>
        <w:rPr>
          <w:sz w:val="28"/>
          <w:b/>
        </w:rPr>
        <w:t>3.4其他要求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供应商应为具备卫生行政主管部门批准的三级或以上资质的综合性医院或具有医疗机构执业许可证（诊疗项目中有开展健康体检服务的科目）的体检医疗机构</w:t>
            </w:r>
          </w:p>
        </w:tc>
        <w:tc>
          <w:tcPr>
            <w:tcW w:type="dxa" w:w="1661"/>
          </w:tcPr>
          <w:p>
            <w:pPr>
              <w:pStyle w:val="null3"/>
            </w:pPr>
            <w:r>
              <w:rPr/>
              <w:t>相关承诺书 供应商应提交的相关资格证明材料</w:t>
            </w:r>
          </w:p>
        </w:tc>
      </w:tr>
      <w:tr>
        <w:tc>
          <w:tcPr>
            <w:tcW w:type="dxa" w:w="831"/>
          </w:tcPr>
          <w:p>
            <w:pPr>
              <w:pStyle w:val="null3"/>
            </w:pPr>
            <w:r>
              <w:rPr/>
              <w:t>2</w:t>
            </w:r>
          </w:p>
        </w:tc>
        <w:tc>
          <w:tcPr>
            <w:tcW w:type="dxa" w:w="2492"/>
          </w:tcPr>
          <w:p>
            <w:pPr>
              <w:pStyle w:val="null3"/>
            </w:pPr>
            <w:r>
              <w:rPr/>
              <w:t>供应商具备放射诊疗许可证或辐射安全许可证</w:t>
            </w:r>
          </w:p>
        </w:tc>
        <w:tc>
          <w:tcPr>
            <w:tcW w:type="dxa" w:w="3322"/>
          </w:tcPr>
          <w:p>
            <w:pPr>
              <w:pStyle w:val="null3"/>
            </w:pPr>
            <w:r>
              <w:rPr/>
              <w:t>供应商具备放射诊疗许可证或辐射安全许可证</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供应商应具有独立承担民事责任的能力且具备向采购人提供相关货物及服务的企业法人、事业法人、其他组织</w:t>
            </w:r>
          </w:p>
        </w:tc>
        <w:tc>
          <w:tcPr>
            <w:tcW w:type="dxa" w:w="3322"/>
          </w:tcPr>
          <w:p>
            <w:pPr>
              <w:pStyle w:val="null3"/>
            </w:pPr>
            <w:r>
              <w:rPr/>
              <w:t>企业法人应提供统一社会信用代码的营业执照；事业法人应提供统一社会信用代码的事业单位法人证；其他组织应提供合法证明文件；</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法定代表人授权委托书</w:t>
            </w:r>
          </w:p>
        </w:tc>
        <w:tc>
          <w:tcPr>
            <w:tcW w:type="dxa" w:w="3322"/>
          </w:tcPr>
          <w:p>
            <w:pPr>
              <w:pStyle w:val="null3"/>
            </w:pPr>
            <w:r>
              <w:rPr/>
              <w:t>法定代表人直接参加磋商须提交法定代表人身份证明书及其身份证原件，法定代表人授权代表参加磋商的，须出具授权书及被授权人身份证（原件）；</w:t>
            </w:r>
          </w:p>
        </w:tc>
        <w:tc>
          <w:tcPr>
            <w:tcW w:type="dxa" w:w="1661"/>
          </w:tcPr>
          <w:p>
            <w:pPr>
              <w:pStyle w:val="null3"/>
            </w:pPr>
            <w:r>
              <w:rPr/>
              <w:t>法定代表人身份证明和法定代表人委托书</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提供 2023年度经审计的财务报告（包括三表一注，成立时间至提交磋商响应文件截止时间不足一年的可提供成立后任意时段的资产负债表），或其开标前三个月内基本存款账户开户银行出具的资信证明，或信用担保机构出具的投标担保函、或承诺函。（以上四种形式的资料提供任何一种即可）（依法不需要财务报告的供应商应提供相关文件证明 ）</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供应商须提供磋商截止时间一年内任意1个月的缴税证明（注：依法免税或零申报的供应商应提供相关文件证明；）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供应商须提供磋商截止时间一年内任意1个月的社会保险缴纳证明（注：依法不需要缴纳社会保障资金的供应商应提供相关文件证明；）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专业技术能力</w:t>
            </w:r>
          </w:p>
        </w:tc>
        <w:tc>
          <w:tcPr>
            <w:tcW w:type="dxa" w:w="3322"/>
          </w:tcPr>
          <w:p>
            <w:pPr>
              <w:pStyle w:val="null3"/>
            </w:pPr>
            <w:r>
              <w:rPr/>
              <w:t>供应商须提供具有履行合同所必需的设备和专业技术能力的承诺函(加盖供应商公章)</w:t>
            </w:r>
          </w:p>
        </w:tc>
        <w:tc>
          <w:tcPr>
            <w:tcW w:type="dxa" w:w="1661"/>
          </w:tcPr>
          <w:p>
            <w:pPr>
              <w:pStyle w:val="null3"/>
            </w:pPr>
            <w:r>
              <w:rPr/>
              <w:t>相关承诺书 供应商应提交的相关资格证明材料</w:t>
            </w:r>
          </w:p>
        </w:tc>
      </w:tr>
      <w:tr>
        <w:tc>
          <w:tcPr>
            <w:tcW w:type="dxa" w:w="831"/>
          </w:tcPr>
          <w:p>
            <w:pPr>
              <w:pStyle w:val="null3"/>
            </w:pPr>
            <w:r>
              <w:rPr/>
              <w:t>9</w:t>
            </w:r>
          </w:p>
        </w:tc>
        <w:tc>
          <w:tcPr>
            <w:tcW w:type="dxa" w:w="2492"/>
          </w:tcPr>
          <w:p>
            <w:pPr>
              <w:pStyle w:val="null3"/>
            </w:pPr>
            <w:r>
              <w:rPr/>
              <w:t>企业声明</w:t>
            </w:r>
          </w:p>
        </w:tc>
        <w:tc>
          <w:tcPr>
            <w:tcW w:type="dxa" w:w="3322"/>
          </w:tcPr>
          <w:p>
            <w:pPr>
              <w:pStyle w:val="null3"/>
            </w:pPr>
            <w:r>
              <w:rPr/>
              <w:t>供应商应具备良好的商业信誉，提供参加政府采购活动前3年内在经营活动中没有重大违法记录的书面声明（原件加盖供应商公章）</w:t>
            </w:r>
          </w:p>
        </w:tc>
        <w:tc>
          <w:tcPr>
            <w:tcW w:type="dxa" w:w="1661"/>
          </w:tcPr>
          <w:p>
            <w:pPr>
              <w:pStyle w:val="null3"/>
            </w:pPr>
            <w:r>
              <w:rPr/>
              <w:t>相关承诺书 供应商应提交的相关资格证明材料</w:t>
            </w:r>
          </w:p>
        </w:tc>
      </w:tr>
      <w:tr>
        <w:tc>
          <w:tcPr>
            <w:tcW w:type="dxa" w:w="831"/>
          </w:tcPr>
          <w:p>
            <w:pPr>
              <w:pStyle w:val="null3"/>
            </w:pPr>
            <w:r>
              <w:rPr/>
              <w:t>10</w:t>
            </w:r>
          </w:p>
        </w:tc>
        <w:tc>
          <w:tcPr>
            <w:tcW w:type="dxa" w:w="2492"/>
          </w:tcPr>
          <w:p>
            <w:pPr>
              <w:pStyle w:val="null3"/>
            </w:pPr>
            <w:r>
              <w:rPr/>
              <w:t>信用中国</w:t>
            </w:r>
          </w:p>
        </w:tc>
        <w:tc>
          <w:tcPr>
            <w:tcW w:type="dxa" w:w="3322"/>
          </w:tcPr>
          <w:p>
            <w:pPr>
              <w:pStyle w:val="null3"/>
            </w:pPr>
            <w:r>
              <w:rPr/>
              <w:t>未在“信用中国”网站（www.creditchina.gov.cn）和“中国政府采购网”（ccgp.gov.cn）列入失信被执行人、重大税收违法案件当事人名单、政府采购严重违法失信行为记录名单。（代理开标现场查询）</w:t>
            </w:r>
          </w:p>
        </w:tc>
        <w:tc>
          <w:tcPr>
            <w:tcW w:type="dxa" w:w="1661"/>
          </w:tcPr>
          <w:p>
            <w:pPr>
              <w:pStyle w:val="null3"/>
            </w:pPr>
            <w:r>
              <w:rPr/>
              <w:t>相关承诺书 响应函</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提供非联合体承诺书</w:t>
            </w:r>
          </w:p>
        </w:tc>
        <w:tc>
          <w:tcPr>
            <w:tcW w:type="dxa" w:w="1661"/>
          </w:tcPr>
          <w:p>
            <w:pPr>
              <w:pStyle w:val="null3"/>
            </w:pPr>
            <w:r>
              <w:rPr/>
              <w:t>相关承诺书</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签章或盖章</w:t>
            </w:r>
          </w:p>
        </w:tc>
        <w:tc>
          <w:tcPr>
            <w:tcW w:type="dxa" w:w="3322"/>
          </w:tcPr>
          <w:p>
            <w:pPr>
              <w:pStyle w:val="null3"/>
            </w:pPr>
            <w:r>
              <w:rPr/>
              <w:t>签章或盖章符合竞争性磋商文件要求，且无遗漏。</w:t>
            </w:r>
          </w:p>
        </w:tc>
        <w:tc>
          <w:tcPr>
            <w:tcW w:type="dxa" w:w="1661"/>
          </w:tcPr>
          <w:p>
            <w:pPr>
              <w:pStyle w:val="null3"/>
            </w:pPr>
            <w:r>
              <w:rPr/>
              <w:t>服务内容及服务邀请应答表 中小企业声明函 法定代表人身份证明和法定代表人委托书 商务应答表 供应商应提交的相关资格证明材料 报价表 响应文件封面 相关承诺书 残疾人福利性单位声明函 服务方案 标的清单 响应函 监狱企业的证明文件</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应满足磋商文件中要求的服务期</w:t>
            </w:r>
          </w:p>
        </w:tc>
        <w:tc>
          <w:tcPr>
            <w:tcW w:type="dxa" w:w="1661"/>
          </w:tcPr>
          <w:p>
            <w:pPr>
              <w:pStyle w:val="null3"/>
            </w:pPr>
            <w:r>
              <w:rPr/>
              <w:t>响应文件封面 服务内容及服务邀请应答表 商务应答表 响应函</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符合竞争性磋商文件的要求。</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投标报价</w:t>
            </w:r>
          </w:p>
        </w:tc>
        <w:tc>
          <w:tcPr>
            <w:tcW w:type="dxa" w:w="3322"/>
          </w:tcPr>
          <w:p>
            <w:pPr>
              <w:pStyle w:val="null3"/>
            </w:pPr>
            <w:r>
              <w:rPr/>
              <w:t>同时满足以下条款： （1）货币单位符合竞争性磋商文件要求 （2）报价符合唯一性要求 （3）未超出采购预算或最高限价。</w:t>
            </w:r>
          </w:p>
        </w:tc>
        <w:tc>
          <w:tcPr>
            <w:tcW w:type="dxa" w:w="1661"/>
          </w:tcPr>
          <w:p>
            <w:pPr>
              <w:pStyle w:val="null3"/>
            </w:pPr>
            <w:r>
              <w:rPr/>
              <w:t>商务应答表 标的清单 报价表</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投标文件中对合同草案条款未附加采购人难以接受的条件</w:t>
            </w:r>
          </w:p>
        </w:tc>
        <w:tc>
          <w:tcPr>
            <w:tcW w:type="dxa" w:w="1661"/>
          </w:tcPr>
          <w:p>
            <w:pPr>
              <w:pStyle w:val="null3"/>
            </w:pPr>
            <w:r>
              <w:rPr/>
              <w:t>响应文件封面 服务内容及服务邀请应答表 商务应答表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组织机构设置</w:t>
            </w:r>
          </w:p>
        </w:tc>
        <w:tc>
          <w:tcPr>
            <w:tcW w:type="dxa" w:w="2492"/>
          </w:tcPr>
          <w:p>
            <w:pPr>
              <w:pStyle w:val="null3"/>
            </w:pPr>
            <w:r>
              <w:rPr/>
              <w:t>1.组织机构设置合理，涵盖本项目全部所需全部科室7-10分； 2.组织机构设置较为合理，基本涵盖本项目所需科室4-7分； 3.组织机构设置较为合理，但未能涵盖本项目所需全部科室1-4分。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拟投入本项目硬件医 疗配备（提供硬件医 疗设备情况及相关证 明材料）</w:t>
            </w:r>
          </w:p>
        </w:tc>
        <w:tc>
          <w:tcPr>
            <w:tcW w:type="dxa" w:w="2492"/>
          </w:tcPr>
          <w:p>
            <w:pPr>
              <w:pStyle w:val="null3"/>
            </w:pPr>
            <w:r>
              <w:rPr/>
              <w:t>1.硬件配备齐全，设备先进得7-10分； 2.硬件配备齐全，设备较为先进得4-7分； 3.硬件配备较为齐全，设备较为先进得1-4分。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针对本项目的专业化 服务方案</w:t>
            </w:r>
          </w:p>
        </w:tc>
        <w:tc>
          <w:tcPr>
            <w:tcW w:type="dxa" w:w="2492"/>
          </w:tcPr>
          <w:p>
            <w:pPr>
              <w:pStyle w:val="null3"/>
            </w:pPr>
            <w:r>
              <w:rPr/>
              <w:t>1.方案考虑全面，不漏项，专业性、针对性、系统性强，操作可行得10-15分； 2.方案考虑较为全面，基本不漏项，专业性、针对性、系统性较强，操作可行性较强得7-10分； 3.方案考虑不够周全，基本不漏项，有一定的专业性、针对性、系统性，有一定的操作可行性得1-7分。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保密方案（提供体检 过程中个人隐私信息 保密方案）</w:t>
            </w:r>
          </w:p>
        </w:tc>
        <w:tc>
          <w:tcPr>
            <w:tcW w:type="dxa" w:w="2492"/>
          </w:tcPr>
          <w:p>
            <w:pPr>
              <w:pStyle w:val="null3"/>
            </w:pPr>
            <w:r>
              <w:rPr/>
              <w:t>1.方案详细完整，针对性、可操作性强得7-10分； 2.方案较为详细，针对性、可操作性较强得4-7分； 3.方案偏简单，针对性、可操作性一般得1-4分。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进度安排及计划</w:t>
            </w:r>
          </w:p>
        </w:tc>
        <w:tc>
          <w:tcPr>
            <w:tcW w:type="dxa" w:w="2492"/>
          </w:tcPr>
          <w:p>
            <w:pPr>
              <w:pStyle w:val="null3"/>
            </w:pPr>
            <w:r>
              <w:rPr/>
              <w:t>1.进度安排合理、进度计划详细、可操作性强，能在规定的时间完成全部体检工作得7-10分； 2.进度安排较为合理、进度计划可行，能在规定的时间完成全部体检工作得：4-7分； 3.进度安排合理性一般、进度计划比较简单得1-4分。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体检接送及体检餐配 备计划</w:t>
            </w:r>
          </w:p>
        </w:tc>
        <w:tc>
          <w:tcPr>
            <w:tcW w:type="dxa" w:w="2492"/>
          </w:tcPr>
          <w:p>
            <w:pPr>
              <w:pStyle w:val="null3"/>
            </w:pPr>
            <w:r>
              <w:rPr/>
              <w:t>1.接送车辆安排合理、时效性强及体检餐配备完整得3-5分； 2.时效性一般、体检餐配备较差得1-3分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服务承诺</w:t>
            </w:r>
          </w:p>
        </w:tc>
        <w:tc>
          <w:tcPr>
            <w:tcW w:type="dxa" w:w="2492"/>
          </w:tcPr>
          <w:p>
            <w:pPr>
              <w:pStyle w:val="null3"/>
            </w:pPr>
            <w:r>
              <w:rPr/>
              <w:t>及时有效的配合采购人及其他项目负责单位做出的积极、切实可行的服务承诺进行综合评分: 1.完整合理、可行性强，完全满足并优于磋商文件要求，得10-15分； 2.完整、基本满足磋商文件要求，得7-10分； 3.部分满足得1-7分。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后期跟踪服务</w:t>
            </w:r>
          </w:p>
        </w:tc>
        <w:tc>
          <w:tcPr>
            <w:tcW w:type="dxa" w:w="2492"/>
          </w:tcPr>
          <w:p>
            <w:pPr>
              <w:pStyle w:val="null3"/>
            </w:pPr>
            <w:r>
              <w:rPr/>
              <w:t>供应商须提供针对本项目的后期跟踪服务1.后期跟踪服务及时，为需进一步检查者可提供便利服务的。内容详细全面、架构完整、层次清楚、完善可行的计3-5分；2.后期跟踪服务及时性一般，为需进一步检查者提供的服务便利性不强的。方案内容描述不详细的计0-3分。3.未提供本项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2020年12月1日至今，以合同签订日期为准，类似项目业绩（以合同复印件加盖公章为准）每个有效业绩得2分，满分共计10分。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满足磋商文件要求且最终报价最低的供应商的价格为磋商基准价，其价格得分为满分。其他供应商的价格得分统一按照下列公式计算：磋商报价得分=（磋商基准价/最终磋商报价）×价格权值（10%） ×100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20.0000%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详见附件：相关承诺书</w:t>
      </w:r>
    </w:p>
    <w:p>
      <w:pPr>
        <w:pStyle w:val="null3"/>
        <w:ind w:firstLine="960"/>
      </w:pPr>
      <w:r>
        <w:rPr/>
        <w:t>详见附件：法定代表人身份证明和法定代表人委托书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