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蓝田县县城建设三年行动计划实施方案</w:t>
      </w:r>
    </w:p>
    <w:p>
      <w:pPr>
        <w:pStyle w:val="null3"/>
        <w:jc w:val="center"/>
        <w:outlineLvl w:val="2"/>
      </w:pPr>
      <w:r>
        <w:rPr>
          <w:b/>
          <w:sz w:val="28"/>
        </w:rPr>
        <w:t>采购项目编号：</w:t>
      </w:r>
      <w:r>
        <w:rPr>
          <w:b/>
          <w:sz w:val="28"/>
        </w:rPr>
        <w:t>SXJTZB-ZC-CS20240219</w:t>
      </w:r>
      <w:r>
        <w:br/>
      </w:r>
      <w:r>
        <w:br/>
      </w:r>
      <w:r>
        <w:br/>
      </w:r>
    </w:p>
    <w:p>
      <w:pPr>
        <w:pStyle w:val="null3"/>
        <w:jc w:val="center"/>
        <w:outlineLvl w:val="2"/>
      </w:pPr>
      <w:r>
        <w:rPr>
          <w:b/>
          <w:sz w:val="28"/>
        </w:rPr>
        <w:t>西安市蓝田县住房和城乡建设局（本级）</w:t>
      </w:r>
    </w:p>
    <w:p>
      <w:pPr>
        <w:pStyle w:val="null3"/>
        <w:jc w:val="center"/>
        <w:outlineLvl w:val="2"/>
      </w:pPr>
      <w:r>
        <w:rPr>
          <w:b/>
          <w:sz w:val="28"/>
        </w:rPr>
        <w:t>陕西嘉唐建设项目管理有限公司</w:t>
      </w:r>
      <w:r>
        <w:rPr>
          <w:b/>
          <w:sz w:val="28"/>
        </w:rPr>
        <w:t>共同编制</w:t>
      </w:r>
    </w:p>
    <w:p>
      <w:pPr>
        <w:pStyle w:val="null3"/>
        <w:jc w:val="center"/>
        <w:outlineLvl w:val="2"/>
      </w:pPr>
      <w:r>
        <w:rPr>
          <w:b/>
          <w:sz w:val="28"/>
        </w:rPr>
        <w:t>2024年02月29日</w:t>
      </w:r>
    </w:p>
    <w:p>
      <w:pPr>
        <w:pStyle w:val="null3"/>
      </w:pPr>
      <w:r>
        <w:rPr/>
        <w:t xml:space="preserve"> </w:t>
      </w:r>
    </w:p>
    <w:p>
      <w:pPr>
        <w:pStyle w:val="null3"/>
        <w:jc w:val="center"/>
        <w:outlineLvl w:val="1"/>
      </w:pPr>
      <w:r>
        <w:rPr>
          <w:b/>
          <w:sz w:val="36"/>
        </w:rPr>
        <w:t>第一章 竞争性磋商邀请</w:t>
      </w:r>
    </w:p>
    <w:p>
      <w:pPr>
        <w:pStyle w:val="null3"/>
        <w:ind w:firstLine="480"/>
      </w:pPr>
      <w:r>
        <w:rPr/>
        <w:t>陕西嘉唐建设项目管理有限公司</w:t>
      </w:r>
      <w:r>
        <w:rPr/>
        <w:t>（以下简称“代理机构”）受</w:t>
      </w:r>
      <w:r>
        <w:rPr/>
        <w:t>西安市蓝田县住房和城乡建设局（本级）</w:t>
      </w:r>
      <w:r>
        <w:rPr/>
        <w:t>委托，拟对</w:t>
      </w:r>
      <w:r>
        <w:rPr/>
        <w:t>蓝田县县城建设三年行动计划实施方案</w:t>
      </w:r>
      <w:r>
        <w:rPr/>
        <w:t>采用竞争性磋商采购方式进行采购，兹邀请供应商参加本项目的竞争性磋商。</w:t>
      </w:r>
    </w:p>
    <w:p>
      <w:pPr>
        <w:pStyle w:val="null3"/>
        <w:outlineLvl w:val="2"/>
      </w:pPr>
      <w:r>
        <w:rPr>
          <w:b/>
          <w:sz w:val="28"/>
        </w:rPr>
        <w:t>一、项目编号：</w:t>
      </w:r>
      <w:r>
        <w:rPr>
          <w:b/>
          <w:sz w:val="28"/>
        </w:rPr>
        <w:t>SXJTZB-ZC-CS20240219</w:t>
      </w:r>
    </w:p>
    <w:p>
      <w:pPr>
        <w:pStyle w:val="null3"/>
        <w:outlineLvl w:val="2"/>
      </w:pPr>
      <w:r>
        <w:rPr>
          <w:b/>
          <w:sz w:val="28"/>
        </w:rPr>
        <w:t>二、项目名称：</w:t>
      </w:r>
      <w:r>
        <w:rPr>
          <w:b/>
          <w:sz w:val="28"/>
        </w:rPr>
        <w:t>蓝田县县城建设三年行动计划实施方案</w:t>
      </w:r>
    </w:p>
    <w:p>
      <w:pPr>
        <w:pStyle w:val="null3"/>
        <w:outlineLvl w:val="2"/>
      </w:pPr>
      <w:r>
        <w:rPr>
          <w:b/>
          <w:sz w:val="28"/>
        </w:rPr>
        <w:t>三、磋商项目简介</w:t>
      </w:r>
    </w:p>
    <w:p>
      <w:pPr>
        <w:pStyle w:val="null3"/>
        <w:ind w:firstLine="480"/>
      </w:pPr>
      <w:r>
        <w:rPr/>
        <w:t>应认真分析蓝田县城建设现状，依据蓝田县城发展定位，做好统筹近期蓝田县城建设需求，结合实际合理确定建设目标、内容、方法、路径，形成县城建设项目库；做好积极推进县城基础设施生命线安全工程，通过数字化等手段，及早发现和管控风险隐患，切实提高城市安全保障能力、维护人民生命财产安全；做好识别县城建设重点片区，做好片区建设项目衔接，坚持急用先行，有重点、分步骤推进，理顺项目施工秩序，明确项目分布、年度计划、建设进度要求；应提出保障县城建设行动计划有效实施的组织领导、资金筹措、项目管理、考核评估、宣传引导等方面政策措施。</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采购包1（蓝田县县城建设三年行动计划实施方案）：属于专门面向中小企业采购。</w:t>
      </w:r>
    </w:p>
    <w:p>
      <w:pPr>
        <w:pStyle w:val="null3"/>
        <w:ind w:firstLine="480"/>
      </w:pPr>
      <w:r>
        <w:rPr/>
        <w:t>（三）本项目的特定资格要求：</w:t>
      </w:r>
    </w:p>
    <w:p>
      <w:pPr>
        <w:pStyle w:val="null3"/>
      </w:pPr>
      <w:r>
        <w:rPr/>
        <w:t>采购包1：</w:t>
      </w:r>
    </w:p>
    <w:p>
      <w:pPr>
        <w:pStyle w:val="null3"/>
      </w:pPr>
      <w:r>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t>2、财务状况报告：提供经审计的2022年财务报告，包括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t>3、税收缴纳证明：提供已缴纳的2023年度2月份至今任意一个月的纳税证明或完税证明，纳税证明或完税证明上应有代收机构或税务机关的公章或业务专用章。依法免税的供应商应提供相关文件证明；</w:t>
      </w:r>
    </w:p>
    <w:p>
      <w:pPr>
        <w:pStyle w:val="null3"/>
      </w:pPr>
      <w:r>
        <w:rPr/>
        <w:t>4、具有履行合同所必需的设备和专业技术能力的承诺：供应商须提供具有履行合同所必需的设备和专业技术能力的承诺；</w:t>
      </w:r>
    </w:p>
    <w:p>
      <w:pPr>
        <w:pStyle w:val="null3"/>
      </w:pPr>
      <w:r>
        <w:rPr/>
        <w:t>5、社会保障资金缴纳证明：提供已缴存的2023年度2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t>6、三年内无重大违法记录声明：出具参加本次政府采购活动前三年内在经营活动中没有重大违法记录的书面声明；</w:t>
      </w:r>
    </w:p>
    <w:p>
      <w:pPr>
        <w:pStyle w:val="null3"/>
      </w:pPr>
      <w:r>
        <w:rPr/>
        <w:t>7、法定代表人授权委托书：法定代表人授权委托书（附法定代表人身份证复印件）及被授权人身份证（法定代表人直接参加磋商只需提供法定代表人身份证）。自然人只需提供身份证；备注：分支机构由分支机构负责人授权即可；</w:t>
      </w:r>
    </w:p>
    <w:p>
      <w:pPr>
        <w:pStyle w:val="null3"/>
      </w:pPr>
      <w:r>
        <w:rPr/>
        <w:t>8、供应商资质要求：供应商须具备国家行政主管部门核发的有效的城乡规划编制乙级及以上资质；</w:t>
      </w:r>
    </w:p>
    <w:p>
      <w:pPr>
        <w:pStyle w:val="null3"/>
      </w:pPr>
      <w:r>
        <w:rPr/>
        <w:t>9、本项目不接受联合体磋商：本项目不接受联合体磋商（提供书面声明材料）。</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西安市蓝田县住房和城乡建设局（本级）</w:t>
      </w:r>
    </w:p>
    <w:p>
      <w:pPr>
        <w:pStyle w:val="null3"/>
      </w:pPr>
      <w:r>
        <w:rPr/>
        <w:t xml:space="preserve"> 地址： </w:t>
      </w:r>
      <w:r>
        <w:rPr/>
        <w:t>蓝田县县城北街26号</w:t>
      </w:r>
    </w:p>
    <w:p>
      <w:pPr>
        <w:pStyle w:val="null3"/>
      </w:pPr>
      <w:r>
        <w:rPr/>
        <w:t xml:space="preserve"> 邮编： </w:t>
      </w:r>
      <w:r>
        <w:rPr/>
        <w:t>710000</w:t>
      </w:r>
    </w:p>
    <w:p>
      <w:pPr>
        <w:pStyle w:val="null3"/>
      </w:pPr>
      <w:r>
        <w:rPr/>
        <w:t xml:space="preserve"> 联系人： </w:t>
      </w:r>
      <w:r>
        <w:rPr/>
        <w:t>赫兆琦</w:t>
      </w:r>
    </w:p>
    <w:p>
      <w:pPr>
        <w:pStyle w:val="null3"/>
      </w:pPr>
      <w:r>
        <w:rPr/>
        <w:t xml:space="preserve"> 联系电话： </w:t>
      </w:r>
      <w:r>
        <w:rPr/>
        <w:t>13468710206</w:t>
      </w:r>
    </w:p>
    <w:p>
      <w:pPr>
        <w:pStyle w:val="null3"/>
        <w:outlineLvl w:val="3"/>
      </w:pPr>
      <w:r>
        <w:rPr>
          <w:b/>
          <w:sz w:val="24"/>
        </w:rPr>
        <w:t>代理机构：</w:t>
      </w:r>
      <w:r>
        <w:rPr>
          <w:b/>
          <w:sz w:val="24"/>
        </w:rPr>
        <w:t>陕西嘉唐建设项目管理有限公司</w:t>
      </w:r>
    </w:p>
    <w:p>
      <w:pPr>
        <w:pStyle w:val="null3"/>
      </w:pPr>
      <w:r>
        <w:rPr/>
        <w:t xml:space="preserve"> 地址： </w:t>
      </w:r>
      <w:r>
        <w:rPr/>
        <w:t>西安市未央区凤城五路与明光路十字天朗经开中心10楼11002室</w:t>
      </w:r>
    </w:p>
    <w:p>
      <w:pPr>
        <w:pStyle w:val="null3"/>
      </w:pPr>
      <w:r>
        <w:rPr/>
        <w:t xml:space="preserve"> 邮编： </w:t>
      </w:r>
      <w:r>
        <w:rPr/>
        <w:t>710000</w:t>
      </w:r>
    </w:p>
    <w:p>
      <w:pPr>
        <w:pStyle w:val="null3"/>
      </w:pPr>
      <w:r>
        <w:rPr/>
        <w:t xml:space="preserve"> 联系人： </w:t>
      </w:r>
      <w:r>
        <w:rPr/>
        <w:t>王梦娜</w:t>
      </w:r>
    </w:p>
    <w:p>
      <w:pPr>
        <w:pStyle w:val="null3"/>
      </w:pPr>
      <w:r>
        <w:rPr/>
        <w:t xml:space="preserve"> 联系电话： </w:t>
      </w:r>
      <w:r>
        <w:rPr/>
        <w:t>029-89351397</w:t>
      </w:r>
    </w:p>
    <w:p>
      <w:pPr>
        <w:pStyle w:val="null3"/>
        <w:outlineLvl w:val="3"/>
      </w:pPr>
      <w:r>
        <w:rPr>
          <w:b/>
          <w:sz w:val="24"/>
        </w:rPr>
        <w:t>采购监督机构：</w:t>
      </w:r>
      <w:r>
        <w:rPr>
          <w:b/>
          <w:sz w:val="24"/>
        </w:rPr>
        <w:t>蓝田县政府采购管理股</w:t>
      </w:r>
    </w:p>
    <w:p>
      <w:pPr>
        <w:pStyle w:val="null3"/>
        <w:ind w:firstLine="480"/>
      </w:pPr>
      <w:r>
        <w:rPr/>
        <w:t>联系人：</w:t>
      </w:r>
      <w:r>
        <w:rPr/>
        <w:t>徐 涛</w:t>
      </w:r>
    </w:p>
    <w:p>
      <w:pPr>
        <w:pStyle w:val="null3"/>
        <w:ind w:firstLine="480"/>
      </w:pPr>
      <w:r>
        <w:rPr/>
        <w:t>联系电话：</w:t>
      </w:r>
      <w:r>
        <w:rPr/>
        <w:t>82721045</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代理服务费收费标准：（一）成交供应商在领取成交通知书前，须向采购代理机构支付成交服务费； （二）招标代理服务费的计算方法：定额收取壹万元整。 （三）成交服务费可以采取现金、支票、银行汇票、电汇、网银等方式缴纳。 （四）成交供应商服务费交纳信息： 银行户名：陕西嘉唐建设项目管理有限公司 开户银行：西安银行股份有限公司含光门支行账 号：112011580000141313 联 系 人：王工 联系电话：029-89351397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西安市蓝田县住房和城乡建设局（本级）</w:t>
      </w:r>
      <w:r>
        <w:rPr/>
        <w:t>和</w:t>
      </w:r>
      <w:r>
        <w:rPr/>
        <w:t>陕西嘉唐建设项目管理有限公司</w:t>
      </w:r>
      <w:r>
        <w:rPr/>
        <w:t>享有。对磋商文件中供应商参加本次政府采购活动应当具备的条件，磋商项目技术、服务、商务及其他要求，评审细则及标准由</w:t>
      </w:r>
      <w:r>
        <w:rPr/>
        <w:t>西安市蓝田县住房和城乡建设局（本级）</w:t>
      </w:r>
      <w:r>
        <w:rPr/>
        <w:t>负责解释。除上述磋商文件内容，其他内容由</w:t>
      </w:r>
      <w:r>
        <w:rPr/>
        <w:t>陕西嘉唐建设项目管理有限公司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西安市蓝田县住房和城乡建设局（本级）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陕西嘉唐建设项目管理有限公司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符合国家、行业标准、地方标准规定的验收标准。验收应以采购合同、采购文件及其补充文件、国家或行业相关标准为验收的主要依据。</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陕西嘉唐建设项目管理有限公司</w:t>
      </w:r>
      <w:r>
        <w:rPr/>
        <w:t xml:space="preserve"> 负责答复；供应商对除采购需求外的采购文件的询问、质疑由</w:t>
      </w:r>
      <w:r>
        <w:rPr/>
        <w:t>陕西嘉唐建设项目管理有限公司</w:t>
      </w:r>
      <w:r>
        <w:rPr/>
        <w:t xml:space="preserve"> 负责答复；供应商对采购过程、采购结果的询问、质疑由 </w:t>
      </w:r>
      <w:r>
        <w:rPr/>
        <w:t>陕西嘉唐建设项目管理有限公司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联系人：王梦娜</w:t>
      </w:r>
    </w:p>
    <w:p>
      <w:pPr>
        <w:pStyle w:val="null3"/>
      </w:pPr>
      <w:r>
        <w:rPr/>
        <w:t>联系电话：029-89351397</w:t>
      </w:r>
    </w:p>
    <w:p>
      <w:pPr>
        <w:pStyle w:val="null3"/>
      </w:pPr>
      <w:r>
        <w:rPr/>
        <w:t>地址：西安市未央区凤城五路与明光路十字天朗经开中心10楼11002室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应认真分析蓝田县城建设现状，依据蓝田县城发展定位，做好统筹近期蓝田县城建设需求，结合实际合理确定建设目标、内容、方法、路径，形成县城建设项目库；做好积极推进县城基础设施生命线安全工程，通过数字化等手段，及早发现和管控风险隐患，切实提高城市安全保障能力、维护人民生命财产安全；做好识别县城建设重点片区，做好片区建设项目衔接，坚持急用先行，有重点、分步骤推进，理顺项目施工秩序，明确项目分布、年度计划、建设进度要求；应提出保障县城建设行动计划有效实施的组织领导、资金筹措、项目管理、考核评估、宣传引导等方面政策措施。</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蓝田县县城建设三年行动计划实施方案</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标的名称：蓝田县县城建设三年行动计划实施方案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left"/>
            </w:pPr>
            <w:r>
              <w:rPr>
                <w:rFonts w:ascii="宋体" w:hAnsi="宋体" w:cs="宋体" w:eastAsia="宋体"/>
                <w:b/>
                <w:sz w:val="24"/>
              </w:rPr>
              <w:t>一、</w:t>
            </w:r>
            <w:r>
              <w:rPr>
                <w:rFonts w:ascii="宋体" w:hAnsi="宋体" w:cs="宋体" w:eastAsia="宋体"/>
                <w:b/>
                <w:sz w:val="24"/>
              </w:rPr>
              <w:t>项目概况</w:t>
            </w:r>
          </w:p>
          <w:p>
            <w:pPr>
              <w:pStyle w:val="null3"/>
              <w:ind w:firstLine="480"/>
              <w:jc w:val="both"/>
            </w:pPr>
            <w:r>
              <w:rPr>
                <w:rFonts w:ascii="宋体" w:hAnsi="宋体" w:cs="宋体" w:eastAsia="宋体"/>
                <w:sz w:val="24"/>
              </w:rPr>
              <w:t>应认真分析蓝田县城建设现状，依据蓝田县城发展定位，做好统筹近期蓝田县城建设需求，结合实际合理确定建设目标、内容、方法、路径，形成县城建设项目库；做好积极推进县城基础设施生命线安全工程，通过数字化等手段，及早发现和管控风险隐患，切实提高城市安全保障能力、维护人民生命财产安全；做好识别县城建设重点片区，做好片区建设项目衔接，坚持急用先行，有重点、分步骤推进，理顺项目施工秩序，明确项目分布、年度计划、建设进度要求；应提出保障县城建设行动计划有效实施的组织领导、资金筹措、项目管理、考核评估、宣传引导等方面政策措施。</w:t>
            </w:r>
          </w:p>
          <w:p>
            <w:pPr>
              <w:pStyle w:val="null3"/>
              <w:ind w:firstLine="482"/>
              <w:jc w:val="left"/>
            </w:pPr>
            <w:r>
              <w:rPr>
                <w:rFonts w:ascii="宋体" w:hAnsi="宋体" w:cs="宋体" w:eastAsia="宋体"/>
                <w:b/>
                <w:sz w:val="24"/>
              </w:rPr>
              <w:t>二、编制目的</w:t>
            </w:r>
          </w:p>
          <w:p>
            <w:pPr>
              <w:pStyle w:val="null3"/>
              <w:ind w:firstLine="480"/>
              <w:jc w:val="both"/>
            </w:pPr>
            <w:r>
              <w:rPr>
                <w:rFonts w:ascii="宋体" w:hAnsi="宋体" w:cs="宋体" w:eastAsia="宋体"/>
                <w:sz w:val="24"/>
              </w:rPr>
              <w:t>深入贯彻落实总书记关于建立城市体检评估机制的重要指示精神，认真分析县城建设短板弱项，依据县城发展定位和市政公用事业、市政基础设施等专项规划，组织编制县城建设行动计划，将其作为县城建设示范县评定和县域经济高质量发展专项资金申报的重要参考和评价指标。</w:t>
            </w:r>
          </w:p>
          <w:p>
            <w:pPr>
              <w:pStyle w:val="null3"/>
              <w:ind w:firstLine="482"/>
              <w:jc w:val="left"/>
            </w:pPr>
            <w:r>
              <w:rPr>
                <w:rFonts w:ascii="宋体" w:hAnsi="宋体" w:cs="宋体" w:eastAsia="宋体"/>
                <w:b/>
                <w:sz w:val="24"/>
              </w:rPr>
              <w:t>三、项目范围及期限</w:t>
            </w:r>
          </w:p>
          <w:p>
            <w:pPr>
              <w:pStyle w:val="null3"/>
              <w:ind w:firstLine="480"/>
              <w:jc w:val="both"/>
            </w:pPr>
            <w:r>
              <w:rPr>
                <w:rFonts w:ascii="宋体" w:hAnsi="宋体" w:cs="宋体" w:eastAsia="宋体"/>
                <w:sz w:val="24"/>
              </w:rPr>
              <w:t>蓝田县中心城区范围，规划期限为未来</w:t>
            </w:r>
            <w:r>
              <w:rPr>
                <w:rFonts w:ascii="宋体" w:hAnsi="宋体" w:cs="宋体" w:eastAsia="宋体"/>
                <w:sz w:val="24"/>
              </w:rPr>
              <w:t>3-5年。</w:t>
            </w:r>
          </w:p>
          <w:p>
            <w:pPr>
              <w:pStyle w:val="null3"/>
              <w:ind w:firstLine="482"/>
              <w:jc w:val="left"/>
            </w:pPr>
            <w:r>
              <w:rPr>
                <w:rFonts w:ascii="宋体" w:hAnsi="宋体" w:cs="宋体" w:eastAsia="宋体"/>
                <w:b/>
                <w:sz w:val="24"/>
              </w:rPr>
              <w:t>四、项目内容要求</w:t>
            </w:r>
          </w:p>
          <w:p>
            <w:pPr>
              <w:pStyle w:val="null3"/>
              <w:ind w:firstLine="480"/>
              <w:jc w:val="both"/>
            </w:pPr>
            <w:r>
              <w:rPr>
                <w:rFonts w:ascii="宋体" w:hAnsi="宋体" w:cs="宋体" w:eastAsia="宋体"/>
                <w:sz w:val="24"/>
              </w:rPr>
              <w:t>（</w:t>
            </w:r>
            <w:r>
              <w:rPr>
                <w:rFonts w:ascii="宋体" w:hAnsi="宋体" w:cs="宋体" w:eastAsia="宋体"/>
                <w:sz w:val="24"/>
              </w:rPr>
              <w:t>1）县城建设现状及需求分析</w:t>
            </w:r>
          </w:p>
          <w:p>
            <w:pPr>
              <w:pStyle w:val="null3"/>
              <w:ind w:firstLine="480"/>
              <w:jc w:val="both"/>
            </w:pPr>
            <w:r>
              <w:rPr>
                <w:rFonts w:ascii="宋体" w:hAnsi="宋体" w:cs="宋体" w:eastAsia="宋体"/>
                <w:sz w:val="24"/>
              </w:rPr>
              <w:t>1）基本条件分析：主要分析蓝田县城区位交通、人口规模、建成区规模、人口分布及发展趋势、资源条件、各类设施基础条件等基本概况。</w:t>
            </w:r>
          </w:p>
          <w:p>
            <w:pPr>
              <w:pStyle w:val="null3"/>
              <w:ind w:firstLine="480"/>
              <w:jc w:val="both"/>
            </w:pPr>
            <w:r>
              <w:rPr>
                <w:rFonts w:ascii="宋体" w:hAnsi="宋体" w:cs="宋体" w:eastAsia="宋体"/>
                <w:sz w:val="24"/>
              </w:rPr>
              <w:t>2）短板弱项分析：深入贯彻总书记关于建立城市体检评估机制的重要指示精神，对照《陕西省推进县城建设补短板提品质实施方案》等要求，分析评估蓝田县城建设的短板弱项，形成短板弱项清单。</w:t>
            </w:r>
          </w:p>
          <w:p>
            <w:pPr>
              <w:pStyle w:val="null3"/>
              <w:ind w:firstLine="480"/>
              <w:jc w:val="both"/>
            </w:pPr>
            <w:r>
              <w:rPr>
                <w:rFonts w:ascii="宋体" w:hAnsi="宋体" w:cs="宋体" w:eastAsia="宋体"/>
                <w:sz w:val="24"/>
              </w:rPr>
              <w:t>3）政策落实需求研究：梳理中省“十四五”期间关于县城发展的相关政策要求，结合蓝田县城实际，从落实政策要求的角度，梳理近期县城建设需落实的主要任务，形成目标清单。</w:t>
            </w:r>
          </w:p>
          <w:p>
            <w:pPr>
              <w:pStyle w:val="null3"/>
              <w:ind w:firstLine="480"/>
              <w:jc w:val="both"/>
            </w:pPr>
            <w:r>
              <w:rPr>
                <w:rFonts w:ascii="宋体" w:hAnsi="宋体" w:cs="宋体" w:eastAsia="宋体"/>
                <w:sz w:val="24"/>
              </w:rPr>
              <w:t>4）空间发展需求研究：根据蓝田县城空间发展趋势及人口集聚趋势，研判3-5年县城空间发展方向、功能布局要求等，注重与国土空间规划近期建设相结合。</w:t>
            </w:r>
          </w:p>
          <w:p>
            <w:pPr>
              <w:pStyle w:val="null3"/>
              <w:ind w:firstLine="480"/>
              <w:jc w:val="both"/>
            </w:pPr>
            <w:r>
              <w:rPr>
                <w:rFonts w:ascii="宋体" w:hAnsi="宋体" w:cs="宋体" w:eastAsia="宋体"/>
                <w:sz w:val="24"/>
              </w:rPr>
              <w:t>5）功能完善需求研究：从增强县城产业支撑能力和强化公共服务供给出发，围绕支撑县域经济发展和提升县城宜居水平的目标，评估蓝田县城产业配套设施、公共服务设施建设需求，形成需求清单。</w:t>
            </w:r>
          </w:p>
          <w:p>
            <w:pPr>
              <w:pStyle w:val="null3"/>
              <w:ind w:firstLine="480"/>
              <w:jc w:val="both"/>
            </w:pPr>
            <w:r>
              <w:rPr>
                <w:rFonts w:ascii="宋体" w:hAnsi="宋体" w:cs="宋体" w:eastAsia="宋体"/>
                <w:sz w:val="24"/>
              </w:rPr>
              <w:t>6）明确县城发展定位：从资源禀赋、区位条件、文化特色、产业发展等方面，分析蓝田县城的基本特征。依据《关于推进以县城为重要载体的城镇化建设的意见》县城分类发展要求，结合县城现状特征，以及县（市、区）空间规划，明确县城发展定位。</w:t>
            </w:r>
          </w:p>
          <w:p>
            <w:pPr>
              <w:pStyle w:val="null3"/>
              <w:ind w:firstLine="480"/>
              <w:jc w:val="both"/>
            </w:pPr>
            <w:r>
              <w:rPr>
                <w:rFonts w:ascii="宋体" w:hAnsi="宋体" w:cs="宋体" w:eastAsia="宋体"/>
                <w:sz w:val="24"/>
              </w:rPr>
              <w:t>（</w:t>
            </w:r>
            <w:r>
              <w:rPr>
                <w:rFonts w:ascii="宋体" w:hAnsi="宋体" w:cs="宋体" w:eastAsia="宋体"/>
                <w:sz w:val="24"/>
              </w:rPr>
              <w:t>2）确定建设项目</w:t>
            </w:r>
          </w:p>
          <w:p>
            <w:pPr>
              <w:pStyle w:val="null3"/>
              <w:ind w:firstLine="480"/>
              <w:jc w:val="both"/>
            </w:pPr>
            <w:r>
              <w:rPr>
                <w:rFonts w:ascii="宋体" w:hAnsi="宋体" w:cs="宋体" w:eastAsia="宋体"/>
                <w:sz w:val="24"/>
              </w:rPr>
              <w:t>1）统筹专项规划：统筹道路交通、综合管廊（管沟）、停车设施、给水排 水防涝、供热燃气、充电桩、绿地系统、海绵系统、环保环卫、历史文化保护、城市风貌、产业发展、新基建、公共服务等专项规划近期建设需求，按照系统思维，提炼形成蓝田县城建设项目库。</w:t>
            </w:r>
          </w:p>
          <w:p>
            <w:pPr>
              <w:pStyle w:val="null3"/>
              <w:ind w:firstLine="480"/>
              <w:jc w:val="both"/>
            </w:pPr>
            <w:r>
              <w:rPr>
                <w:rFonts w:ascii="宋体" w:hAnsi="宋体" w:cs="宋体" w:eastAsia="宋体"/>
                <w:sz w:val="24"/>
              </w:rPr>
              <w:t>2）实施片区化治理：按照“干一片、成一片”的总体思路，识别蓝田县城建设重点片区，针对片区问题与需求，分片区提出建设目标、重点任务、项目计划，分片区逐步推动县城建设。</w:t>
            </w:r>
          </w:p>
          <w:p>
            <w:pPr>
              <w:pStyle w:val="null3"/>
              <w:ind w:firstLine="480"/>
              <w:jc w:val="both"/>
            </w:pPr>
            <w:r>
              <w:rPr>
                <w:rFonts w:ascii="宋体" w:hAnsi="宋体" w:cs="宋体" w:eastAsia="宋体"/>
                <w:sz w:val="24"/>
              </w:rPr>
              <w:t>3）注重区域统筹新旧融合：做好不同区域、近期远期之间设施统筹衔接，既经济高效满足现实需求，也要为未来发展留下空间和接口。线状设施方面，提出老旧管网、路网提升改造要求，明确新建区域建设需求，统筹新区老区管网衔接。点状设施，评估老区需求，结合城市更新补齐设施短板，新区应严格按照规范标准要求完善设施配套。</w:t>
            </w:r>
          </w:p>
          <w:p>
            <w:pPr>
              <w:pStyle w:val="null3"/>
              <w:ind w:firstLine="480"/>
              <w:jc w:val="both"/>
            </w:pPr>
            <w:r>
              <w:rPr>
                <w:rFonts w:ascii="宋体" w:hAnsi="宋体" w:cs="宋体" w:eastAsia="宋体"/>
                <w:sz w:val="24"/>
              </w:rPr>
              <w:t>4）建设项目类别：主要包括完善市政公用设施、增强县城安全韧性、保护传承历史文化、改善人居环境、完善县城功能等方面。</w:t>
            </w:r>
          </w:p>
          <w:p>
            <w:pPr>
              <w:pStyle w:val="null3"/>
              <w:ind w:firstLine="480"/>
              <w:jc w:val="both"/>
            </w:pPr>
            <w:r>
              <w:rPr>
                <w:rFonts w:ascii="宋体" w:hAnsi="宋体" w:cs="宋体" w:eastAsia="宋体"/>
                <w:sz w:val="24"/>
              </w:rPr>
              <w:t>5）明确建设时序及分工：根据部门职责明确职能分工，结合资金筹措情况，建设项目按照实施时序分解至年度</w:t>
            </w:r>
            <w:r>
              <w:rPr>
                <w:rFonts w:ascii="宋体" w:hAnsi="宋体" w:cs="宋体" w:eastAsia="宋体"/>
                <w:sz w:val="24"/>
              </w:rPr>
              <w:t>，并明确建设进度要求。</w:t>
            </w:r>
          </w:p>
          <w:p>
            <w:pPr>
              <w:pStyle w:val="null3"/>
              <w:ind w:firstLine="482"/>
              <w:jc w:val="left"/>
            </w:pPr>
            <w:r>
              <w:rPr>
                <w:rFonts w:ascii="宋体" w:hAnsi="宋体" w:cs="宋体" w:eastAsia="宋体"/>
                <w:b/>
                <w:sz w:val="24"/>
              </w:rPr>
              <w:t>五、编制成果</w:t>
            </w:r>
          </w:p>
          <w:p>
            <w:pPr>
              <w:pStyle w:val="null3"/>
              <w:ind w:firstLine="480"/>
              <w:jc w:val="both"/>
            </w:pPr>
            <w:r>
              <w:rPr>
                <w:rFonts w:ascii="宋体" w:hAnsi="宋体" w:cs="宋体" w:eastAsia="宋体"/>
                <w:sz w:val="24"/>
              </w:rPr>
              <w:t>本项目成果内容包括文本、图件、附表</w:t>
            </w:r>
          </w:p>
          <w:p>
            <w:pPr>
              <w:pStyle w:val="null3"/>
              <w:ind w:firstLine="482"/>
              <w:jc w:val="left"/>
            </w:pPr>
            <w:r>
              <w:rPr>
                <w:rFonts w:ascii="宋体" w:hAnsi="宋体" w:cs="宋体" w:eastAsia="宋体"/>
                <w:b/>
                <w:sz w:val="24"/>
              </w:rPr>
              <w:t>六、服务期：</w:t>
            </w:r>
            <w:r>
              <w:rPr>
                <w:rFonts w:ascii="宋体" w:hAnsi="宋体" w:cs="宋体" w:eastAsia="宋体"/>
                <w:b/>
                <w:sz w:val="24"/>
              </w:rPr>
              <w:t>1年。</w:t>
            </w:r>
          </w:p>
          <w:p>
            <w:pPr>
              <w:pStyle w:val="null3"/>
              <w:ind w:firstLine="482"/>
              <w:jc w:val="left"/>
            </w:pPr>
            <w:r>
              <w:rPr>
                <w:rFonts w:ascii="宋体" w:hAnsi="宋体" w:cs="宋体" w:eastAsia="宋体"/>
                <w:b/>
                <w:sz w:val="24"/>
              </w:rPr>
              <w:t>七、付款方式：</w:t>
            </w:r>
          </w:p>
          <w:p>
            <w:pPr>
              <w:pStyle w:val="null3"/>
              <w:ind w:firstLine="480"/>
              <w:jc w:val="left"/>
            </w:pPr>
            <w:r>
              <w:rPr>
                <w:rFonts w:ascii="宋体" w:hAnsi="宋体" w:cs="宋体" w:eastAsia="宋体"/>
                <w:color w:val="000000"/>
                <w:sz w:val="24"/>
              </w:rPr>
              <w:t>签订合同后，甲方在乙方提供增值税普通发票后，达到付款条件起</w:t>
            </w:r>
            <w:r>
              <w:rPr>
                <w:rFonts w:ascii="宋体" w:hAnsi="宋体" w:cs="宋体" w:eastAsia="宋体"/>
                <w:color w:val="000000"/>
                <w:sz w:val="24"/>
              </w:rPr>
              <w:t>10日内，向乙方支付合同金额的40%作为预付金，乙方提交所有方案，项目完成后，甲方在乙方提供增值税普通发票后，达到付款条件起10日内，支付合同总金额的60.00%。</w:t>
            </w:r>
          </w:p>
        </w:tc>
      </w:tr>
    </w:tbl>
    <w:p>
      <w:pPr>
        <w:pStyle w:val="null3"/>
        <w:outlineLvl w:val="2"/>
      </w:pPr>
      <w:r>
        <w:rPr>
          <w:b/>
          <w:sz w:val="28"/>
        </w:rPr>
        <w:t>3.2.3人员配置要求</w:t>
      </w:r>
    </w:p>
    <w:p>
      <w:pPr>
        <w:pStyle w:val="null3"/>
      </w:pPr>
      <w:r>
        <w:rPr/>
        <w:t>采购包1：</w:t>
      </w:r>
    </w:p>
    <w:p>
      <w:pPr>
        <w:pStyle w:val="null3"/>
      </w:pPr>
      <w:r>
        <w:rPr/>
        <w:t>按照项目实际情况进行配置</w:t>
      </w:r>
    </w:p>
    <w:p>
      <w:pPr>
        <w:pStyle w:val="null3"/>
        <w:outlineLvl w:val="2"/>
      </w:pPr>
      <w:r>
        <w:rPr>
          <w:b/>
          <w:sz w:val="28"/>
        </w:rPr>
        <w:t>3.2.4设施设备要求</w:t>
      </w:r>
    </w:p>
    <w:p>
      <w:pPr>
        <w:pStyle w:val="null3"/>
      </w:pPr>
      <w:r>
        <w:rPr/>
        <w:t>采购包1：</w:t>
      </w:r>
    </w:p>
    <w:p>
      <w:pPr>
        <w:pStyle w:val="null3"/>
      </w:pPr>
      <w:r>
        <w:rPr/>
        <w:t>按照项目实际情况进行配置</w:t>
      </w:r>
    </w:p>
    <w:p>
      <w:pPr>
        <w:pStyle w:val="null3"/>
        <w:outlineLvl w:val="2"/>
      </w:pPr>
      <w:r>
        <w:rPr>
          <w:b/>
          <w:sz w:val="28"/>
        </w:rPr>
        <w:t>3.2.5其他要求</w:t>
      </w:r>
    </w:p>
    <w:p>
      <w:pPr>
        <w:pStyle w:val="null3"/>
      </w:pPr>
      <w:r>
        <w:rPr/>
        <w:t>采购包1：</w:t>
      </w:r>
    </w:p>
    <w:p>
      <w:pPr>
        <w:pStyle w:val="null3"/>
      </w:pPr>
      <w:r>
        <w:rPr/>
        <w:t>按《中华人民共和国民法典》中的相关条款执行</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1年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符合国家有关法律法规、部门及地方规定、技术导则规范等的相关要求。采购人组织验收活动</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签订合同后，甲方在乙方提供增值税普通发票后</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乙方提交所有方案，项目完成后，甲方在乙方提供增值税普通发票后</w:t>
      </w:r>
      <w:r>
        <w:rPr/>
        <w:t xml:space="preserve"> ，达到付款条件起 </w:t>
      </w:r>
      <w:r>
        <w:rPr/>
        <w:t>10</w:t>
      </w:r>
      <w:r>
        <w:rPr/>
        <w:t xml:space="preserve"> 日内，支付合同总金额的 </w:t>
      </w:r>
      <w:r>
        <w:rPr/>
        <w:t>60.00</w:t>
      </w:r>
      <w:r>
        <w:rPr/>
        <w:t>%。</w:t>
      </w:r>
    </w:p>
    <w:p>
      <w:pPr>
        <w:pStyle w:val="null3"/>
        <w:outlineLvl w:val="3"/>
      </w:pPr>
      <w:r>
        <w:rPr>
          <w:b/>
          <w:sz w:val="24"/>
        </w:rPr>
        <w:t>3.3.6违约责任及解决争议的方法</w:t>
      </w:r>
    </w:p>
    <w:p>
      <w:pPr>
        <w:pStyle w:val="null3"/>
      </w:pPr>
      <w:r>
        <w:rPr/>
        <w:t>采购包1：</w:t>
      </w:r>
    </w:p>
    <w:p>
      <w:pPr>
        <w:pStyle w:val="null3"/>
      </w:pPr>
      <w:r>
        <w:rPr/>
        <w:t>按《中华人民共和国政府采购法》、《中华人民共和国民法典》中的相关条款执行。未按合同或磋商文件要求提供的产品或者服务，质量不能满足采购人技术要求，采购单位有权终止合同，甚至对供应商违约行为进行追究。 合同执行中发生争议的，当事人双方应协商解决，协商达不成一致时，可向当地行政仲裁机关申请仲裁或者向人民法院提请诉讼。</w:t>
      </w:r>
    </w:p>
    <w:p>
      <w:pPr>
        <w:pStyle w:val="null3"/>
        <w:outlineLvl w:val="2"/>
      </w:pPr>
      <w:r>
        <w:rPr>
          <w:b/>
          <w:sz w:val="28"/>
        </w:rPr>
        <w:t>3.4其他要求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提供经审计的2022年财务报告，包括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t>资格证明文件资料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主体资格证明</w:t>
            </w:r>
          </w:p>
        </w:tc>
        <w:tc>
          <w:tcPr>
            <w:tcW w:type="dxa" w:w="3322"/>
          </w:tcPr>
          <w:p>
            <w:pPr>
              <w:pStyle w:val="null3"/>
            </w:pPr>
            <w:r>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t>资格证明文件资料 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提供经审计的2022年财务报告，包括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t>资格证明文件资料 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提供已缴纳的2023年度2月份至今任意一个月的纳税证明或完税证明，纳税证明或完税证明上应有代收机构或税务机关的公章或业务专用章。依法免税的供应商应提供相关文件证明；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t>资格证明文件资料 供应商应提交的相关资格证明材料</w:t>
            </w:r>
          </w:p>
        </w:tc>
      </w:tr>
      <w:tr>
        <w:tc>
          <w:tcPr>
            <w:tcW w:type="dxa" w:w="831"/>
          </w:tcPr>
          <w:p>
            <w:pPr>
              <w:pStyle w:val="null3"/>
            </w:pPr>
            <w:r>
              <w:rPr/>
              <w:t>4</w:t>
            </w:r>
          </w:p>
        </w:tc>
        <w:tc>
          <w:tcPr>
            <w:tcW w:type="dxa" w:w="2492"/>
          </w:tcPr>
          <w:p>
            <w:pPr>
              <w:pStyle w:val="null3"/>
            </w:pPr>
            <w:r>
              <w:rPr/>
              <w:t>具有履行合同所必需的设备和专业技术能力的承诺</w:t>
            </w:r>
          </w:p>
        </w:tc>
        <w:tc>
          <w:tcPr>
            <w:tcW w:type="dxa" w:w="3322"/>
          </w:tcPr>
          <w:p>
            <w:pPr>
              <w:pStyle w:val="null3"/>
            </w:pPr>
            <w:r>
              <w:rPr/>
              <w:t>供应商须提供具有履行合同所必需的设备和专业技术能力的承诺；</w:t>
            </w:r>
          </w:p>
        </w:tc>
        <w:tc>
          <w:tcPr>
            <w:tcW w:type="dxa" w:w="1661"/>
          </w:tcPr>
          <w:p>
            <w:pPr>
              <w:pStyle w:val="null3"/>
            </w:pPr>
            <w:r>
              <w:rPr/>
              <w:t>资格证明文件资料 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已缴存的2023年度2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t>资格证明文件资料 供应商应提交的相关资格证明材料</w:t>
            </w:r>
          </w:p>
        </w:tc>
      </w:tr>
      <w:tr>
        <w:tc>
          <w:tcPr>
            <w:tcW w:type="dxa" w:w="831"/>
          </w:tcPr>
          <w:p>
            <w:pPr>
              <w:pStyle w:val="null3"/>
            </w:pPr>
            <w:r>
              <w:rPr/>
              <w:t>6</w:t>
            </w:r>
          </w:p>
        </w:tc>
        <w:tc>
          <w:tcPr>
            <w:tcW w:type="dxa" w:w="2492"/>
          </w:tcPr>
          <w:p>
            <w:pPr>
              <w:pStyle w:val="null3"/>
            </w:pPr>
            <w:r>
              <w:rPr/>
              <w:t>三年内无重大违法记录声明</w:t>
            </w:r>
          </w:p>
        </w:tc>
        <w:tc>
          <w:tcPr>
            <w:tcW w:type="dxa" w:w="3322"/>
          </w:tcPr>
          <w:p>
            <w:pPr>
              <w:pStyle w:val="null3"/>
            </w:pPr>
            <w:r>
              <w:rPr/>
              <w:t>出具参加本次政府采购活动前三年内在经营活动中没有重大违法记录的书面声明；</w:t>
            </w:r>
          </w:p>
        </w:tc>
        <w:tc>
          <w:tcPr>
            <w:tcW w:type="dxa" w:w="1661"/>
          </w:tcPr>
          <w:p>
            <w:pPr>
              <w:pStyle w:val="null3"/>
            </w:pPr>
            <w:r>
              <w:rPr/>
              <w:t>资格证明文件资料 供应商应提交的相关资格证明材料</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法定代表人授权委托书（附法定代表人身份证复印件）及被授权人身份证（法定代表人直接参加磋商只需提供法定代表人身份证）。自然人只需提供身份证；备注：分支机构由分支机构负责人授权即可；</w:t>
            </w:r>
          </w:p>
        </w:tc>
        <w:tc>
          <w:tcPr>
            <w:tcW w:type="dxa" w:w="1661"/>
          </w:tcPr>
          <w:p>
            <w:pPr>
              <w:pStyle w:val="null3"/>
            </w:pPr>
            <w:r>
              <w:rPr/>
              <w:t>资格证明文件资料 供应商应提交的相关资格证明材料</w:t>
            </w:r>
          </w:p>
        </w:tc>
      </w:tr>
      <w:tr>
        <w:tc>
          <w:tcPr>
            <w:tcW w:type="dxa" w:w="831"/>
          </w:tcPr>
          <w:p>
            <w:pPr>
              <w:pStyle w:val="null3"/>
            </w:pPr>
            <w:r>
              <w:rPr/>
              <w:t>8</w:t>
            </w:r>
          </w:p>
        </w:tc>
        <w:tc>
          <w:tcPr>
            <w:tcW w:type="dxa" w:w="2492"/>
          </w:tcPr>
          <w:p>
            <w:pPr>
              <w:pStyle w:val="null3"/>
            </w:pPr>
            <w:r>
              <w:rPr/>
              <w:t>供应商资质要求</w:t>
            </w:r>
          </w:p>
        </w:tc>
        <w:tc>
          <w:tcPr>
            <w:tcW w:type="dxa" w:w="3322"/>
          </w:tcPr>
          <w:p>
            <w:pPr>
              <w:pStyle w:val="null3"/>
            </w:pPr>
            <w:r>
              <w:rPr/>
              <w:t>供应商须具备国家行政主管部门核发的有效的城乡规划编制乙级及以上资质；</w:t>
            </w:r>
          </w:p>
        </w:tc>
        <w:tc>
          <w:tcPr>
            <w:tcW w:type="dxa" w:w="1661"/>
          </w:tcPr>
          <w:p>
            <w:pPr>
              <w:pStyle w:val="null3"/>
            </w:pPr>
            <w:r>
              <w:rPr/>
              <w:t>资格证明文件资料 供应商应提交的相关资格证明材料</w:t>
            </w:r>
          </w:p>
        </w:tc>
      </w:tr>
      <w:tr>
        <w:tc>
          <w:tcPr>
            <w:tcW w:type="dxa" w:w="831"/>
          </w:tcPr>
          <w:p>
            <w:pPr>
              <w:pStyle w:val="null3"/>
            </w:pPr>
            <w:r>
              <w:rPr/>
              <w:t>9</w:t>
            </w:r>
          </w:p>
        </w:tc>
        <w:tc>
          <w:tcPr>
            <w:tcW w:type="dxa" w:w="2492"/>
          </w:tcPr>
          <w:p>
            <w:pPr>
              <w:pStyle w:val="null3"/>
            </w:pPr>
            <w:r>
              <w:rPr/>
              <w:t>本项目不接受联合体磋商</w:t>
            </w:r>
          </w:p>
        </w:tc>
        <w:tc>
          <w:tcPr>
            <w:tcW w:type="dxa" w:w="3322"/>
          </w:tcPr>
          <w:p>
            <w:pPr>
              <w:pStyle w:val="null3"/>
            </w:pPr>
            <w:r>
              <w:rPr/>
              <w:t>本项目不接受联合体磋商（提供书面声明材料）。</w:t>
            </w:r>
          </w:p>
        </w:tc>
        <w:tc>
          <w:tcPr>
            <w:tcW w:type="dxa" w:w="1661"/>
          </w:tcPr>
          <w:p>
            <w:pPr>
              <w:pStyle w:val="null3"/>
            </w:pPr>
            <w:r>
              <w:rPr/>
              <w:t>资格证明文件资料 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磋商响应文件封面、磋商响应函两处的项目名称</w:t>
            </w:r>
          </w:p>
        </w:tc>
        <w:tc>
          <w:tcPr>
            <w:tcW w:type="dxa" w:w="3322"/>
          </w:tcPr>
          <w:p>
            <w:pPr>
              <w:pStyle w:val="null3"/>
            </w:pPr>
            <w:r>
              <w:rPr/>
              <w:t>两处均无遗漏，且与磋商项目名称完全一致。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磋商响应文件的计量单位、语言、报价货币、磋商有效期</w:t>
            </w:r>
          </w:p>
        </w:tc>
        <w:tc>
          <w:tcPr>
            <w:tcW w:type="dxa" w:w="3322"/>
          </w:tcPr>
          <w:p>
            <w:pPr>
              <w:pStyle w:val="null3"/>
            </w:pPr>
            <w:r>
              <w:rPr/>
              <w:t>计量单位、语言、报价货币、磋商有效期均符合磋商文件的要求。</w:t>
            </w:r>
          </w:p>
        </w:tc>
        <w:tc>
          <w:tcPr>
            <w:tcW w:type="dxa" w:w="1661"/>
          </w:tcPr>
          <w:p>
            <w:pPr>
              <w:pStyle w:val="null3"/>
            </w:pPr>
            <w:r>
              <w:rPr/>
              <w:t>报价一览表 资格证明文件资料 服务内容及服务邀请应答表 中小企业声明函 商务应答表 供应商应提交的相关资格证明材料 报价表 响应文件封面 残疾人福利性单位声明函 服务方案 标的清单 响应函 监狱企业的证明文件 竞争性磋商方案说明书</w:t>
            </w:r>
          </w:p>
        </w:tc>
      </w:tr>
      <w:tr>
        <w:tc>
          <w:tcPr>
            <w:tcW w:type="dxa" w:w="831"/>
          </w:tcPr>
          <w:p>
            <w:pPr>
              <w:pStyle w:val="null3"/>
            </w:pPr>
            <w:r>
              <w:rPr/>
              <w:t>4</w:t>
            </w:r>
          </w:p>
        </w:tc>
        <w:tc>
          <w:tcPr>
            <w:tcW w:type="dxa" w:w="2492"/>
          </w:tcPr>
          <w:p>
            <w:pPr>
              <w:pStyle w:val="null3"/>
            </w:pPr>
            <w:r>
              <w:rPr/>
              <w:t>磋商响应文件组成</w:t>
            </w:r>
          </w:p>
        </w:tc>
        <w:tc>
          <w:tcPr>
            <w:tcW w:type="dxa" w:w="3322"/>
          </w:tcPr>
          <w:p>
            <w:pPr>
              <w:pStyle w:val="null3"/>
            </w:pPr>
            <w:r>
              <w:rPr/>
              <w:t>按照磋商文件格式编写，无缺漏项。</w:t>
            </w:r>
          </w:p>
        </w:tc>
        <w:tc>
          <w:tcPr>
            <w:tcW w:type="dxa" w:w="1661"/>
          </w:tcPr>
          <w:p>
            <w:pPr>
              <w:pStyle w:val="null3"/>
            </w:pPr>
            <w:r>
              <w:rPr/>
              <w:t>报价一览表 资格证明文件资料 服务内容及服务邀请应答表 中小企业声明函 商务应答表 供应商应提交的相关资格证明材料 报价表 响应文件封面 残疾人福利性单位声明函 服务方案 标的清单 响应函 监狱企业的证明文件 竞争性磋商方案说明书</w:t>
            </w:r>
          </w:p>
        </w:tc>
      </w:tr>
      <w:tr>
        <w:tc>
          <w:tcPr>
            <w:tcW w:type="dxa" w:w="831"/>
          </w:tcPr>
          <w:p>
            <w:pPr>
              <w:pStyle w:val="null3"/>
            </w:pPr>
            <w:r>
              <w:rPr/>
              <w:t>5</w:t>
            </w:r>
          </w:p>
        </w:tc>
        <w:tc>
          <w:tcPr>
            <w:tcW w:type="dxa" w:w="2492"/>
          </w:tcPr>
          <w:p>
            <w:pPr>
              <w:pStyle w:val="null3"/>
            </w:pPr>
            <w:r>
              <w:rPr/>
              <w:t>磋商内容的完整性</w:t>
            </w:r>
          </w:p>
        </w:tc>
        <w:tc>
          <w:tcPr>
            <w:tcW w:type="dxa" w:w="3322"/>
          </w:tcPr>
          <w:p>
            <w:pPr>
              <w:pStyle w:val="null3"/>
            </w:pPr>
            <w:r>
              <w:rPr/>
              <w:t>磋商响应内容未出现漏项或数量与要求不符。</w:t>
            </w:r>
          </w:p>
        </w:tc>
        <w:tc>
          <w:tcPr>
            <w:tcW w:type="dxa" w:w="1661"/>
          </w:tcPr>
          <w:p>
            <w:pPr>
              <w:pStyle w:val="null3"/>
            </w:pPr>
            <w:r>
              <w:rPr/>
              <w:t>报价一览表 资格证明文件资料 服务内容及服务邀请应答表 中小企业声明函 商务应答表 供应商应提交的相关资格证明材料 报价表 响应文件封面 残疾人福利性单位声明函 服务方案 标的清单 响应函 监狱企业的证明文件 竞争性磋商方案说明书</w:t>
            </w:r>
          </w:p>
        </w:tc>
      </w:tr>
      <w:tr>
        <w:tc>
          <w:tcPr>
            <w:tcW w:type="dxa" w:w="831"/>
          </w:tcPr>
          <w:p>
            <w:pPr>
              <w:pStyle w:val="null3"/>
            </w:pPr>
            <w:r>
              <w:rPr/>
              <w:t>6</w:t>
            </w:r>
          </w:p>
        </w:tc>
        <w:tc>
          <w:tcPr>
            <w:tcW w:type="dxa" w:w="2492"/>
          </w:tcPr>
          <w:p>
            <w:pPr>
              <w:pStyle w:val="null3"/>
            </w:pPr>
            <w:r>
              <w:rPr/>
              <w:t>磋商报价</w:t>
            </w:r>
          </w:p>
        </w:tc>
        <w:tc>
          <w:tcPr>
            <w:tcW w:type="dxa" w:w="3322"/>
          </w:tcPr>
          <w:p>
            <w:pPr>
              <w:pStyle w:val="null3"/>
            </w:pPr>
            <w:r>
              <w:rPr/>
              <w:t>符合磋商文件要求。 （1）磋商报价符合唯一性要求； （2）首次磋商报价表填写符合要求； （3）未超出采购预算或磋商文件规定的最高限价。</w:t>
            </w:r>
          </w:p>
        </w:tc>
        <w:tc>
          <w:tcPr>
            <w:tcW w:type="dxa" w:w="1661"/>
          </w:tcPr>
          <w:p>
            <w:pPr>
              <w:pStyle w:val="null3"/>
            </w:pPr>
            <w:r>
              <w:rPr/>
              <w:t>报价一览表 标的清单 响应函</w:t>
            </w:r>
          </w:p>
        </w:tc>
      </w:tr>
      <w:tr>
        <w:tc>
          <w:tcPr>
            <w:tcW w:type="dxa" w:w="831"/>
          </w:tcPr>
          <w:p>
            <w:pPr>
              <w:pStyle w:val="null3"/>
            </w:pPr>
            <w:r>
              <w:rPr/>
              <w:t>7</w:t>
            </w:r>
          </w:p>
        </w:tc>
        <w:tc>
          <w:tcPr>
            <w:tcW w:type="dxa" w:w="2492"/>
          </w:tcPr>
          <w:p>
            <w:pPr>
              <w:pStyle w:val="null3"/>
            </w:pPr>
            <w:r>
              <w:rPr/>
              <w:t>合同条款响应</w:t>
            </w:r>
          </w:p>
        </w:tc>
        <w:tc>
          <w:tcPr>
            <w:tcW w:type="dxa" w:w="3322"/>
          </w:tcPr>
          <w:p>
            <w:pPr>
              <w:pStyle w:val="null3"/>
            </w:pPr>
            <w:r>
              <w:rPr/>
              <w:t>完整响应磋商文件合同条款。</w:t>
            </w:r>
          </w:p>
        </w:tc>
        <w:tc>
          <w:tcPr>
            <w:tcW w:type="dxa" w:w="1661"/>
          </w:tcPr>
          <w:p>
            <w:pPr>
              <w:pStyle w:val="null3"/>
            </w:pPr>
            <w:r>
              <w:rPr/>
              <w:t>响应文件封面 报价一览表 服务内容及服务邀请应答表 商务应答表 服务方案 标的清单 报价表 竞争性磋商方案说明书</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评审内容：供应商对本项目的进行解读和分析，内容包括①实施背景②工作目的③工作目标④工作内容。 评审标准：各部分内容全面详细、阐述条理清晰详尽、符合本项目采购需求，能保障本项目实施得16分；评审内容每缺一项扣4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t>16.00</w:t>
            </w:r>
          </w:p>
        </w:tc>
        <w:tc>
          <w:tcPr>
            <w:tcW w:type="dxa" w:w="831"/>
          </w:tcPr>
          <w:p>
            <w:pPr>
              <w:pStyle w:val="null3"/>
            </w:pPr>
            <w:r>
              <w:rPr/>
              <w:t>主观</w:t>
            </w:r>
          </w:p>
        </w:tc>
        <w:tc>
          <w:tcPr>
            <w:tcW w:type="dxa" w:w="1661"/>
          </w:tcPr>
          <w:p>
            <w:pPr>
              <w:pStyle w:val="null3"/>
            </w:pPr>
            <w:r>
              <w:rPr/>
              <w:t>服务内容及服务邀请应答表</w:t>
            </w:r>
          </w:p>
          <w:p>
            <w:pPr>
              <w:pStyle w:val="null3"/>
            </w:pPr>
            <w:r>
              <w:rPr/>
              <w:t>竞争性磋商方案说明书</w:t>
            </w:r>
          </w:p>
          <w:p>
            <w:pPr>
              <w:pStyle w:val="null3"/>
            </w:pPr>
            <w:r>
              <w:rPr/>
              <w:t>商务应答表</w:t>
            </w:r>
          </w:p>
          <w:p>
            <w:pPr>
              <w:pStyle w:val="null3"/>
            </w:pPr>
            <w:r>
              <w:rPr/>
              <w:t>服务方案</w:t>
            </w:r>
          </w:p>
        </w:tc>
      </w:tr>
      <w:tr>
        <w:tc>
          <w:tcPr>
            <w:tcW w:type="dxa" w:w="831"/>
            <w:vMerge/>
          </w:tcPr>
          <w:p/>
        </w:tc>
        <w:tc>
          <w:tcPr>
            <w:tcW w:type="dxa" w:w="1661"/>
          </w:tcPr>
          <w:p>
            <w:pPr>
              <w:pStyle w:val="null3"/>
            </w:pPr>
            <w:r>
              <w:rPr/>
              <w:t>重、难点分析的对策措施</w:t>
            </w:r>
          </w:p>
        </w:tc>
        <w:tc>
          <w:tcPr>
            <w:tcW w:type="dxa" w:w="2492"/>
          </w:tcPr>
          <w:p>
            <w:pPr>
              <w:pStyle w:val="null3"/>
            </w:pPr>
            <w:r>
              <w:rPr/>
              <w:t>评审内容：供应商针对本项目重点难点分析及提供解决方案，内容包括①重点分析②难点分析③解决方案。 评审标准：各部分内容全面详细、阐述条理清晰详尽、符合本项目采购需求，能保障本项目实施得12分；评审内容每缺一项扣4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竞争性磋商方案说明书</w:t>
            </w:r>
          </w:p>
        </w:tc>
      </w:tr>
      <w:tr>
        <w:tc>
          <w:tcPr>
            <w:tcW w:type="dxa" w:w="831"/>
            <w:vMerge/>
          </w:tcPr>
          <w:p/>
        </w:tc>
        <w:tc>
          <w:tcPr>
            <w:tcW w:type="dxa" w:w="1661"/>
          </w:tcPr>
          <w:p>
            <w:pPr>
              <w:pStyle w:val="null3"/>
            </w:pPr>
            <w:r>
              <w:rPr/>
              <w:t>服务方案</w:t>
            </w:r>
          </w:p>
        </w:tc>
        <w:tc>
          <w:tcPr>
            <w:tcW w:type="dxa" w:w="2492"/>
          </w:tcPr>
          <w:p>
            <w:pPr>
              <w:pStyle w:val="null3"/>
            </w:pPr>
            <w:r>
              <w:rPr/>
              <w:t>评审内容：供应商针对服务内容提供具体详细可行的实施服务方案，内容包括①现状分析②方案总体思路③开展项目评估方法④规划流程思路。 评审标准：各部分内容全面详细、阐述条理清晰详尽、符合本项目采购需求，能保障本项目实施得16分；评审内容每缺一项扣4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t>16.00</w:t>
            </w:r>
          </w:p>
        </w:tc>
        <w:tc>
          <w:tcPr>
            <w:tcW w:type="dxa" w:w="831"/>
          </w:tcPr>
          <w:p>
            <w:pPr>
              <w:pStyle w:val="null3"/>
            </w:pPr>
            <w:r>
              <w:rPr/>
              <w:t>主观</w:t>
            </w:r>
          </w:p>
        </w:tc>
        <w:tc>
          <w:tcPr>
            <w:tcW w:type="dxa" w:w="1661"/>
          </w:tcPr>
          <w:p>
            <w:pPr>
              <w:pStyle w:val="null3"/>
            </w:pPr>
            <w:r>
              <w:rPr/>
              <w:t>服务内容及服务邀请应答表</w:t>
            </w:r>
          </w:p>
          <w:p>
            <w:pPr>
              <w:pStyle w:val="null3"/>
            </w:pPr>
            <w:r>
              <w:rPr/>
              <w:t>竞争性磋商方案说明书</w:t>
            </w:r>
          </w:p>
          <w:p>
            <w:pPr>
              <w:pStyle w:val="null3"/>
            </w:pPr>
            <w:r>
              <w:rPr/>
              <w:t>商务应答表</w:t>
            </w:r>
          </w:p>
          <w:p>
            <w:pPr>
              <w:pStyle w:val="null3"/>
            </w:pPr>
            <w:r>
              <w:rPr/>
              <w:t>服务方案</w:t>
            </w:r>
          </w:p>
        </w:tc>
      </w:tr>
      <w:tr>
        <w:tc>
          <w:tcPr>
            <w:tcW w:type="dxa" w:w="831"/>
            <w:vMerge/>
          </w:tcPr>
          <w:p/>
        </w:tc>
        <w:tc>
          <w:tcPr>
            <w:tcW w:type="dxa" w:w="1661"/>
          </w:tcPr>
          <w:p>
            <w:pPr>
              <w:pStyle w:val="null3"/>
            </w:pPr>
            <w:r>
              <w:rPr/>
              <w:t>工作进度安排</w:t>
            </w:r>
          </w:p>
        </w:tc>
        <w:tc>
          <w:tcPr>
            <w:tcW w:type="dxa" w:w="2492"/>
          </w:tcPr>
          <w:p>
            <w:pPr>
              <w:pStyle w:val="null3"/>
            </w:pPr>
            <w:r>
              <w:rPr/>
              <w:t>评审内容：供应商对本项目的工作进度安排提供实时方案，内容包括①进度安排；②工作组织程序。 评审标准：各部分内容全面详细、阐述条理清晰详尽、符合本项目采购需求，能保障本项目实施得8分；评审内容每缺一项扣4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服务内容及服务邀请应答表</w:t>
            </w:r>
          </w:p>
          <w:p>
            <w:pPr>
              <w:pStyle w:val="null3"/>
            </w:pPr>
            <w:r>
              <w:rPr/>
              <w:t>竞争性磋商方案说明书</w:t>
            </w:r>
          </w:p>
          <w:p>
            <w:pPr>
              <w:pStyle w:val="null3"/>
            </w:pPr>
            <w:r>
              <w:rPr/>
              <w:t>商务应答表</w:t>
            </w:r>
          </w:p>
          <w:p>
            <w:pPr>
              <w:pStyle w:val="null3"/>
            </w:pPr>
            <w:r>
              <w:rPr/>
              <w:t>服务方案</w:t>
            </w:r>
          </w:p>
        </w:tc>
      </w:tr>
      <w:tr>
        <w:tc>
          <w:tcPr>
            <w:tcW w:type="dxa" w:w="831"/>
            <w:vMerge/>
          </w:tcPr>
          <w:p/>
        </w:tc>
        <w:tc>
          <w:tcPr>
            <w:tcW w:type="dxa" w:w="1661"/>
          </w:tcPr>
          <w:p>
            <w:pPr>
              <w:pStyle w:val="null3"/>
            </w:pPr>
            <w:r>
              <w:rPr/>
              <w:t>项目组人员</w:t>
            </w:r>
          </w:p>
        </w:tc>
        <w:tc>
          <w:tcPr>
            <w:tcW w:type="dxa" w:w="2492"/>
          </w:tcPr>
          <w:p>
            <w:pPr>
              <w:pStyle w:val="null3"/>
            </w:pPr>
            <w:r>
              <w:rPr/>
              <w:t>评审内容：供应商针对本项目采购需求提供项目团队情况，内容包括①人员配备情况②业务知识构架③管理组织架构④岗位职责分工。（提供相关证明资料） 评审标准：各部分内容全面详细、阐述条理清晰详尽、符合本项目采购需求，能保障本项目实施得16分；评审内容每缺一项扣4分，评审内容有缺陷未完全响应评审标准的扣1.5-3.5分。（“缺陷”是指：内容描述过于简单没有关键点；条理不清晰；与项目内容不匹配、非专门针对本项目或不适用本项目特性；存在不适用项目实际情况的情形等。</w:t>
            </w:r>
          </w:p>
        </w:tc>
        <w:tc>
          <w:tcPr>
            <w:tcW w:type="dxa" w:w="831"/>
          </w:tcPr>
          <w:p>
            <w:pPr>
              <w:pStyle w:val="null3"/>
              <w:jc w:val="right"/>
            </w:pPr>
            <w:r>
              <w:rPr/>
              <w:t>16.00</w:t>
            </w:r>
          </w:p>
        </w:tc>
        <w:tc>
          <w:tcPr>
            <w:tcW w:type="dxa" w:w="831"/>
          </w:tcPr>
          <w:p>
            <w:pPr>
              <w:pStyle w:val="null3"/>
            </w:pPr>
            <w:r>
              <w:rPr/>
              <w:t>主观</w:t>
            </w:r>
          </w:p>
        </w:tc>
        <w:tc>
          <w:tcPr>
            <w:tcW w:type="dxa" w:w="1661"/>
          </w:tcPr>
          <w:p>
            <w:pPr>
              <w:pStyle w:val="null3"/>
            </w:pPr>
            <w:r>
              <w:rPr/>
              <w:t>服务内容及服务邀请应答表</w:t>
            </w:r>
          </w:p>
          <w:p>
            <w:pPr>
              <w:pStyle w:val="null3"/>
            </w:pPr>
            <w:r>
              <w:rPr/>
              <w:t>竞争性磋商方案说明书</w:t>
            </w:r>
          </w:p>
          <w:p>
            <w:pPr>
              <w:pStyle w:val="null3"/>
            </w:pPr>
            <w:r>
              <w:rPr/>
              <w:t>商务应答表</w:t>
            </w:r>
          </w:p>
          <w:p>
            <w:pPr>
              <w:pStyle w:val="null3"/>
            </w:pPr>
            <w:r>
              <w:rPr/>
              <w:t>服务方案</w:t>
            </w:r>
          </w:p>
        </w:tc>
      </w:tr>
      <w:tr>
        <w:tc>
          <w:tcPr>
            <w:tcW w:type="dxa" w:w="831"/>
            <w:vMerge/>
          </w:tcPr>
          <w:p/>
        </w:tc>
        <w:tc>
          <w:tcPr>
            <w:tcW w:type="dxa" w:w="1661"/>
          </w:tcPr>
          <w:p>
            <w:pPr>
              <w:pStyle w:val="null3"/>
            </w:pPr>
            <w:r>
              <w:rPr/>
              <w:t>人员能力</w:t>
            </w:r>
          </w:p>
        </w:tc>
        <w:tc>
          <w:tcPr>
            <w:tcW w:type="dxa" w:w="2492"/>
          </w:tcPr>
          <w:p>
            <w:pPr>
              <w:pStyle w:val="null3"/>
            </w:pPr>
            <w:r>
              <w:rPr/>
              <w:t>项目组成员资质优良，项目负责人须具备城乡规划类相关专业高级职称或注册城乡规划师资格，得2分；其他项目团队成员每提供一个中级及以上职称得1分，最高得2分。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竞争性磋商方案说明书</w:t>
            </w:r>
          </w:p>
        </w:tc>
      </w:tr>
      <w:tr>
        <w:tc>
          <w:tcPr>
            <w:tcW w:type="dxa" w:w="831"/>
            <w:vMerge/>
          </w:tcPr>
          <w:p/>
        </w:tc>
        <w:tc>
          <w:tcPr>
            <w:tcW w:type="dxa" w:w="1661"/>
          </w:tcPr>
          <w:p>
            <w:pPr>
              <w:pStyle w:val="null3"/>
            </w:pPr>
            <w:r>
              <w:rPr/>
              <w:t>进度保证措施</w:t>
            </w:r>
          </w:p>
        </w:tc>
        <w:tc>
          <w:tcPr>
            <w:tcW w:type="dxa" w:w="2492"/>
          </w:tcPr>
          <w:p>
            <w:pPr>
              <w:pStyle w:val="null3"/>
            </w:pPr>
            <w:r>
              <w:rPr/>
              <w:t>评审内容：供应商根据项目特点，编制进度保证措施，内容包括①时间节点控制措施②应急处理保障措施。 评审标准：各部分内容全面详细、阐述条理清晰详尽、符合本项目采购需求，能保障本项目实施得6分；评审内容每缺一项扣3分，评审内容有缺陷未完全响应评审标准的扣1-2.5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供应商应提交的相关资格证明材料</w:t>
            </w:r>
          </w:p>
          <w:p>
            <w:pPr>
              <w:pStyle w:val="null3"/>
            </w:pPr>
            <w:r>
              <w:rPr/>
              <w:t>竞争性磋商方案说明书</w:t>
            </w:r>
          </w:p>
          <w:p>
            <w:pPr>
              <w:pStyle w:val="null3"/>
            </w:pPr>
            <w:r>
              <w:rPr/>
              <w:t>商务应答表</w:t>
            </w:r>
          </w:p>
          <w:p>
            <w:pPr>
              <w:pStyle w:val="null3"/>
            </w:pPr>
            <w:r>
              <w:rPr/>
              <w:t>服务方案</w:t>
            </w:r>
          </w:p>
        </w:tc>
      </w:tr>
      <w:tr>
        <w:tc>
          <w:tcPr>
            <w:tcW w:type="dxa" w:w="831"/>
            <w:vMerge/>
          </w:tcPr>
          <w:p/>
        </w:tc>
        <w:tc>
          <w:tcPr>
            <w:tcW w:type="dxa" w:w="1661"/>
          </w:tcPr>
          <w:p>
            <w:pPr>
              <w:pStyle w:val="null3"/>
            </w:pPr>
            <w:r>
              <w:rPr/>
              <w:t>成果文件质量保证措施</w:t>
            </w:r>
          </w:p>
        </w:tc>
        <w:tc>
          <w:tcPr>
            <w:tcW w:type="dxa" w:w="2492"/>
          </w:tcPr>
          <w:p>
            <w:pPr>
              <w:pStyle w:val="null3"/>
            </w:pPr>
            <w:r>
              <w:rPr/>
              <w:t>评审内容：供应商根据项目特点编制最终成果文件质量保证措施；内容包括①质量保证措施②管控机制。 评审标准：各部分内容全面详细、阐述条理清晰详尽、符合本项目采购需求，能保障本项目实施得6分；评审内容每缺一项扣3分，评审内容有缺陷未完全响应评审标准的扣1-2.5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服务内容及服务邀请应答表</w:t>
            </w:r>
          </w:p>
          <w:p>
            <w:pPr>
              <w:pStyle w:val="null3"/>
            </w:pPr>
            <w:r>
              <w:rPr/>
              <w:t>竞争性磋商方案说明书</w:t>
            </w:r>
          </w:p>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评审内容：供应商应为本项目更好实施提供相关建议及服务，内容包括①合理化建议②延伸服务。 评审标准：各部分内容全面详细、阐述条理清晰详尽、符合本项目采购需求，能保障本项目实施得6分；评审内容每缺一项扣3分，评审内容有缺陷未完全响应评审标准的扣1-2.5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服务内容及服务邀请应答表</w:t>
            </w:r>
          </w:p>
          <w:p>
            <w:pPr>
              <w:pStyle w:val="null3"/>
            </w:pPr>
            <w:r>
              <w:rPr/>
              <w:t>竞争性磋商方案说明书</w:t>
            </w:r>
          </w:p>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 磋商报价得分=(磋商基准价/最后磋商报价)×10%×100；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报价一览表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详见附件：报价一览表</w:t>
      </w:r>
    </w:p>
    <w:p>
      <w:pPr>
        <w:pStyle w:val="null3"/>
        <w:ind w:firstLine="960"/>
      </w:pPr>
      <w:r>
        <w:rPr/>
        <w:t>详见附件：竞争性磋商方案说明书</w:t>
      </w:r>
    </w:p>
    <w:p>
      <w:pPr>
        <w:pStyle w:val="null3"/>
        <w:ind w:firstLine="960"/>
      </w:pPr>
      <w:r>
        <w:rPr/>
        <w:t>详见附件：资格证明文件资料</w:t>
      </w:r>
    </w:p>
    <w:p>
      <w:pPr>
        <w:pStyle w:val="null3"/>
      </w:pPr>
      <w:r>
        <w:rPr/>
        <w:t xml:space="preserve"> </w:t>
      </w:r>
    </w:p>
    <w:p>
      <w:pPr>
        <w:pStyle w:val="null3"/>
        <w:jc w:val="center"/>
        <w:outlineLvl w:val="1"/>
      </w:pPr>
      <w:r>
        <w:rPr>
          <w:b/>
          <w:sz w:val="36"/>
        </w:rPr>
        <w:t>第八章 拟签订采购合同文本</w:t>
      </w:r>
    </w:p>
    <w:p>
      <w:pPr>
        <w:pStyle w:val="null3"/>
      </w:pPr>
      <w:r>
        <w:rPr/>
        <w:t>详见附件：合同条款及格式.docx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