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蓝田县九间房镇峪口村水毁堤防修复工程</w:t>
      </w:r>
    </w:p>
    <w:p>
      <w:pPr>
        <w:pStyle w:val="null3"/>
        <w:jc w:val="center"/>
        <w:outlineLvl w:val="2"/>
      </w:pPr>
      <w:r>
        <w:rPr>
          <w:b/>
          <w:sz w:val="28"/>
        </w:rPr>
        <w:t>采购项目编号：</w:t>
      </w:r>
      <w:r>
        <w:rPr>
          <w:b/>
          <w:sz w:val="28"/>
        </w:rPr>
        <w:t>ZHPM-ZC-24702</w:t>
      </w:r>
      <w:r>
        <w:br/>
      </w:r>
      <w:r>
        <w:br/>
      </w:r>
      <w:r>
        <w:br/>
      </w:r>
    </w:p>
    <w:p>
      <w:pPr>
        <w:pStyle w:val="null3"/>
        <w:jc w:val="center"/>
        <w:outlineLvl w:val="2"/>
      </w:pPr>
      <w:r>
        <w:rPr>
          <w:b/>
          <w:sz w:val="28"/>
        </w:rPr>
        <w:t>西安市蓝田县水务局（本级）</w:t>
      </w:r>
    </w:p>
    <w:p>
      <w:pPr>
        <w:pStyle w:val="null3"/>
        <w:jc w:val="center"/>
        <w:outlineLvl w:val="2"/>
      </w:pPr>
      <w:r>
        <w:rPr>
          <w:b/>
          <w:sz w:val="28"/>
        </w:rPr>
        <w:t>中昊项目管理有限公司</w:t>
      </w:r>
      <w:r>
        <w:rPr>
          <w:b/>
          <w:sz w:val="28"/>
        </w:rPr>
        <w:t>共同编制</w:t>
      </w:r>
    </w:p>
    <w:p>
      <w:pPr>
        <w:pStyle w:val="null3"/>
        <w:jc w:val="center"/>
        <w:outlineLvl w:val="2"/>
      </w:pPr>
      <w:r>
        <w:rPr>
          <w:b/>
          <w:sz w:val="28"/>
        </w:rPr>
        <w:t>2024年02月04日</w:t>
      </w:r>
    </w:p>
    <w:p>
      <w:pPr>
        <w:pStyle w:val="null3"/>
      </w:pPr>
      <w:r>
        <w:rPr/>
        <w:t xml:space="preserve"> </w:t>
      </w:r>
    </w:p>
    <w:p>
      <w:pPr>
        <w:pStyle w:val="null3"/>
        <w:jc w:val="center"/>
        <w:outlineLvl w:val="1"/>
      </w:pPr>
      <w:r>
        <w:rPr>
          <w:b/>
          <w:sz w:val="36"/>
        </w:rPr>
        <w:t>第一章 竞争性磋商邀请</w:t>
      </w:r>
    </w:p>
    <w:p>
      <w:pPr>
        <w:pStyle w:val="null3"/>
        <w:ind w:firstLine="480"/>
      </w:pPr>
      <w:r>
        <w:rPr/>
        <w:t>中昊项目管理有限公司</w:t>
      </w:r>
      <w:r>
        <w:rPr/>
        <w:t>（以下简称“代理机构”）受</w:t>
      </w:r>
      <w:r>
        <w:rPr/>
        <w:t>西安市蓝田县水务局（本级）</w:t>
      </w:r>
      <w:r>
        <w:rPr/>
        <w:t>委托，拟对</w:t>
      </w:r>
      <w:r>
        <w:rPr/>
        <w:t>蓝田县九间房镇峪口村水毁堤防修复工程</w:t>
      </w:r>
      <w:r>
        <w:rPr/>
        <w:t>采用竞争性磋商采购方式进行采购，兹邀请供应商参加本项目的竞争性磋商。</w:t>
      </w:r>
    </w:p>
    <w:p>
      <w:pPr>
        <w:pStyle w:val="null3"/>
        <w:outlineLvl w:val="2"/>
      </w:pPr>
      <w:r>
        <w:rPr>
          <w:b/>
          <w:sz w:val="28"/>
        </w:rPr>
        <w:t>一、采购项目编号：</w:t>
      </w:r>
      <w:r>
        <w:rPr>
          <w:b/>
          <w:sz w:val="28"/>
        </w:rPr>
        <w:t>ZHPM-ZC-24702</w:t>
      </w:r>
    </w:p>
    <w:p>
      <w:pPr>
        <w:pStyle w:val="null3"/>
        <w:outlineLvl w:val="2"/>
      </w:pPr>
      <w:r>
        <w:rPr>
          <w:b/>
          <w:sz w:val="28"/>
        </w:rPr>
        <w:t>二、采购项目名称：</w:t>
      </w:r>
      <w:r>
        <w:rPr>
          <w:b/>
          <w:sz w:val="28"/>
        </w:rPr>
        <w:t>蓝田县九间房镇峪口村水毁堤防修复工程</w:t>
      </w:r>
    </w:p>
    <w:p>
      <w:pPr>
        <w:pStyle w:val="null3"/>
        <w:outlineLvl w:val="2"/>
      </w:pPr>
      <w:r>
        <w:rPr>
          <w:b/>
          <w:sz w:val="28"/>
        </w:rPr>
        <w:t>三、磋商项目简介</w:t>
      </w:r>
    </w:p>
    <w:p>
      <w:pPr>
        <w:pStyle w:val="null3"/>
        <w:ind w:firstLine="480"/>
      </w:pPr>
      <w:r>
        <w:rPr/>
        <w:t>本项目位于蓝田县九间房镇峪口村吝家河，吝家河为流峪河一级支流，灞河二级支流。本工程范围为吝家河峪口村广场上游约40m至下游320m，工程范围内河道长度320m。本次工程的主要建设内容：新建浆砌石挡墙247m、干砌石挡墙76m；修复现状干砌石挡墙247m。</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采购包1（蓝田县九间房镇峪口村水毁堤防修复工程）：属于专门面向中小企业采购。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w:t>
      </w:r>
    </w:p>
    <w:p>
      <w:pPr>
        <w:pStyle w:val="null3"/>
      </w:pPr>
      <w:r>
        <w:rPr/>
        <w:t>3、社会保障资金缴纳证明：具有依法缴纳社会保障资金的良好记录，提供磋商截止时间前6个月内任意一个月的社保缴费凭据或社保机构开具的社会保险参保缴费情况证明（依法不需要缴纳社会保障资金的供应商应提供相关证明）；</w:t>
      </w:r>
    </w:p>
    <w:p>
      <w:pPr>
        <w:pStyle w:val="null3"/>
      </w:pPr>
      <w:r>
        <w:rPr/>
        <w:t>4、税收缴纳证明：具有依法缴纳税收的良好记录，提供磋商截止时间前6个月内任意一个月的纳税证明或完税证明，（依法免税的供应商应提供相关文件证明）；</w:t>
      </w:r>
    </w:p>
    <w:p>
      <w:pPr>
        <w:pStyle w:val="null3"/>
      </w:pPr>
      <w:r>
        <w:rPr/>
        <w:t>5、供应商信用证明：参加政府采购活动前三年内在经营活动中没有重大违法记录的书面声明；</w:t>
      </w:r>
    </w:p>
    <w:p>
      <w:pPr>
        <w:pStyle w:val="null3"/>
      </w:pPr>
      <w:r>
        <w:rPr/>
        <w:t>6、供应商能力：具有履行本合同所必需的设备和专业技术能力的书面说明；</w:t>
      </w:r>
    </w:p>
    <w:p>
      <w:pPr>
        <w:pStyle w:val="null3"/>
      </w:pPr>
      <w:r>
        <w:rPr/>
        <w:t>7、供应商资质证明：（1）供应商须具备建设行政主管部门颁发的水利水电工程施工总承包三级及以上资质，并具备有效的安全生产许可证； （2）拟派项目经理须具备有效的水利水电工程专业二级（含二级）以上建造师注册证，具备水行政主管部门颁发的安全生产考核合格证（B证），且在本单位注册，无在建工程；</w:t>
      </w:r>
    </w:p>
    <w:p>
      <w:pPr>
        <w:pStyle w:val="null3"/>
      </w:pPr>
      <w:r>
        <w:rPr/>
        <w:t>8、供应商身份证明：供应商应授权合法的人员参加磋商全过程，其中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t>9、供应商信用查询：供应商不得为“信用中国”网站（www.creditchina.gov.cn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）政府采购严重违法失信行为记录名单中被财政部门禁止参加政府采购活动的供应商；（采购代理机构于磋商截止日当天在网站的查询结果为准（截图留存））；</w:t>
      </w:r>
    </w:p>
    <w:p>
      <w:pPr>
        <w:pStyle w:val="null3"/>
      </w:pPr>
      <w:r>
        <w:rPr/>
        <w:t>10、本项目不接受联合体磋商 ：本项目不接受联合体磋商 。</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西安市蓝田县水务局（本级）</w:t>
      </w:r>
    </w:p>
    <w:p>
      <w:pPr>
        <w:pStyle w:val="null3"/>
      </w:pPr>
      <w:r>
        <w:rPr/>
        <w:t xml:space="preserve"> 地址： </w:t>
      </w:r>
      <w:r>
        <w:rPr/>
        <w:t>蓝田县新城路</w:t>
      </w:r>
    </w:p>
    <w:p>
      <w:pPr>
        <w:pStyle w:val="null3"/>
      </w:pPr>
      <w:r>
        <w:rPr/>
        <w:t xml:space="preserve"> 邮编： </w:t>
      </w:r>
      <w:r>
        <w:rPr/>
        <w:t>710500</w:t>
      </w:r>
    </w:p>
    <w:p>
      <w:pPr>
        <w:pStyle w:val="null3"/>
      </w:pPr>
      <w:r>
        <w:rPr/>
        <w:t xml:space="preserve"> 联系人： </w:t>
      </w:r>
      <w:r>
        <w:rPr/>
        <w:t>柳向龙</w:t>
      </w:r>
    </w:p>
    <w:p>
      <w:pPr>
        <w:pStyle w:val="null3"/>
      </w:pPr>
      <w:r>
        <w:rPr/>
        <w:t xml:space="preserve"> 联系电话： </w:t>
      </w:r>
      <w:r>
        <w:rPr/>
        <w:t>15829289828</w:t>
      </w:r>
    </w:p>
    <w:p>
      <w:pPr>
        <w:pStyle w:val="null3"/>
        <w:outlineLvl w:val="3"/>
      </w:pPr>
      <w:r>
        <w:rPr>
          <w:b/>
          <w:sz w:val="24"/>
        </w:rPr>
        <w:t>代理机构：</w:t>
      </w:r>
      <w:r>
        <w:rPr>
          <w:b/>
          <w:sz w:val="24"/>
        </w:rPr>
        <w:t>中昊项目管理有限公司</w:t>
      </w:r>
    </w:p>
    <w:p>
      <w:pPr>
        <w:pStyle w:val="null3"/>
      </w:pPr>
      <w:r>
        <w:rPr/>
        <w:t xml:space="preserve"> 地址： </w:t>
      </w:r>
      <w:r>
        <w:rPr/>
        <w:t>西安市高新区丈八街办团结南路35号高新新天地2号楼2402室</w:t>
      </w:r>
    </w:p>
    <w:p>
      <w:pPr>
        <w:pStyle w:val="null3"/>
      </w:pPr>
      <w:r>
        <w:rPr/>
        <w:t xml:space="preserve"> 邮编： </w:t>
      </w:r>
      <w:r>
        <w:rPr/>
        <w:t>710000</w:t>
      </w:r>
    </w:p>
    <w:p>
      <w:pPr>
        <w:pStyle w:val="null3"/>
      </w:pPr>
      <w:r>
        <w:rPr/>
        <w:t xml:space="preserve"> 联系人： </w:t>
      </w:r>
      <w:r>
        <w:rPr/>
        <w:t>李工、郭工</w:t>
      </w:r>
    </w:p>
    <w:p>
      <w:pPr>
        <w:pStyle w:val="null3"/>
      </w:pPr>
      <w:r>
        <w:rPr/>
        <w:t xml:space="preserve"> 联系电话： </w:t>
      </w:r>
      <w:r>
        <w:rPr/>
        <w:t>029-87309596</w:t>
      </w:r>
    </w:p>
    <w:p>
      <w:pPr>
        <w:pStyle w:val="null3"/>
        <w:outlineLvl w:val="3"/>
      </w:pPr>
      <w:r>
        <w:rPr>
          <w:b/>
          <w:sz w:val="24"/>
        </w:rPr>
        <w:t>采购监督机构：</w:t>
      </w:r>
      <w:r>
        <w:rPr>
          <w:b/>
          <w:sz w:val="24"/>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采购包1：753,800.00元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领取成交通知书时，竞争性磋商代理服务费参照计价格【2002】1980号文件规定标准；工程量清单及竞争性磋商控制价编制费率参照陕价行发【2014】88号取费标准；可用现金、支票、汇票等付款方式一次向采购代理机构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西安市蓝田县水务局（本级）</w:t>
      </w:r>
      <w:r>
        <w:rPr/>
        <w:t>和</w:t>
      </w:r>
      <w:r>
        <w:rPr/>
        <w:t>中昊项目管理有限公司</w:t>
      </w:r>
      <w:r>
        <w:rPr/>
        <w:t>享有。对磋商文件中供应商参加本次政府采购活动应当具备的条件，磋商项目技术、服务、商务及其他要求，评审细则及标准由</w:t>
      </w:r>
      <w:r>
        <w:rPr/>
        <w:t>西安市蓝田县水务局（本级）</w:t>
      </w:r>
      <w:r>
        <w:rPr/>
        <w:t>负责解释。除上述磋商文件内容，其他内容由</w:t>
      </w:r>
      <w:r>
        <w:rPr/>
        <w:t>中昊项目管理有限公司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西安市蓝田县水务局（本级）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中昊项目管理有限公司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符合国家相关标准和磋商文件及磋商响应文件承诺的相关内容</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中昊项目管理有限公司</w:t>
      </w:r>
      <w:r>
        <w:rPr/>
        <w:t xml:space="preserve"> 负责答复；供应商对采购过程的询问、质疑由</w:t>
      </w:r>
      <w:r>
        <w:rPr/>
        <w:t>中昊项目管理有限公司</w:t>
      </w:r>
      <w:r>
        <w:rPr/>
        <w:t xml:space="preserve"> 负责答复；供应商对采购结果的询问、质疑由 </w:t>
      </w:r>
      <w:r>
        <w:rPr/>
        <w:t>中昊项目管理有限公司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联系人：郭工</w:t>
      </w:r>
    </w:p>
    <w:p>
      <w:pPr>
        <w:pStyle w:val="null3"/>
      </w:pPr>
      <w:r>
        <w:rPr/>
        <w:t>联系电话：02987309596</w:t>
      </w:r>
    </w:p>
    <w:p>
      <w:pPr>
        <w:pStyle w:val="null3"/>
      </w:pPr>
      <w:r>
        <w:rPr/>
        <w:t>地址：西安市高新区丈八街办团结南路35号高新新天地2号楼2402室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753,800.00</w:t>
      </w:r>
    </w:p>
    <w:p>
      <w:pPr>
        <w:pStyle w:val="null3"/>
      </w:pPr>
      <w:r>
        <w:rPr/>
        <w:t>采购包最高限价（元）: 753,800.00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蓝田县九间房镇峪口村水毁堤防修复工程</w:t>
            </w:r>
          </w:p>
        </w:tc>
        <w:tc>
          <w:tcPr>
            <w:tcW w:type="dxa" w:w="1384"/>
          </w:tcPr>
          <w:p>
            <w:pPr>
              <w:pStyle w:val="null3"/>
              <w:jc w:val="right"/>
            </w:pPr>
            <w:r>
              <w:rPr/>
              <w:t>1.00</w:t>
            </w:r>
          </w:p>
        </w:tc>
        <w:tc>
          <w:tcPr>
            <w:tcW w:type="dxa" w:w="1384"/>
          </w:tcPr>
          <w:p>
            <w:pPr>
              <w:pStyle w:val="null3"/>
              <w:jc w:val="right"/>
            </w:pPr>
            <w:r>
              <w:rPr/>
              <w:t>753,800.00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标的名称：蓝田县九间房镇峪口村水毁堤防修复工程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b/>
                <w:sz w:val="28"/>
              </w:rPr>
              <w:t>蓝田县九间房镇峪口村水毁堤防修复工程工程量清单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596"/>
              <w:gridCol w:w="1737"/>
              <w:gridCol w:w="495"/>
              <w:gridCol w:w="495"/>
              <w:gridCol w:w="495"/>
            </w:tblGrid>
            <w:tr>
              <w:tc>
                <w:tcPr>
                  <w:tcW w:type="dxa" w:w="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jc w:val="left"/>
                  </w:pPr>
                  <w:r>
                    <w:rPr>
                      <w:rFonts w:ascii="仿宋" w:hAnsi="仿宋" w:cs="仿宋" w:eastAsia="仿宋"/>
                      <w:color w:val="000000"/>
                      <w:sz w:val="24"/>
                    </w:rPr>
                    <w:t>序号</w:t>
                  </w:r>
                </w:p>
              </w:tc>
              <w:tc>
                <w:tcPr>
                  <w:tcW w:type="dxa" w:w="17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95"/>
                    <w:jc w:val="left"/>
                  </w:pPr>
                  <w:r>
                    <w:rPr>
                      <w:rFonts w:ascii="仿宋" w:hAnsi="仿宋" w:cs="仿宋" w:eastAsia="仿宋"/>
                      <w:color w:val="000000"/>
                      <w:sz w:val="24"/>
                    </w:rPr>
                    <w:t>项目名称</w:t>
                  </w:r>
                </w:p>
              </w:tc>
              <w:tc>
                <w:tcPr>
                  <w:tcW w:type="dxa" w:w="4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55"/>
                    <w:jc w:val="left"/>
                  </w:pPr>
                  <w:r>
                    <w:rPr>
                      <w:rFonts w:ascii="仿宋" w:hAnsi="仿宋" w:cs="仿宋" w:eastAsia="仿宋"/>
                      <w:color w:val="000000"/>
                      <w:sz w:val="24"/>
                    </w:rPr>
                    <w:t>单位</w:t>
                  </w:r>
                </w:p>
              </w:tc>
              <w:tc>
                <w:tcPr>
                  <w:tcW w:type="dxa" w:w="4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left"/>
                  </w:pPr>
                  <w:r>
                    <w:rPr>
                      <w:rFonts w:ascii="仿宋" w:hAnsi="仿宋" w:cs="仿宋" w:eastAsia="仿宋"/>
                      <w:color w:val="000000"/>
                      <w:sz w:val="24"/>
                    </w:rPr>
                    <w:t>工程数量</w:t>
                  </w:r>
                </w:p>
              </w:tc>
              <w:tc>
                <w:tcPr>
                  <w:tcW w:type="dxa" w:w="4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55"/>
                    <w:jc w:val="left"/>
                  </w:pPr>
                  <w:r>
                    <w:rPr>
                      <w:rFonts w:ascii="仿宋" w:hAnsi="仿宋" w:cs="仿宋" w:eastAsia="仿宋"/>
                      <w:color w:val="000000"/>
                      <w:sz w:val="24"/>
                    </w:rPr>
                    <w:t>备注</w:t>
                  </w: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 w:hAnsi="仿宋" w:cs="仿宋" w:eastAsia="仿宋"/>
                      <w:color w:val="000000"/>
                      <w:sz w:val="24"/>
                    </w:rPr>
                    <w:t>1.1</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土方工程</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1.1.1</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土方开挖，</w:t>
                  </w:r>
                  <w:r>
                    <w:rPr>
                      <w:rFonts w:ascii="仿宋" w:hAnsi="仿宋" w:cs="仿宋" w:eastAsia="仿宋"/>
                      <w:color w:val="000000"/>
                      <w:sz w:val="24"/>
                    </w:rPr>
                    <w:t>0.5</w:t>
                  </w:r>
                  <w:r>
                    <w:rPr>
                      <w:rFonts w:ascii="仿宋" w:hAnsi="仿宋" w:cs="仿宋" w:eastAsia="仿宋"/>
                      <w:color w:val="000000"/>
                      <w:sz w:val="24"/>
                    </w:rPr>
                    <w:t>km</w:t>
                  </w:r>
                  <w:r>
                    <w:rPr>
                      <w:rFonts w:ascii="仿宋" w:hAnsi="仿宋" w:cs="仿宋" w:eastAsia="仿宋"/>
                      <w:color w:val="000000"/>
                      <w:sz w:val="24"/>
                    </w:rPr>
                    <w:t>低洼处填平（其中人工</w:t>
                  </w:r>
                  <w:r>
                    <w:rPr>
                      <w:rFonts w:ascii="仿宋" w:hAnsi="仿宋" w:cs="仿宋" w:eastAsia="仿宋"/>
                      <w:color w:val="000000"/>
                      <w:sz w:val="24"/>
                    </w:rPr>
                    <w:t>10%）</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422"/>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1326</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1.1.2</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土方开挖（人机比</w:t>
                  </w:r>
                  <w:r>
                    <w:rPr>
                      <w:rFonts w:ascii="仿宋" w:hAnsi="仿宋" w:cs="仿宋" w:eastAsia="仿宋"/>
                      <w:color w:val="000000"/>
                      <w:sz w:val="24"/>
                    </w:rPr>
                    <w:t>1:9）</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3309</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1.1.3</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土方回填（人机比</w:t>
                  </w:r>
                  <w:r>
                    <w:rPr>
                      <w:rFonts w:ascii="仿宋" w:hAnsi="仿宋" w:cs="仿宋" w:eastAsia="仿宋"/>
                      <w:color w:val="000000"/>
                      <w:sz w:val="24"/>
                    </w:rPr>
                    <w:t>1:9）</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2913</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挡墙工程</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1.2.1</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M10浆砌石墙身</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371</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1.2.2</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M10浆砌石基础</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381</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1.2.3</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干砌石挡墙墙身</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376</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1.2.4</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干砌石挡墙基础</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210</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1.2.5</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jc w:val="left"/>
                  </w:pPr>
                  <w:r>
                    <w:rPr>
                      <w:rFonts w:ascii="仿宋" w:hAnsi="仿宋" w:cs="仿宋" w:eastAsia="仿宋"/>
                      <w:color w:val="000000"/>
                      <w:sz w:val="24"/>
                    </w:rPr>
                    <w:t>φ75PVC排水管</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 w:hAnsi="仿宋" w:cs="仿宋" w:eastAsia="仿宋"/>
                      <w:color w:val="000000"/>
                      <w:sz w:val="24"/>
                    </w:rPr>
                    <w:t>m</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156</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1.2.6</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C15无砂混凝土</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m³</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 w:hAnsi="仿宋" w:cs="仿宋" w:eastAsia="仿宋"/>
                      <w:color w:val="000000"/>
                      <w:sz w:val="24"/>
                    </w:rPr>
                    <w:t>1</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color w:val="000000"/>
                      <w:sz w:val="24"/>
                    </w:rPr>
                    <w:t>1.2.7</w:t>
                  </w:r>
                </w:p>
              </w:tc>
              <w:tc>
                <w:tcPr>
                  <w:tcW w:type="dxa" w:w="1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 w:hAnsi="仿宋" w:cs="仿宋" w:eastAsia="仿宋"/>
                      <w:color w:val="000000"/>
                      <w:sz w:val="24"/>
                    </w:rPr>
                    <w:t>土工布（</w:t>
                  </w:r>
                  <w:r>
                    <w:rPr>
                      <w:rFonts w:ascii="仿宋" w:hAnsi="仿宋" w:cs="仿宋" w:eastAsia="仿宋"/>
                      <w:color w:val="000000"/>
                      <w:sz w:val="24"/>
                    </w:rPr>
                    <w:t>300g/㎡）</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 w:hAnsi="仿宋" w:cs="仿宋" w:eastAsia="仿宋"/>
                      <w:color w:val="000000"/>
                      <w:sz w:val="24"/>
                    </w:rPr>
                    <w:t>㎡</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 w:hAnsi="仿宋" w:cs="仿宋" w:eastAsia="仿宋"/>
                      <w:color w:val="000000"/>
                      <w:sz w:val="24"/>
                    </w:rPr>
                    <w:t>11</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pPr>
              <w:pStyle w:val="null3"/>
            </w:pPr>
            <w:r>
              <w:rPr/>
              <w:t xml:space="preserve"> </w:t>
            </w:r>
          </w:p>
          <w:p>
            <w:pPr>
              <w:pStyle w:val="null3"/>
            </w:pPr>
            <w:r>
              <w:rPr/>
              <w:t>报价以给定的工程量清单及编制说明（详见附件）、现场情况自行编报。</w:t>
            </w:r>
          </w:p>
          <w:p>
            <w:pPr>
              <w:pStyle w:val="null3"/>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必须达到国家及行业现行技术规范标准，符合国家及行业验收合格标准。</w:t>
      </w:r>
    </w:p>
    <w:p>
      <w:pPr>
        <w:pStyle w:val="null3"/>
        <w:ind w:firstLine="480"/>
      </w:pPr>
      <w:r>
        <w:rPr/>
        <w:t>三、针对本项目的其他技术服务要求：</w:t>
      </w:r>
    </w:p>
    <w:p>
      <w:pPr>
        <w:pStyle w:val="null3"/>
      </w:pPr>
      <w:r>
        <w:rPr/>
        <w:t>1.达到国家及行业现行技术规范标准，符合国家及行业验收合格标准 2.符合磋商文件和磋商响应文件承诺的相关内容。</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具有依法缴纳社会保障资金的良好记录，提供磋商截止时间前6个月内任意一个月的社保缴费凭据或社保机构开具的社会保险参保缴费情况证明（依法不需要缴纳社会保障资金的供应商应提供相关证明）；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具有依法缴纳税收的良好记录，提供磋商截止时间前6个月内任意一个月的纳税证明或完税证明，（依法免税的供应商应提供相关文件证明）；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供应商信用证明</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供应商能力</w:t>
            </w:r>
          </w:p>
        </w:tc>
        <w:tc>
          <w:tcPr>
            <w:tcW w:type="dxa" w:w="3322"/>
          </w:tcPr>
          <w:p>
            <w:pPr>
              <w:pStyle w:val="null3"/>
            </w:pPr>
            <w:r>
              <w:rPr/>
              <w:t>具有履行本合同所必需的设备和专业技术能力的书面说明；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供应商资质证明</w:t>
            </w:r>
          </w:p>
        </w:tc>
        <w:tc>
          <w:tcPr>
            <w:tcW w:type="dxa" w:w="3322"/>
          </w:tcPr>
          <w:p>
            <w:pPr>
              <w:pStyle w:val="null3"/>
            </w:pPr>
            <w:r>
              <w:rPr/>
              <w:t>（1）供应商须具备建设行政主管部门颁发的水利水电工程施工总承包三级及以上资质，并具备有效的安全生产许可证； （2）拟派项目经理须具备有效的水利水电工程专业二级（含二级）以上建造师注册证，具备水行政主管部门颁发的安全生产考核合格证（B证），且在本单位注册，无在建工程；</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供应商身份证明</w:t>
            </w:r>
          </w:p>
        </w:tc>
        <w:tc>
          <w:tcPr>
            <w:tcW w:type="dxa" w:w="3322"/>
          </w:tcPr>
          <w:p>
            <w:pPr>
              <w:pStyle w:val="null3"/>
            </w:pPr>
            <w:r>
              <w:rPr/>
              <w:t>供应商应授权合法的人员参加磋商全过程，其中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供应商信用查询</w:t>
            </w:r>
          </w:p>
        </w:tc>
        <w:tc>
          <w:tcPr>
            <w:tcW w:type="dxa" w:w="3322"/>
          </w:tcPr>
          <w:p>
            <w:pPr>
              <w:pStyle w:val="null3"/>
            </w:pPr>
            <w:r>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）政府采购严重违法失信行为记录名单中被财政部门禁止参加政府采购活动的供应商；（采购代理机构于磋商截止日当天在网站的查询结果为准（截图留存））；</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本项目不接受联合体磋商</w:t>
            </w:r>
          </w:p>
        </w:tc>
        <w:tc>
          <w:tcPr>
            <w:tcW w:type="dxa" w:w="3322"/>
          </w:tcPr>
          <w:p>
            <w:pPr>
              <w:pStyle w:val="null3"/>
            </w:pPr>
            <w:r>
              <w:rPr/>
              <w:t>本项目不接受联合体磋商 。</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总体施工组织布置及规划</w:t>
            </w:r>
          </w:p>
        </w:tc>
        <w:tc>
          <w:tcPr>
            <w:tcW w:type="dxa" w:w="2492"/>
          </w:tcPr>
          <w:p>
            <w:pPr>
              <w:pStyle w:val="null3"/>
            </w:pPr>
            <w:r>
              <w:rPr/>
              <w:t>对本项目特性了解透彻，布置规划内容全面，方案先进、经济合理，得(7～10]分； 布置规划内容针对性较强，全面，满足基本施工要求，得(4～7]分； 施工组织布置及规划一般，得(0～4]分。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施工方案、方法与技术措施</w:t>
            </w:r>
          </w:p>
        </w:tc>
        <w:tc>
          <w:tcPr>
            <w:tcW w:type="dxa" w:w="2492"/>
          </w:tcPr>
          <w:p>
            <w:pPr>
              <w:pStyle w:val="null3"/>
            </w:pPr>
            <w:r>
              <w:rPr/>
              <w:t>制定的施工方案、方法与技术措施内容全面，能运用先进技术、施工工艺先进，经济性强、对施工具有高度指导性，得(7～10]分； 施工方案可行，方法、措施合理得(4～7]分； 施工方案基本可行，方法、措施基本合理，得(0～4]分。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施工进度计划及措施</w:t>
            </w:r>
          </w:p>
        </w:tc>
        <w:tc>
          <w:tcPr>
            <w:tcW w:type="dxa" w:w="2492"/>
          </w:tcPr>
          <w:p>
            <w:pPr>
              <w:pStyle w:val="null3"/>
            </w:pPr>
            <w:r>
              <w:rPr/>
              <w:t>总工期满足招标文件要求、进度计划有横道图，节点工期控制全面合理，措施切实可行，得(4～6]分； 总工期满足招标文件要求、进度计划有横道图，节点工期控制全面合理、措施基本可行，得(2～4]分； 总工期满足招标文件要求、进度计划有横道图，节点工期控制基本合理，措施一般，得(0～2]分。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工程质量管理体系及保证措施</w:t>
            </w:r>
          </w:p>
        </w:tc>
        <w:tc>
          <w:tcPr>
            <w:tcW w:type="dxa" w:w="2492"/>
          </w:tcPr>
          <w:p>
            <w:pPr>
              <w:pStyle w:val="null3"/>
            </w:pPr>
            <w:r>
              <w:rPr/>
              <w:t>质量目标明确，管理体系健全，预控和动态控制措施完整，实施工艺、手段先进、可靠、科学，管理体系和组织措施功能完善、管理幅度适宜，得(4～6]分； 质量管理体系基本健全，控制措施全面、基本可行，得(2～4]分； 质量管理体系及保证措施一般，得(0～2]分。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环境保护、水土保持保证体系及保证措施</w:t>
            </w:r>
          </w:p>
        </w:tc>
        <w:tc>
          <w:tcPr>
            <w:tcW w:type="dxa" w:w="2492"/>
          </w:tcPr>
          <w:p>
            <w:pPr>
              <w:pStyle w:val="null3"/>
            </w:pPr>
            <w:r>
              <w:rPr/>
              <w:t>环境保护、水土保持目标明确，预防和动态控制措施及制度完整、到位，管理体系和组织措施功能完善，得(2～4]分； 保证体系及措施基本合理、可行，得(0～2]分。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施工设备、实验及检测仪器设备</w:t>
            </w:r>
          </w:p>
        </w:tc>
        <w:tc>
          <w:tcPr>
            <w:tcW w:type="dxa" w:w="2492"/>
          </w:tcPr>
          <w:p>
            <w:pPr>
              <w:pStyle w:val="null3"/>
            </w:pPr>
            <w:r>
              <w:rPr/>
              <w:t>设备合理、完善、齐全，得（2～4]分 设备基本合理、比较完善，得(0～2]分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项目风险预测与防范、事故应急预案</w:t>
            </w:r>
          </w:p>
        </w:tc>
        <w:tc>
          <w:tcPr>
            <w:tcW w:type="dxa" w:w="2492"/>
          </w:tcPr>
          <w:p>
            <w:pPr>
              <w:pStyle w:val="null3"/>
            </w:pPr>
            <w:r>
              <w:rPr/>
              <w:t>项目风险预测与防范、事故应急预案考虑全面，切实可行，操作性强，经济合理，得（2～4]分； 项目风险预测与防范、事故应急预案一般，得(0～2]分。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安全生产管理体系及保证措施</w:t>
            </w:r>
          </w:p>
        </w:tc>
        <w:tc>
          <w:tcPr>
            <w:tcW w:type="dxa" w:w="2492"/>
          </w:tcPr>
          <w:p>
            <w:pPr>
              <w:pStyle w:val="null3"/>
            </w:pPr>
            <w:r>
              <w:rPr/>
              <w:t>安全生产目标明确，预防和动态控制措施及制度完整、到位，管理体系和组织措施功能完善，得(2～3]分； 安全生产目标及控制措施一般，得(0～2]分。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文明施工保证体系及保证措施</w:t>
            </w:r>
          </w:p>
        </w:tc>
        <w:tc>
          <w:tcPr>
            <w:tcW w:type="dxa" w:w="2492"/>
          </w:tcPr>
          <w:p>
            <w:pPr>
              <w:pStyle w:val="null3"/>
            </w:pPr>
            <w:r>
              <w:rPr/>
              <w:t>文明施工保证体系健全，预防和动态控制措施及制度完整、到位，管理体系和组织措施功能完善，得(2～3]分； 文明施工保证体系及保证措施一般,得(0～2]分。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tc>
      </w:tr>
      <w:tr>
        <w:tc>
          <w:tcPr>
            <w:tcW w:type="dxa" w:w="831"/>
            <w:vMerge/>
          </w:tcPr>
          <w:p/>
        </w:tc>
        <w:tc>
          <w:tcPr>
            <w:tcW w:type="dxa" w:w="1661"/>
          </w:tcPr>
          <w:p>
            <w:pPr>
              <w:pStyle w:val="null3"/>
            </w:pPr>
            <w:r>
              <w:rPr/>
              <w:t>项目组织机构</w:t>
            </w:r>
          </w:p>
        </w:tc>
        <w:tc>
          <w:tcPr>
            <w:tcW w:type="dxa" w:w="2492"/>
          </w:tcPr>
          <w:p>
            <w:pPr>
              <w:pStyle w:val="null3"/>
            </w:pPr>
            <w:r>
              <w:rPr/>
              <w:t>项目组织管理机构：项目组织管理机构人员配置齐全（项目经理、技术负责人、施工人员等），各专业配备合理、分工及岗位职责清晰计（5-10]分；人员配置一般，分工基本明确，职责不够清晰计[0-5]分,此项共计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施工技术方案</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近三年承担过类似工程施工业绩</w:t>
            </w:r>
          </w:p>
        </w:tc>
        <w:tc>
          <w:tcPr>
            <w:tcW w:type="dxa" w:w="2492"/>
          </w:tcPr>
          <w:p>
            <w:pPr>
              <w:pStyle w:val="null3"/>
            </w:pPr>
            <w:r>
              <w:rPr/>
              <w:t>近3年（2021、2022、2023）承建过类似工程施工业绩每提供1项得2.5分；最高得分不超过10分。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供应商应提交的相关资格证明材料</w:t>
            </w:r>
          </w:p>
          <w:p>
            <w:pPr>
              <w:pStyle w:val="null3"/>
            </w:pPr>
            <w:r>
              <w:rPr/>
              <w:t>施工技术方案</w:t>
            </w:r>
          </w:p>
        </w:tc>
      </w:tr>
      <w:tr>
        <w:tc>
          <w:tcPr>
            <w:tcW w:type="dxa" w:w="831"/>
            <w:vMerge/>
          </w:tcPr>
          <w:p/>
        </w:tc>
        <w:tc>
          <w:tcPr>
            <w:tcW w:type="dxa" w:w="1661"/>
          </w:tcPr>
          <w:p>
            <w:pPr>
              <w:pStyle w:val="null3"/>
            </w:pPr>
            <w:r>
              <w:rPr/>
              <w:t>磋商价格</w:t>
            </w:r>
          </w:p>
        </w:tc>
        <w:tc>
          <w:tcPr>
            <w:tcW w:type="dxa" w:w="2492"/>
          </w:tcPr>
          <w:p>
            <w:pPr>
              <w:pStyle w:val="null3"/>
            </w:pPr>
            <w:r>
              <w:rPr/>
              <w:t>价格分采用低价优先法计算，即满足磋商文件要求且投标价格最低的最后报价为评标基准价，其价格分为满分。其他供应商的价格分统一按照下列公式计算： 最终报价得分=（评标基准价/有效报价）×价格权重（30%）×100）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响应函</w:t>
            </w:r>
          </w:p>
          <w:p>
            <w:pPr>
              <w:pStyle w:val="null3"/>
            </w:pPr>
            <w:r>
              <w:rPr/>
              <w:t>报价函</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详见附件：施工技术方案</w:t>
      </w:r>
    </w:p>
    <w:p>
      <w:pPr>
        <w:pStyle w:val="null3"/>
      </w:pPr>
      <w:r>
        <w:rPr/>
        <w:t xml:space="preserve"> </w:t>
      </w:r>
    </w:p>
    <w:p>
      <w:pPr>
        <w:pStyle w:val="null3"/>
        <w:jc w:val="center"/>
        <w:outlineLvl w:val="1"/>
      </w:pPr>
      <w:r>
        <w:rPr>
          <w:b/>
          <w:sz w:val="36"/>
        </w:rPr>
        <w:t>第八章 拟签订采购合同文本</w:t>
      </w:r>
    </w:p>
    <w:p>
      <w:pPr>
        <w:pStyle w:val="null3"/>
      </w:pPr>
      <w:r>
        <w:rPr/>
        <w:t>详见附件：蓝田县九间房镇峪口村水毁堤防修复工程合同.docx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