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000000"/>
          <w:kern w:val="0"/>
          <w:sz w:val="32"/>
          <w:szCs w:val="32"/>
          <w:lang w:bidi="ar"/>
        </w:rPr>
      </w:pPr>
      <w:r>
        <w:rPr>
          <w:rFonts w:hint="eastAsia" w:ascii="宋体" w:hAnsi="宋体" w:cs="宋体"/>
          <w:b/>
          <w:color w:val="000000"/>
          <w:kern w:val="0"/>
          <w:sz w:val="32"/>
          <w:szCs w:val="32"/>
          <w:lang w:eastAsia="zh-CN" w:bidi="ar"/>
        </w:rPr>
        <w:t>三里镇杨村设施蔬菜产业园（联村集体经济）</w:t>
      </w:r>
      <w:r>
        <w:rPr>
          <w:rFonts w:hint="eastAsia" w:ascii="宋体" w:hAnsi="宋体" w:cs="宋体"/>
          <w:b/>
          <w:color w:val="000000"/>
          <w:kern w:val="0"/>
          <w:sz w:val="32"/>
          <w:szCs w:val="32"/>
          <w:lang w:bidi="ar"/>
        </w:rPr>
        <w:t>-政府采购需求书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人民币</w:t>
            </w:r>
            <w:r>
              <w:rPr>
                <w:rFonts w:hint="eastAsia" w:ascii="宋体" w:hAnsi="宋体" w:cs="宋体"/>
                <w:i w:val="0"/>
                <w:iCs w:val="0"/>
                <w:color w:val="auto"/>
                <w:kern w:val="0"/>
                <w:sz w:val="28"/>
                <w:szCs w:val="28"/>
                <w:highlight w:val="none"/>
                <w:u w:val="single"/>
                <w:lang w:val="en-US" w:eastAsia="zh-CN" w:bidi="ar"/>
              </w:rPr>
              <w:t>8,310,563.43</w:t>
            </w:r>
            <w:r>
              <w:rPr>
                <w:rFonts w:hint="eastAsia" w:ascii="宋体" w:hAnsi="宋体" w:cs="宋体"/>
                <w:color w:val="auto"/>
                <w:kern w:val="0"/>
                <w:sz w:val="28"/>
                <w:szCs w:val="28"/>
                <w:highlight w:val="none"/>
                <w:lang w:bidi="ar"/>
              </w:rPr>
              <w:t>元</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人民币</w:t>
            </w:r>
            <w:r>
              <w:rPr>
                <w:rFonts w:hint="eastAsia" w:ascii="宋体" w:hAnsi="宋体" w:cs="宋体"/>
                <w:i w:val="0"/>
                <w:iCs w:val="0"/>
                <w:color w:val="auto"/>
                <w:kern w:val="0"/>
                <w:sz w:val="28"/>
                <w:szCs w:val="28"/>
                <w:highlight w:val="none"/>
                <w:u w:val="single"/>
                <w:lang w:val="en-US" w:eastAsia="zh-CN" w:bidi="ar"/>
              </w:rPr>
              <w:t>8,310,563.43</w:t>
            </w:r>
            <w:r>
              <w:rPr>
                <w:rFonts w:hint="eastAsia" w:ascii="宋体" w:hAnsi="宋体" w:cs="宋体"/>
                <w:color w:val="auto"/>
                <w:kern w:val="0"/>
                <w:sz w:val="28"/>
                <w:szCs w:val="28"/>
                <w:highlight w:val="none"/>
                <w:lang w:bidi="ar"/>
              </w:rPr>
              <w:t>元</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供应商投标报价高于最高限价的则其投标文件将按无效投标文件处理。</w:t>
            </w:r>
          </w:p>
        </w:tc>
      </w:tr>
      <w:tr>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100,000.00 </w:t>
            </w:r>
            <w:r>
              <w:rPr>
                <w:rFonts w:hint="eastAsia" w:ascii="宋体" w:hAnsi="宋体" w:cs="宋体"/>
                <w:color w:val="auto"/>
                <w:kern w:val="0"/>
                <w:sz w:val="28"/>
                <w:szCs w:val="28"/>
                <w:highlight w:val="none"/>
                <w:lang w:bidi="ar"/>
              </w:rPr>
              <w:t>元</w:t>
            </w:r>
          </w:p>
          <w:p>
            <w:pPr>
              <w:pStyle w:val="2"/>
              <w:jc w:val="both"/>
              <w:rPr>
                <w:rFonts w:hint="eastAsia"/>
              </w:rPr>
            </w:pPr>
            <w:r>
              <w:rPr>
                <w:rFonts w:hint="eastAsia" w:ascii="宋体" w:hAnsi="宋体" w:eastAsia="宋体" w:cs="宋体"/>
                <w:kern w:val="2"/>
                <w:sz w:val="28"/>
                <w:szCs w:val="28"/>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100,000.00 </w:t>
            </w:r>
            <w:r>
              <w:rPr>
                <w:rFonts w:hint="eastAsia" w:ascii="宋体" w:hAnsi="宋体" w:cs="宋体"/>
                <w:color w:val="auto"/>
                <w:kern w:val="0"/>
                <w:sz w:val="28"/>
                <w:szCs w:val="28"/>
                <w:highlight w:val="none"/>
                <w:lang w:bidi="ar"/>
              </w:rPr>
              <w:t>元</w:t>
            </w:r>
          </w:p>
          <w:p>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○非专门面向中小企业采购</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对供应商的</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①如供应商是企业（包括合伙企业），应提供在工商部门注册的有效“企业法人营业执照”或“营业执照”；</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②如供应商是事业单位，应提供有效的“事业单位法人证书”；</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③如供应商是为企业专业服务机构的，应提供执业许可证等证明文件；</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⑤如供应商为自然人，应提供有效的自然人身份证明。</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(2)提供2022</w:t>
            </w:r>
            <w:r>
              <w:rPr>
                <w:rFonts w:hint="eastAsia" w:ascii="宋体" w:hAnsi="宋体" w:cs="宋体"/>
                <w:color w:val="auto"/>
                <w:kern w:val="0"/>
                <w:sz w:val="28"/>
                <w:szCs w:val="28"/>
                <w:highlight w:val="none"/>
                <w:u w:val="single"/>
                <w:lang w:val="en-US" w:eastAsia="zh-CN" w:bidi="ar"/>
              </w:rPr>
              <w:t>或2023</w:t>
            </w:r>
            <w:r>
              <w:rPr>
                <w:rFonts w:hint="eastAsia" w:ascii="宋体" w:hAnsi="宋体" w:cs="宋体"/>
                <w:color w:val="auto"/>
                <w:kern w:val="0"/>
                <w:sz w:val="28"/>
                <w:szCs w:val="28"/>
                <w:highlight w:val="none"/>
                <w:u w:val="single"/>
                <w:lang w:bidi="ar"/>
              </w:rPr>
              <w:t>年度经审计的财务报告（成立时间至提交投标文件截止时间不足一年的可提供成立后任意时段的资产负债表），或投标截止时间前6个月内银行出具的资信证明；</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(3)提供投标文件递交截止日前一年内已缴纳的至少一个月的纳税证明或完税证明，依法免税的单位应提供相关证明材料；</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(4)提供投标文件递交截止日前一年内已缴存的至少一个月的社会保障资金缴存单据或社保机构开具的社会保险参保缴费情况证明，依法不需要缴纳社会保障资金的单位应提供相关证明材料；</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(5)提供具有履行合同所必需的设备和专业技术能力的承诺；</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(6)参加政府采购活动前3年内，在经营活动中没有重大违法记录的书面声明。</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2、特定资格条件：</w:t>
            </w:r>
          </w:p>
          <w:p>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val="en-US" w:eastAsia="zh-CN" w:bidi="ar"/>
              </w:rPr>
              <w:t>1</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法定代表人授权书（法定代表人直接参加投标，须提供法定代表人身份证明）；（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3）投标供应商须具备行业主管部门颁发的建筑工程施工总承包三级及以上资质并具有有效的安全生产许可证；（4）投标供应商拟派项目经理须具备行业主管部门颁发的建筑工程专业二级及以上建造师资质及有效的安全生产考核合格证书（建安B证），在本单位注册且无在建工程；（5）投标供应商基本信息及项目经理基本信息应在“陕西建设网（http://js.shaanxi.gov.cn/ ）陕西省建筑市场监管与诚信信息发布平台”可查询；(6)投标供应商不得在各级诚信信息平台被列为投标受限制的行为人（以承诺书为准）</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val="en-US" w:eastAsia="zh-CN" w:bidi="ar"/>
              </w:rPr>
              <w:t>7</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本项目不接受联合体投标，单位负责人为同一人或者存在直接控股、管理关系的不同供应商，不得参加同一合同项下的政府采购活动;(</w:t>
            </w:r>
            <w:r>
              <w:rPr>
                <w:rFonts w:hint="eastAsia" w:ascii="宋体" w:hAnsi="宋体" w:cs="宋体"/>
                <w:color w:val="auto"/>
                <w:kern w:val="0"/>
                <w:sz w:val="28"/>
                <w:szCs w:val="28"/>
                <w:highlight w:val="none"/>
                <w:u w:val="single"/>
                <w:lang w:val="en-US" w:eastAsia="zh-CN" w:bidi="ar"/>
              </w:rPr>
              <w:t>8</w:t>
            </w:r>
            <w:r>
              <w:rPr>
                <w:rFonts w:hint="eastAsia" w:ascii="宋体" w:hAnsi="宋体" w:cs="宋体"/>
                <w:color w:val="auto"/>
                <w:kern w:val="0"/>
                <w:sz w:val="28"/>
                <w:szCs w:val="28"/>
                <w:highlight w:val="none"/>
                <w:u w:val="single"/>
                <w:lang w:bidi="ar"/>
              </w:rPr>
              <w:t>)本项目专门面向中小企业采购，仅限符合《政府采购促进中小企业发展管理办法》的通知(财库〔2020〕46号)条件的中小企业参与，并提供中小企业声明函。</w:t>
            </w:r>
          </w:p>
          <w:p>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2"/>
                <w:rFonts w:hint="default"/>
                <w:color w:val="auto"/>
                <w:sz w:val="28"/>
                <w:szCs w:val="28"/>
                <w:highlight w:val="none"/>
                <w:lang w:bidi="ar"/>
              </w:rPr>
              <w:t>或者评审因素，不得在企业股权结构、经营年限等方面对中小企业实行差别待遇或者歧视待遇。</w:t>
            </w:r>
          </w:p>
        </w:tc>
      </w:tr>
      <w:tr>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是否接受</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○接受</w:t>
            </w:r>
            <w:r>
              <w:rPr>
                <w:rFonts w:hint="eastAsia" w:ascii="宋体" w:hAnsi="宋体" w:cs="宋体"/>
                <w:color w:val="auto"/>
                <w:kern w:val="0"/>
                <w:sz w:val="28"/>
                <w:szCs w:val="28"/>
                <w:highlight w:val="none"/>
                <w:lang w:bidi="ar"/>
              </w:rPr>
              <w:br w:type="textWrapping"/>
            </w:r>
            <w:r>
              <w:rPr>
                <w:rStyle w:val="12"/>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2"/>
                <w:color w:val="auto"/>
                <w:sz w:val="28"/>
                <w:szCs w:val="28"/>
                <w:highlight w:val="none"/>
                <w:lang w:bidi="ar"/>
              </w:rPr>
              <w:t xml:space="preserve">1 </w:t>
            </w:r>
            <w:r>
              <w:rPr>
                <w:rStyle w:val="12"/>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2"/>
                <w:rFonts w:hint="default"/>
                <w:color w:val="auto"/>
                <w:sz w:val="28"/>
                <w:szCs w:val="28"/>
                <w:highlight w:val="none"/>
                <w:lang w:bidi="ar"/>
              </w:rPr>
              <w:t>），用扣除后的报价参加评审。</w:t>
            </w:r>
          </w:p>
        </w:tc>
      </w:tr>
      <w:tr>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●由采购单位自行收退</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○由代理机构负责收退</w:t>
            </w:r>
          </w:p>
        </w:tc>
      </w:tr>
      <w:tr>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现场踏勘和</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●不组织</w:t>
            </w:r>
          </w:p>
        </w:tc>
      </w:tr>
      <w:tr>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政府采购法律法规未有明确限制。</w:t>
            </w:r>
          </w:p>
        </w:tc>
      </w:tr>
      <w:tr>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●总价</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○综合单价（适用于采购数量不定的情形）</w:t>
            </w:r>
            <w:r>
              <w:rPr>
                <w:rFonts w:hint="eastAsia" w:ascii="宋体" w:hAnsi="宋体" w:cs="宋体"/>
                <w:color w:val="auto"/>
                <w:kern w:val="0"/>
                <w:sz w:val="28"/>
                <w:szCs w:val="28"/>
                <w:highlight w:val="none"/>
                <w:lang w:bidi="ar"/>
              </w:rPr>
              <w:br w:type="textWrapping"/>
            </w: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○向有管辖权的人民法院提起诉讼</w:t>
            </w:r>
            <w:r>
              <w:rPr>
                <w:rFonts w:hint="eastAsia" w:asciiTheme="minorEastAsia" w:hAnsiTheme="minorEastAsia" w:eastAsiaTheme="minorEastAsia" w:cstheme="minorEastAsia"/>
                <w:color w:val="auto"/>
                <w:kern w:val="0"/>
                <w:sz w:val="28"/>
                <w:szCs w:val="28"/>
                <w:highlight w:val="none"/>
                <w:lang w:bidi="ar"/>
              </w:rPr>
              <w:br w:type="textWrapping"/>
            </w:r>
            <w:r>
              <w:rPr>
                <w:rFonts w:hint="eastAsia" w:asciiTheme="minorEastAsia" w:hAnsiTheme="minorEastAsia" w:eastAsiaTheme="minorEastAsia" w:cstheme="minorEastAsia"/>
                <w:color w:val="auto"/>
                <w:kern w:val="0"/>
                <w:sz w:val="28"/>
                <w:szCs w:val="28"/>
                <w:highlight w:val="none"/>
                <w:lang w:bidi="ar"/>
              </w:rPr>
              <w:t>○向西安仲裁委员会提请仲裁</w:t>
            </w:r>
            <w:r>
              <w:rPr>
                <w:rFonts w:hint="eastAsia" w:asciiTheme="minorEastAsia" w:hAnsiTheme="minorEastAsia" w:eastAsiaTheme="minorEastAsia" w:cstheme="minorEastAsia"/>
                <w:color w:val="auto"/>
                <w:kern w:val="0"/>
                <w:sz w:val="28"/>
                <w:szCs w:val="28"/>
                <w:highlight w:val="none"/>
                <w:lang w:bidi="ar"/>
              </w:rPr>
              <w:br w:type="textWrapping"/>
            </w:r>
            <w:r>
              <w:rPr>
                <w:rFonts w:hint="eastAsia" w:asciiTheme="minorEastAsia" w:hAnsiTheme="minorEastAsia" w:eastAsiaTheme="minorEastAsia" w:cstheme="minorEastAsia"/>
                <w:color w:val="auto"/>
                <w:kern w:val="0"/>
                <w:sz w:val="28"/>
                <w:szCs w:val="28"/>
                <w:highlight w:val="none"/>
                <w:lang w:bidi="ar"/>
              </w:rPr>
              <w:t>●由供应商做出选择</w:t>
            </w:r>
          </w:p>
        </w:tc>
      </w:tr>
      <w:tr>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left"/>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项目对接人：</w:t>
            </w:r>
            <w:r>
              <w:rPr>
                <w:rFonts w:hint="eastAsia" w:asciiTheme="minorEastAsia" w:hAnsiTheme="minorEastAsia" w:eastAsiaTheme="minorEastAsia" w:cstheme="minorEastAsia"/>
                <w:color w:val="auto"/>
                <w:kern w:val="0"/>
                <w:sz w:val="28"/>
                <w:szCs w:val="28"/>
                <w:highlight w:val="none"/>
                <w:u w:val="single"/>
                <w:lang w:val="en-US" w:eastAsia="zh-CN" w:bidi="ar"/>
              </w:rPr>
              <w:t xml:space="preserve">  王老师</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 xml:space="preserve">         </w:t>
            </w:r>
            <w:r>
              <w:rPr>
                <w:rFonts w:hint="eastAsia" w:asciiTheme="minorEastAsia" w:hAnsiTheme="minorEastAsia" w:eastAsiaTheme="minorEastAsia" w:cstheme="minorEastAsia"/>
                <w:color w:val="auto"/>
                <w:kern w:val="0"/>
                <w:sz w:val="28"/>
                <w:szCs w:val="28"/>
                <w:highlight w:val="none"/>
                <w:lang w:bidi="ar"/>
              </w:rPr>
              <w:br w:type="textWrapping"/>
            </w:r>
            <w:r>
              <w:rPr>
                <w:rFonts w:hint="eastAsia" w:asciiTheme="minorEastAsia" w:hAnsiTheme="minorEastAsia" w:eastAsiaTheme="minorEastAsia" w:cstheme="minorEastAsia"/>
                <w:color w:val="auto"/>
                <w:kern w:val="0"/>
                <w:sz w:val="28"/>
                <w:szCs w:val="28"/>
                <w:highlight w:val="none"/>
                <w:lang w:bidi="ar"/>
              </w:rPr>
              <w:t>联系电话：</w:t>
            </w:r>
            <w:r>
              <w:rPr>
                <w:rFonts w:hint="eastAsia" w:asciiTheme="minorEastAsia" w:hAnsiTheme="minorEastAsia" w:eastAsiaTheme="minorEastAsia" w:cstheme="minorEastAsia"/>
                <w:i w:val="0"/>
                <w:iCs w:val="0"/>
                <w:color w:val="auto"/>
                <w:kern w:val="0"/>
                <w:sz w:val="28"/>
                <w:szCs w:val="28"/>
                <w:highlight w:val="none"/>
                <w:u w:val="single"/>
                <w:lang w:bidi="ar"/>
              </w:rPr>
              <w:t xml:space="preserve"> </w:t>
            </w:r>
            <w:r>
              <w:rPr>
                <w:rFonts w:hint="eastAsia" w:asciiTheme="minorEastAsia" w:hAnsiTheme="minorEastAsia" w:eastAsiaTheme="minorEastAsia" w:cstheme="minorEastAsia"/>
                <w:i w:val="0"/>
                <w:iCs w:val="0"/>
                <w:color w:val="auto"/>
                <w:kern w:val="0"/>
                <w:sz w:val="28"/>
                <w:szCs w:val="28"/>
                <w:highlight w:val="none"/>
                <w:u w:val="single"/>
                <w:lang w:val="en-US" w:eastAsia="zh-CN" w:bidi="ar"/>
              </w:rPr>
              <w:t>029-82721359</w:t>
            </w:r>
            <w:r>
              <w:rPr>
                <w:rFonts w:hint="eastAsia" w:asciiTheme="minorEastAsia" w:hAnsiTheme="minorEastAsia" w:eastAsiaTheme="minorEastAsia" w:cstheme="minorEastAsia"/>
                <w:i w:val="0"/>
                <w:iCs w:val="0"/>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 xml:space="preserve">               </w:t>
            </w:r>
            <w:r>
              <w:rPr>
                <w:rFonts w:hint="eastAsia" w:asciiTheme="minorEastAsia" w:hAnsiTheme="minorEastAsia" w:eastAsiaTheme="minorEastAsia" w:cstheme="minorEastAsia"/>
                <w:color w:val="auto"/>
                <w:kern w:val="0"/>
                <w:sz w:val="28"/>
                <w:szCs w:val="28"/>
                <w:highlight w:val="none"/>
                <w:lang w:bidi="ar"/>
              </w:rPr>
              <w:br w:type="textWrapping"/>
            </w:r>
            <w:r>
              <w:rPr>
                <w:rFonts w:hint="eastAsia" w:asciiTheme="minorEastAsia" w:hAnsiTheme="minorEastAsia" w:eastAsiaTheme="minorEastAsia" w:cstheme="minorEastAsia"/>
                <w:color w:val="auto"/>
                <w:kern w:val="0"/>
                <w:sz w:val="28"/>
                <w:szCs w:val="28"/>
                <w:highlight w:val="none"/>
                <w:lang w:bidi="ar"/>
              </w:rPr>
              <w:t>电子信箱：</w:t>
            </w:r>
            <w:r>
              <w:rPr>
                <w:rFonts w:hint="eastAsia" w:asciiTheme="minorEastAsia" w:hAnsiTheme="minorEastAsia" w:eastAsiaTheme="minorEastAsia" w:cstheme="minorEastAsia"/>
                <w:color w:val="auto"/>
                <w:kern w:val="0"/>
                <w:sz w:val="28"/>
                <w:szCs w:val="28"/>
                <w:highlight w:val="none"/>
                <w:u w:val="single"/>
                <w:lang w:bidi="ar"/>
              </w:rPr>
              <w:t xml:space="preserve">     /    </w:t>
            </w:r>
            <w:r>
              <w:rPr>
                <w:rFonts w:hint="eastAsia" w:asciiTheme="minorEastAsia" w:hAnsiTheme="minorEastAsia" w:eastAsiaTheme="minorEastAsia" w:cstheme="minorEastAsia"/>
                <w:color w:val="auto"/>
                <w:kern w:val="0"/>
                <w:sz w:val="28"/>
                <w:szCs w:val="28"/>
                <w:highlight w:val="none"/>
                <w:u w:val="single"/>
                <w:lang w:val="en-US" w:eastAsia="zh-CN" w:bidi="ar"/>
              </w:rPr>
              <w:t xml:space="preserve"> </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 xml:space="preserve">       </w:t>
            </w:r>
            <w:bookmarkStart w:id="0" w:name="_GoBack"/>
            <w:bookmarkEnd w:id="0"/>
          </w:p>
        </w:tc>
      </w:tr>
    </w:tbl>
    <w:p>
      <w:pPr>
        <w:jc w:val="center"/>
        <w:rPr>
          <w:rFonts w:hint="eastAsia" w:ascii="宋体" w:hAnsi="宋体" w:cs="宋体"/>
          <w:b/>
          <w:color w:val="000000"/>
          <w:kern w:val="0"/>
          <w:sz w:val="30"/>
          <w:szCs w:val="30"/>
          <w:lang w:bidi="ar"/>
        </w:rPr>
        <w:sectPr>
          <w:headerReference r:id="rId3" w:type="default"/>
          <w:pgSz w:w="11906" w:h="16838"/>
          <w:pgMar w:top="1417" w:right="1417" w:bottom="1417" w:left="1417" w:header="851" w:footer="992" w:gutter="0"/>
          <w:cols w:space="720" w:num="1"/>
          <w:docGrid w:type="lines" w:linePitch="312" w:charSpace="0"/>
        </w:sectPr>
      </w:pPr>
    </w:p>
    <w:p>
      <w:pPr>
        <w:jc w:val="center"/>
        <w:rPr>
          <w:rFonts w:hint="eastAsia" w:ascii="宋体" w:hAnsi="宋体" w:cs="宋体"/>
          <w:b/>
          <w:color w:val="000000"/>
          <w:kern w:val="0"/>
          <w:sz w:val="30"/>
          <w:szCs w:val="30"/>
          <w:lang w:bidi="ar"/>
        </w:rPr>
      </w:pPr>
      <w:r>
        <w:rPr>
          <w:rFonts w:hint="eastAsia" w:ascii="宋体" w:hAnsi="宋体" w:cs="宋体"/>
          <w:b/>
          <w:color w:val="000000"/>
          <w:kern w:val="0"/>
          <w:sz w:val="30"/>
          <w:szCs w:val="30"/>
          <w:lang w:bidi="ar"/>
        </w:rPr>
        <w:t>需求框架</w:t>
      </w:r>
    </w:p>
    <w:p>
      <w:pPr>
        <w:rPr>
          <w:rFonts w:hint="eastAsia"/>
          <w:sz w:val="28"/>
          <w:szCs w:val="28"/>
        </w:rPr>
      </w:pPr>
      <w:r>
        <w:rPr>
          <w:rFonts w:hint="eastAsia" w:ascii="宋体" w:hAnsi="宋体" w:cs="宋体"/>
          <w:b/>
          <w:color w:val="000000"/>
          <w:kern w:val="0"/>
          <w:sz w:val="28"/>
          <w:szCs w:val="28"/>
          <w:lang w:bidi="ar"/>
        </w:rPr>
        <w:t>一、项目概况</w:t>
      </w:r>
    </w:p>
    <w:p>
      <w:pPr>
        <w:ind w:firstLine="560" w:firstLineChars="200"/>
        <w:rPr>
          <w:rFonts w:hint="eastAsia" w:ascii="宋体" w:hAnsi="宋体" w:eastAsia="宋体" w:cs="宋体"/>
          <w:color w:val="auto"/>
          <w:kern w:val="28"/>
          <w:sz w:val="28"/>
          <w:szCs w:val="28"/>
          <w:highlight w:val="none"/>
        </w:rPr>
      </w:pPr>
      <w:r>
        <w:rPr>
          <w:rFonts w:hint="eastAsia" w:ascii="宋体" w:hAnsi="宋体" w:eastAsia="宋体" w:cs="宋体"/>
          <w:color w:val="auto"/>
          <w:kern w:val="28"/>
          <w:sz w:val="28"/>
          <w:szCs w:val="28"/>
          <w:highlight w:val="none"/>
        </w:rPr>
        <w:t>三里镇杨村设施蔬菜产业园（联村集体经济）</w:t>
      </w:r>
      <w:r>
        <w:rPr>
          <w:rFonts w:hint="eastAsia" w:ascii="宋体" w:hAnsi="宋体" w:eastAsia="宋体" w:cs="宋体"/>
          <w:color w:val="auto"/>
          <w:kern w:val="28"/>
          <w:sz w:val="28"/>
          <w:szCs w:val="28"/>
          <w:highlight w:val="none"/>
          <w:lang w:eastAsia="zh-CN"/>
        </w:rPr>
        <w:t>为</w:t>
      </w:r>
      <w:r>
        <w:rPr>
          <w:rFonts w:hint="eastAsia" w:ascii="宋体" w:hAnsi="宋体" w:eastAsia="宋体" w:cs="宋体"/>
          <w:color w:val="auto"/>
          <w:kern w:val="28"/>
          <w:sz w:val="28"/>
          <w:szCs w:val="28"/>
          <w:highlight w:val="none"/>
        </w:rPr>
        <w:t>蔬菜</w:t>
      </w:r>
      <w:r>
        <w:rPr>
          <w:rFonts w:hint="eastAsia" w:ascii="宋体" w:hAnsi="宋体" w:eastAsia="宋体" w:cs="宋体"/>
          <w:color w:val="auto"/>
          <w:kern w:val="0"/>
          <w:sz w:val="28"/>
          <w:szCs w:val="28"/>
          <w:lang w:val="en-US" w:eastAsia="zh-CN" w:bidi="ar"/>
        </w:rPr>
        <w:t>生产加工棚及相关配套设施建设，</w:t>
      </w:r>
      <w:r>
        <w:rPr>
          <w:rFonts w:hint="eastAsia" w:ascii="宋体" w:hAnsi="宋体" w:eastAsia="宋体" w:cs="宋体"/>
          <w:color w:val="auto"/>
          <w:sz w:val="28"/>
          <w:szCs w:val="28"/>
          <w:highlight w:val="none"/>
          <w:lang w:val="en-US" w:eastAsia="zh-CN"/>
        </w:rPr>
        <w:t>各单体建筑物电气、给排水工程、室外排水渠、室外管道、室外电缆工程及配套构筑物等。</w:t>
      </w:r>
    </w:p>
    <w:p>
      <w:pPr>
        <w:rPr>
          <w:sz w:val="28"/>
          <w:szCs w:val="28"/>
        </w:rPr>
      </w:pPr>
      <w:r>
        <w:rPr>
          <w:rFonts w:hint="eastAsia" w:ascii="宋体" w:hAnsi="宋体" w:cs="宋体"/>
          <w:b/>
          <w:color w:val="000000"/>
          <w:kern w:val="0"/>
          <w:sz w:val="28"/>
          <w:szCs w:val="28"/>
          <w:lang w:bidi="ar"/>
        </w:rPr>
        <w:t>二、工程内容和施工地点、计划工期、缺陷责任期、质量保修期</w:t>
      </w:r>
    </w:p>
    <w:p>
      <w:pPr>
        <w:shd w:val="clear" w:color="auto" w:fill="FFFFFF"/>
        <w:snapToGrid w:val="0"/>
        <w:spacing w:line="360" w:lineRule="auto"/>
        <w:ind w:firstLine="562" w:firstLineChars="200"/>
        <w:rPr>
          <w:rFonts w:hint="eastAsia" w:ascii="宋体" w:hAnsi="宋体" w:cs="宋体"/>
          <w:color w:val="auto"/>
          <w:kern w:val="28"/>
          <w:sz w:val="28"/>
          <w:szCs w:val="28"/>
          <w:lang w:val="en-US" w:eastAsia="zh-CN"/>
        </w:rPr>
      </w:pPr>
      <w:r>
        <w:rPr>
          <w:rFonts w:hint="eastAsia" w:ascii="宋体" w:hAnsi="宋体" w:cs="宋体"/>
          <w:b/>
          <w:bCs/>
          <w:color w:val="auto"/>
          <w:kern w:val="28"/>
          <w:sz w:val="28"/>
          <w:szCs w:val="28"/>
        </w:rPr>
        <w:t>（一）工程内容</w:t>
      </w:r>
      <w:r>
        <w:rPr>
          <w:rFonts w:hint="eastAsia" w:ascii="宋体" w:hAnsi="宋体" w:cs="宋体"/>
          <w:color w:val="auto"/>
          <w:kern w:val="28"/>
          <w:sz w:val="28"/>
          <w:szCs w:val="28"/>
        </w:rPr>
        <w:t>：</w:t>
      </w:r>
      <w:r>
        <w:rPr>
          <w:rFonts w:hint="eastAsia" w:ascii="宋体" w:hAnsi="宋体" w:cs="宋体"/>
          <w:color w:val="auto"/>
          <w:kern w:val="28"/>
          <w:sz w:val="28"/>
          <w:szCs w:val="28"/>
          <w:lang w:val="en-US" w:eastAsia="zh-CN"/>
        </w:rPr>
        <w:t>本次工程建设规模包括路北区112m长日光温室（附带耳房）10栋、69m长日光温室（附带耳房）1栋、83m长日光温室（附带耳房）1栋、65m长日光温室（附带耳房）2栋，合计14栋；路南区域拱棚长72m,跨度16m,合计9栋；路北区域包括分拣预冷包装区300m2（含80m2冷库）1座、库房管理用房30m2 1座、3*12m的蓄水池泵房1座、100m3预制玻璃钢蓄水池1座、区域道路宽6m长181.29m；路南区域库房管理用房30m2 1座、3*12m的蓄水池泵房1座、100m3预制玻璃钢蓄水池1座、区域道路宽6m长85.78m；各单体建筑物电气、给排水工程、室外排水渠、室外管道、室外电缆工程及配套构筑物等</w:t>
      </w:r>
    </w:p>
    <w:p>
      <w:pPr>
        <w:numPr>
          <w:ilvl w:val="0"/>
          <w:numId w:val="1"/>
        </w:numPr>
        <w:shd w:val="clear" w:color="auto" w:fill="FFFFFF"/>
        <w:snapToGrid w:val="0"/>
        <w:spacing w:line="360" w:lineRule="auto"/>
        <w:ind w:firstLine="562" w:firstLineChars="200"/>
        <w:rPr>
          <w:rFonts w:hint="eastAsia" w:ascii="宋体" w:hAnsi="宋体" w:cs="宋体"/>
          <w:color w:val="auto"/>
          <w:kern w:val="28"/>
          <w:sz w:val="28"/>
          <w:szCs w:val="28"/>
          <w:highlight w:val="none"/>
          <w:u w:val="none"/>
        </w:rPr>
      </w:pP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w:t>
      </w:r>
      <w:r>
        <w:rPr>
          <w:rFonts w:hint="eastAsia" w:asciiTheme="minorEastAsia" w:hAnsiTheme="minorEastAsia" w:cstheme="minorEastAsia"/>
          <w:sz w:val="28"/>
          <w:szCs w:val="28"/>
          <w:highlight w:val="none"/>
          <w:lang w:val="en-US" w:eastAsia="zh-CN"/>
        </w:rPr>
        <w:t>陕西省西安市蓝田县三里镇杨村</w:t>
      </w:r>
    </w:p>
    <w:p>
      <w:pPr>
        <w:numPr>
          <w:ilvl w:val="0"/>
          <w:numId w:val="1"/>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180</w:t>
      </w:r>
      <w:r>
        <w:rPr>
          <w:rFonts w:hint="eastAsia" w:ascii="宋体" w:hAnsi="宋体" w:cs="宋体"/>
          <w:kern w:val="28"/>
          <w:sz w:val="28"/>
          <w:szCs w:val="28"/>
          <w:highlight w:val="none"/>
        </w:rPr>
        <w:t>日历天</w:t>
      </w:r>
    </w:p>
    <w:p>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pPr>
        <w:shd w:val="clear" w:color="auto" w:fill="FFFFFF"/>
        <w:snapToGrid w:val="0"/>
        <w:spacing w:line="360" w:lineRule="auto"/>
        <w:ind w:firstLine="562" w:firstLineChars="200"/>
        <w:rPr>
          <w:rFonts w:hint="eastAsia" w:ascii="宋体" w:hAnsi="宋体" w:eastAsia="仿宋"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：基础设施工程、房屋建筑的地基基础工程和主体结构工程，为设计文件规定的该工程的合理使用年限</w:t>
      </w:r>
      <w:r>
        <w:rPr>
          <w:rFonts w:hint="eastAsia" w:ascii="宋体" w:hAnsi="宋体" w:cs="宋体"/>
          <w:kern w:val="28"/>
          <w:sz w:val="28"/>
          <w:szCs w:val="28"/>
          <w:highlight w:val="none"/>
          <w:lang w:eastAsia="zh-CN"/>
        </w:rPr>
        <w:t>；</w:t>
      </w:r>
      <w:r>
        <w:rPr>
          <w:rFonts w:hint="eastAsia" w:ascii="宋体" w:hAnsi="宋体" w:cs="宋体"/>
          <w:kern w:val="28"/>
          <w:sz w:val="28"/>
          <w:szCs w:val="28"/>
          <w:highlight w:val="none"/>
        </w:rPr>
        <w:t>屋面防水工程、有防水要求的卫生间、房间和外墙面的防渗漏，为5年</w:t>
      </w:r>
      <w:r>
        <w:rPr>
          <w:rFonts w:hint="eastAsia" w:ascii="宋体" w:hAnsi="宋体" w:cs="宋体"/>
          <w:kern w:val="28"/>
          <w:sz w:val="28"/>
          <w:szCs w:val="28"/>
          <w:highlight w:val="none"/>
          <w:lang w:eastAsia="zh-CN"/>
        </w:rPr>
        <w:t>；</w:t>
      </w:r>
      <w:r>
        <w:rPr>
          <w:rFonts w:hint="eastAsia" w:ascii="宋体" w:hAnsi="宋体" w:cs="宋体"/>
          <w:kern w:val="28"/>
          <w:sz w:val="28"/>
          <w:szCs w:val="28"/>
          <w:highlight w:val="none"/>
        </w:rPr>
        <w:t>供热与供冷系统，为2个采暖期、供冷期</w:t>
      </w:r>
      <w:r>
        <w:rPr>
          <w:rFonts w:hint="eastAsia" w:ascii="宋体" w:hAnsi="宋体" w:cs="宋体"/>
          <w:kern w:val="28"/>
          <w:sz w:val="28"/>
          <w:szCs w:val="28"/>
          <w:highlight w:val="none"/>
          <w:lang w:eastAsia="zh-CN"/>
        </w:rPr>
        <w:t>；</w:t>
      </w:r>
      <w:r>
        <w:rPr>
          <w:rFonts w:hint="eastAsia" w:ascii="宋体" w:hAnsi="宋体" w:cs="宋体"/>
          <w:kern w:val="28"/>
          <w:sz w:val="28"/>
          <w:szCs w:val="28"/>
          <w:highlight w:val="none"/>
        </w:rPr>
        <w:t>电气管线、给排水管道、设备安装和装修工程，为2年。</w:t>
      </w:r>
    </w:p>
    <w:p>
      <w:pPr>
        <w:ind w:firstLine="562" w:firstLineChars="200"/>
        <w:rPr>
          <w:b/>
          <w:bCs/>
          <w:color w:val="auto"/>
          <w:sz w:val="28"/>
          <w:szCs w:val="28"/>
        </w:rPr>
      </w:pPr>
      <w:r>
        <w:rPr>
          <w:rFonts w:hint="eastAsia"/>
          <w:b/>
          <w:bCs/>
          <w:color w:val="auto"/>
          <w:sz w:val="28"/>
          <w:szCs w:val="28"/>
        </w:rPr>
        <w:t>三、工程量清单和计价依据</w:t>
      </w:r>
    </w:p>
    <w:p>
      <w:pPr>
        <w:shd w:val="clear" w:color="auto" w:fill="FFFFFF"/>
        <w:snapToGrid w:val="0"/>
        <w:spacing w:line="360" w:lineRule="auto"/>
        <w:ind w:firstLine="562" w:firstLineChars="200"/>
        <w:rPr>
          <w:rFonts w:hint="eastAsia" w:ascii="宋体" w:hAnsi="宋体" w:cs="宋体"/>
          <w:b/>
          <w:bCs/>
          <w:color w:val="auto"/>
          <w:kern w:val="28"/>
          <w:sz w:val="28"/>
          <w:szCs w:val="28"/>
        </w:rPr>
      </w:pPr>
      <w:r>
        <w:rPr>
          <w:rFonts w:hint="eastAsia" w:ascii="宋体" w:hAnsi="宋体" w:cs="宋体"/>
          <w:b/>
          <w:bCs/>
          <w:color w:val="auto"/>
          <w:kern w:val="28"/>
          <w:sz w:val="28"/>
          <w:szCs w:val="28"/>
        </w:rPr>
        <w:t>（一）计价依据</w:t>
      </w:r>
    </w:p>
    <w:p>
      <w:pPr>
        <w:shd w:val="clear" w:color="auto" w:fill="FFFFFF"/>
        <w:snapToGrid w:val="0"/>
        <w:spacing w:line="360" w:lineRule="auto"/>
        <w:ind w:firstLine="560" w:firstLineChars="200"/>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1、编制范围为图纸设计所有内容；</w:t>
      </w:r>
    </w:p>
    <w:p>
      <w:pPr>
        <w:shd w:val="clear" w:color="auto" w:fill="FFFFFF"/>
        <w:snapToGrid w:val="0"/>
        <w:spacing w:line="360" w:lineRule="auto"/>
        <w:ind w:firstLine="560" w:firstLineChars="200"/>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2、《陕西省建设工程工程量清单计价规则》（2009）；</w:t>
      </w:r>
    </w:p>
    <w:p>
      <w:pPr>
        <w:shd w:val="clear" w:color="auto" w:fill="FFFFFF"/>
        <w:snapToGrid w:val="0"/>
        <w:spacing w:line="360" w:lineRule="auto"/>
        <w:ind w:firstLine="560" w:firstLineChars="200"/>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3、正常施工组织设计及施工方法；</w:t>
      </w:r>
    </w:p>
    <w:p>
      <w:pPr>
        <w:shd w:val="clear" w:color="auto" w:fill="FFFFFF"/>
        <w:snapToGrid w:val="0"/>
        <w:spacing w:line="360" w:lineRule="auto"/>
        <w:ind w:firstLine="560" w:firstLineChars="200"/>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4、设计图采用的相关标准图集、施工规范及验收规范；</w:t>
      </w:r>
    </w:p>
    <w:p>
      <w:pPr>
        <w:keepNext w:val="0"/>
        <w:keepLines w:val="0"/>
        <w:widowControl/>
        <w:suppressLineNumbers w:val="0"/>
        <w:ind w:firstLine="562" w:firstLineChars="200"/>
        <w:jc w:val="both"/>
        <w:textAlignment w:val="center"/>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（二）工程量清单：</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324"/>
        <w:gridCol w:w="324"/>
        <w:gridCol w:w="324"/>
        <w:gridCol w:w="345"/>
        <w:gridCol w:w="1346"/>
        <w:gridCol w:w="1346"/>
        <w:gridCol w:w="960"/>
        <w:gridCol w:w="966"/>
        <w:gridCol w:w="960"/>
        <w:gridCol w:w="240"/>
        <w:gridCol w:w="22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3.挖土深度:0.8m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后背土墙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1.后背墙体回填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1.挖土(石)方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侧山土墙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1.侧山土墙回填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1.钢材种类、规格:150*200*6mm钢板，钢筋φ8=220mm，土墙预埋加强管φ25*2、φ25*1.8，压膜线挂钩、压被扁铁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1.螺栓（铁件）制作、运输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2.螺栓（铁件）安装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1.钢材品种、规格:镀锌圆管立柱φ60*2.5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1.钢材品种、规格:30*75*2mm热镀锌椭圆管，φ60*2.5镀锌纵向拉杆，纵向横杆φ25*1.8、通长杆φ50*2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1.钢材品种、规格:φ32*2镀锌圆管斜支撑，φ32*2镀锌圆管剪刀撑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膜结构屋面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1.膜布品种、规格、颜色:10丝po膜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2.部位:固定膜、卷膜、裙膜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1.膜布热压胶接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2.膜布安装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1.4层防水保温被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AB002</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防兜水护网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1.热镀锌包塑钢丝网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2.丝径1.5mm，孔径50*50mm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防虫网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1.防虫网40目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AB004</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1.压膜绳：压膜线，白色，间距1m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AB005</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1.压膜槽，1.0mm镀锌卡槽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AB006</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1.压膜簧(包塑卡簧）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010403004001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1.底部圈梁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2.混凝土强度等级:C30 240*240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AB007</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1.部位:后背土墙，侧山墙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2.500g/m2棉毡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020102001001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棚内道路地面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1.一层红砖+勾缝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3.原土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4.材料运输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1.面层厚度:80厚C30混凝土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1.地基夯实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2.铺设垫层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4.变形缝填塞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AB008</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棚内钢丝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1.棚内钢丝设置（12号镀锌钢丝）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AB009</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钢丝固定器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1.钢丝固定件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2.成品地锚+30米长镀锌钢丝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AB010</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山墙防风绳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1.紧固6mm包皮铁丝+紧线器+钢丝夹+两端含地锚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拱杆卡箍1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1.拱杆卡箍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纵杆双头卡箍2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1.纵杆双头卡箍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立柱帽连接件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1.立柱帽连接件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2.圆管Φ60+纵管Φ60+椭圆管75*30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1"/>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3.挖土深度:0.8m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后背土墙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1.后背墙体回填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侧山土墙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1.侧山土墙回填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1.钢材种类、规格:150*200*6mm钢板，钢筋φ8=220mm，土墙预埋加强管φ25*2、φ25*1.8，拉绳环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1.螺栓（铁件）制作、运输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2.螺栓（铁件）安装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1.钢材品种、规格:镀锌圆管立柱φ60*2.5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1.钢材品种、规格:30*75*2mm热镀锌椭圆管，φ60*2.5镀锌纵向拉杆，纵向横杆φ25*1.8、通长杆φ50*2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1.钢材品种、规格:φ32*2镀锌圆管斜支撑，φ32*2镀锌圆管剪刀撑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膜结构屋面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1.膜布品种、规格、颜色:10丝po膜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2.部位:固定膜、卷膜、裙膜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1.膜布热压胶接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2.膜布安装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1.4层防水保温被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AB002</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防兜水护网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1.热镀锌包塑钢丝网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2.丝径1.5mm，孔径50*50mm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防虫网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1.防虫网40目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AB004</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1.压膜绳：压膜线，白色，间距1m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AB005</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1.压膜槽，1.0mm镀锌卡槽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AB006</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1.压膜簧(包塑卡簧）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010403004001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1.底部圈梁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2.混凝土强度等级:C30 240*240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AB007</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1.部位:后背土墙，侧山墙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2.500g/m2棉毡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020102001001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棚内道路地面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1.一层红砖+勾缝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3.原土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4.材料运输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1.面层厚度:80厚C30混凝土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1.地基夯实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2.铺设垫层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4.变形缝填塞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AB008</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棚内钢丝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1.棚内钢丝设置（12号镀锌钢丝）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AB009</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钢丝固定器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1.钢丝固定件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2.成品地锚+30米长镀锌钢丝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AB010</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山墙防风绳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1.紧固6mm包皮铁丝+紧线器+钢丝夹+两端含地锚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拱杆卡箍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1.拱杆卡箍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纵杆双头卡箍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1.纵杆双头卡箍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立柱帽连接件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1.立柱帽连接件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3.挖土深度:0.8m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后背土墙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1.后背墙体回填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侧山土墙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1.侧山土墙回填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1.钢材种类、规格:150*200*6mm钢板，钢筋φ8=220mm，土墙预埋加强管φ25*2、φ25*1.8，拉绳环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1.螺栓（铁件）制作、运输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2.螺栓（铁件）安装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1.钢材品种、规格:镀锌圆管立柱φ60*2.5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1.钢材品种、规格:30*75*2mm热镀锌椭圆管，φ60*2.5镀锌纵向拉杆，纵向横杆φ25*1.8、通长杆φ50*2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1.钢材品种、规格:φ32*2镀锌圆管斜支撑，φ32*2镀锌圆管剪刀撑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膜结构屋面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1.膜布品种、规格、颜色:10丝po膜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2.部位:固定膜、卷膜、裙膜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1.膜布热压胶接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2.膜布安装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1.4层防水保温被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AB002</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防兜水护网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1.热镀锌包塑钢丝网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2.丝径1.5mm，孔径50*50mm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防虫网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1.防虫网40目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AB004</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1.压膜绳：压膜线，白色，间距1m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AB005</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1.压膜槽，1.0mm镀锌卡槽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AB006</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1.压膜簧(包塑卡簧）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010403004001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1.底部圈梁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2.混凝土强度等级:C30 240*240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AB007</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1.部位:后背土墙，侧山墙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2.500g/m2棉毡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020102001001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棚内道路地面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1.一层红砖+勾缝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3.原土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4.材料运输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1.面层厚度:80厚C30混凝土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1.地基夯实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2.铺设垫层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4.变形缝填塞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AB008</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棚内钢丝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1.棚内钢丝设置（12号镀锌钢丝）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AB009</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钢丝固定器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1.钢丝固定件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2.成品地锚+30米长镀锌钢丝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AB010</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山墙防风绳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1.紧固6mm包皮铁丝+紧线器+钢丝夹+两端含地锚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拱杆卡箍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1.拱杆卡箍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纵杆双头卡箍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1.纵杆双头卡箍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立柱帽连接件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1.立柱帽连接件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3.挖土深度:0.8m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后背土墙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1.后背墙体回填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侧山土墙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1.侧山土墙回填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1.钢材种类、规格:150*200*6mm钢板，钢筋φ8=220mm，土墙预埋加强管φ25*2、φ25*1.8，拉绳环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1.螺栓（铁件）制作、运输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2.螺栓（铁件）安装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1.钢材品种、规格:镀锌圆管立柱φ60*2.5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1.钢材品种、规格:30*75*2mm热镀锌椭圆管，φ60*2.5镀锌纵向拉杆，纵向横杆φ25*1.8、通长杆φ50*2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1.钢材品种、规格:φ32*2镀锌圆管斜支撑，φ32*2镀锌圆管剪刀撑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膜结构屋面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1.膜布品种、规格、颜色:10丝PO膜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2.部位:固定膜、卷膜、裙膜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1.膜布热压胶接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2.膜布安装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1.4层防水保温被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AB002</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防兜水护网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1.热镀锌包塑钢丝网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2.丝径1.5mm，孔径50*50mm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防虫网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1.防虫网40目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AB004</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1.压膜绳：压膜线，白色，间距1m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AB005</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1.压膜槽，1.0mm镀锌卡槽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AB006</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1.压膜簧(包塑卡簧）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010403004001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1.底部圈梁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2.混凝土强度等级:C30 240*240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AB007</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1.部位:后背土墙，侧山墙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2.500g/m2棉毡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020102001001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棚内道路地面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1.一层红砖+勾缝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3.原土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4.材料运输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1.面层厚度:80厚C30混凝土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1.地基夯实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2.铺设垫层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4.变形缝填塞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AB008</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棚内钢丝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1.棚内钢丝设置（12号镀锌钢丝）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AB009</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钢丝固定器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1.钢丝固定件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2.成品地锚+30米长镀锌钢丝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AB010</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山墙防风绳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1.紧固6mm包皮铁丝+紧线器+钢丝夹+两端含地锚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拱杆卡箍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1.拱杆卡箍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纵杆双头卡箍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1.纵杆双头卡箍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立柱帽连接件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1.立柱帽连接件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卷膜开窗系统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1.导杆φ32*2、导杆φ25*1.8，卷膜杆缩头圆管25*1.5、螺栓M10*40、棚膜卡箍、卷膜器摆杆、卷膜器固定架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1.手动卷膜器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卷被系统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1.卷被伸缩杆φ76*5、伸缩杆φ60*5、法兰盘φ76，法兰盘螺栓M12*40，卷被轴φ76*3、2.5寸*4地锚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卷被机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1.名称:卷被机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2.规格:AC380V/1500W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3.备注:每套卷被电机配6套限位开关(上三下三),总用电负荷10kw。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卷膜开窗系统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1.导杆φ32*2、导杆φ25*1.8，卷膜杆缩头圆管25*1.5、螺栓M10*40、棚膜卡箍、卷膜器摆杆、卷膜器固定架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1.手动卷膜器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卷被系统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1.卷被伸缩杆φ76*5、伸缩杆φ60*5、法兰盘φ76，法兰盘螺栓M12*40，卷被轴φ76*3、2.5寸*4地锚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卷被机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1.名称:卷被机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2.规格:AC380V/1500W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3.备注:每套卷被电机配6套限位开关(上三下三),总用电负荷10kw。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卷膜开窗系统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1.导杆φ32*2、导杆φ25*1.8，卷膜杆缩头圆管25*1.5、螺栓M10*40、棚膜卡箍、卷膜器摆杆、卷膜器固定架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1.手动卷膜器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卷被系统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1.卷被伸缩杆φ76*5、伸缩杆φ60*5、法兰盘φ76，法兰盘螺栓M12*40，卷被轴φ76*3、2.5寸*4地锚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卷被机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1.名称:卷被机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2.规格:AC380V/1500W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3.备注:每套卷被电机配6套限位开关(上三下三),总用电负荷10kw。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卷膜开窗系统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1.导杆φ32*2、导杆φ25*1.8，卷膜杆缩头圆管25*1.5、螺栓M10*40、棚膜卡箍、卷膜器摆杆、卷膜器固定架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1.手动卷膜器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卷被系统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1.卷被伸缩杆φ76*5、伸缩杆φ60*5、法兰盘φ76，法兰盘螺栓M12*40，卷被轴φ76*3、2.5寸*4地锚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卷被机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1.名称:卷被机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2.规格:AC380V/1500W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3.备注:每套卷被电机配6套限位开关(上三下三),总用电负荷10kw。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010403004001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1.底部圈梁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2.混凝土强度等级:C25 240*300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1.钢材种类、规格:150*200*6mm钢板，钢筋φ8=220mm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1.螺栓（铁件）制作、运输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2.螺栓（铁件）安装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010416001001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1.钢筋种类、规格:螺纹钢10以上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1.钢筋（网、笼）制作、运输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2.钢筋（网、笼）安装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1.钢材品种、规格:镀锌矩管立柱φ100*50*2、φ80*50*2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1.钢材品种、规格:30*75*2mm热镀锌椭圆管，φ25*1.5镀锌纵向拉杆，屋脊矩管100*50*2.5、40*20*2.5，侧墙横管40*40*1.5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1.钢材品种、规格:φ32*2镀锌圆管斜支撑，φ32*2镀锌圆管剪刀撑，横梁80*50*2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膜结构屋面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1.膜布品种、规格、颜色:三防膜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1.膜布安装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1.4层防水保温被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防兜水护网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1.防护钢丝网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防虫网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1.防虫网40目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AB004</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13961.25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AB005</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AB006</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1.压膜簧(包塑卡簧）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AB007</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棚内钢丝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1.棚内钢丝设置（12号镀锌钢丝）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AB008</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钢丝固定器</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1.钢丝固定件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2.成品地锚+30米长镀锌钢丝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AB009</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山墙防风绳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1.紧固6mm包皮铁丝+紧线器+钢丝夹+两端含地锚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AB010</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拱杆卡箍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1.拱杆卡箍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纵杆双头卡箍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1.纵杆双头卡箍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AB012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立柱帽连接件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1.立柱帽连接件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简易焊接门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1.门类型:普通门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2.框材质、外围尺寸:2000*2200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卷膜开窗系统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1.导杆φ32*2、导杆φ25*1.8，卷膜杆缩头圆管25*1.5、螺栓M10*40、棚膜卡箍、卷膜器摆杆、卷膜器固定架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1.手动卷膜器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卷被系统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1.卷被伸缩杆φ76*5、伸缩杆φ60*5、法兰盘φ76，法兰盘螺栓M12*40，卷被轴φ76*3、2.5寸*4地锚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2.制作及安装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卷被机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1.名称:卷被机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2.规格:AC380V/1500W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3.备注:每套卷被电机配6套限位开关(上三下三),总用电负荷10kw。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1.名称:AC控制、操作箱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2.规格、型号:铁质非标 10KW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1.箱体安装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3.配置形式及部位:明配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2.接线盒（箱）、灯头盒、开关盒、插座盒安装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2.导线型号、材质、规格:RVV2*1.0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2.导线型号、材质、规格:RVV4*4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普通吸顶灯及其他灯具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1.名称:白炽灯带开关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2.规格、型号:AC200V/50W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1.名称:AC控制、操作箱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2.规格、型号:铁质非标 10KW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1.箱体安装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3.配置形式及部位:明配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2.接线盒（箱）、灯头盒、开关盒、插座盒安装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2.导线型号、材质、规格:RVV2*1.0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2.导线型号、材质、规格:RVV4*4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普通吸顶灯及其他灯具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1.名称:白炽灯带开关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2.规格、型号:AC200V/50W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1.名称:AC控制、操作箱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2.规格、型号:铁质非标 10KW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1.箱体安装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3.配置形式及部位:明配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2.接线盒（箱）、灯头盒、开关盒、插座盒安装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2.导线型号、材质、规格:RVV2*1.0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2.导线型号、材质、规格:RVV4*4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普通吸顶灯及其他灯具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1.名称:白炽灯带开关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2.规格、型号:AC200V/50W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1.名称:AC控制、操作箱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2.规格、型号:铁质非标 10KW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1.箱体安装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3.配置形式及部位:明配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2.接线盒（箱）、灯头盒、开关盒、插座盒安装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2.导线型号、材质、规格:RVV2*1.0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2.导线型号、材质、规格:RVV4*4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普通吸顶灯及其他灯具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1.名称:白炽灯带开关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2.规格、型号:AC200V/50W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1.名称:AC控制、操作箱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2.规格、型号:铁质非标 10KW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1.箱体安装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3.配置形式及部位:明配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3.配置形式及部位:明配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2.导线型号、材质、规格:RVV4*4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030209001001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1.接地母线材质、规格:基础钢筋作接地体 无地梁的地方用40x4热镀锌扁钢敷设，埋设深度不小于0.8m，并与室外人工接地体连接，作为辅助接地体。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2.接地极材质、规格:Φ48接地圆管H=2.5m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1.接地极（板）制作、安装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2.接地母线敷设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3.接地跨接线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030211008001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1.类别:接地网调试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1.接地电阻测试</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1.安装部位（室内、外）:棚内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3.材质:PE滴灌管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5.流量:1.6L/H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1.安装部位（室内、外）:棚内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3.材质:HDPE管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4.规格:DE63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1.名称:铜球阀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滴灌带堵头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1.名称:φ16滴灌带堵头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1.名称:HDPE63管始端φ16滴灌带旁通阀（取孔配胶垫）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滴灌带直接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1.名称:φ16滴灌带直接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CB004</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手持充电钻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1.名称:手持充电钻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1.成套购买</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CB005</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滴灌专业开孔器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1.名称:滴灌专业开孔器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1.成套购买</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工程名称：棚长112m日光温室-给排水工程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1.安装部位（室内、外）:棚内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3.材质:PE滴灌管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5.流量:1.6L/H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1.安装部位（室内、外）:棚内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3.材质:HDPE管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4.规格:DE63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1.名称:铜球阀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滴灌带堵头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1.名称:φ16滴灌带堵头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1.名称:HDPE63管始端φ16滴灌带旁通阀（取孔配胶垫）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滴灌带直接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1.名称:φ16滴灌带直接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工程名称：棚长83m日光温室-给排水工程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1.安装部位（室内、外）:棚内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3.材质:PE滴灌管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5.流量:1.6L/H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1.安装部位（室内、外）:棚内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3.材质:HDPE管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4.规格:DE63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1.名称:铜球阀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滴灌带堵头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1.名称:φ16滴灌带堵头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1.名称:HDPE63管始端φ16滴灌带旁通阀（取孔配胶垫）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滴灌带直接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1.名称:φ16滴灌带直接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工程名称：棚长69m日光温室-给排水工程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1.安装部位（室内、外）:棚内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3.材质:PE滴灌管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5.流量:1.6L/H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1.安装部位（室内、外）:棚内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3.材质:HDPE管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4.规格:DE63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1.名称:铜球阀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滴灌带堵头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1.名称:φ16滴灌带堵头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1.名称:HDPE63管始端φ16滴灌带旁通阀（取孔配胶垫）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滴灌带直接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1.名称:φ16滴灌带直接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工程名称：棚长65m日光温室-给排水工程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1.安装部位（室内、外）:棚内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3.材质:PE滴灌管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5.流量:1.6L/H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1.安装部位（室内、外）:棚内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3.材质:HDPE管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4.规格:DE63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1.名称:铜球阀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滴灌带堵头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1.名称:φ16滴灌带堵头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1.名称:HDPE63管始端φ16滴灌带旁通阀（取孔配胶垫）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滴灌带直接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1.名称:φ16滴灌带直接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CB003</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手持充电钻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1.名称:手持充电钻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1.成套购买</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CB004</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滴灌专业开孔器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1.名称:滴灌专业开孔器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1.成套购买</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工程名称：拱形大棚-给排水工程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工程名称：耳房-建筑工程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2.挖土平均厚度:0.35m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1.土质要求:3:7灰土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2.密实度要求:≥0.93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1.钢材种类、规格:150*200*6mm钢板，钢筋φ8=220mm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1.螺栓（铁件）制作、运输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2.螺栓（铁件）安装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1.钢材品种、规格:方管立柱120*60*3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1.钢材品种、规格:方管80*60*2、方管60*60*2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010701002001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1.型材品种、规格、品牌、颜色:100厚岩棉彩</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工程名称：耳房-建筑工程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1.屋面型材安装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2.接缝、嵌缝</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1.钢材品种、规格:100厚岩棉彩钢板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3.地面砼基础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1.面层厚度:80厚C30混凝土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1.地基夯实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2.铺设垫层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4.变形缝填塞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020406007001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1.窗类型:C0604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2.框材质、外围尺寸:600*400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3.扇材质、外围尺寸:塑钢窗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1.窗制作、运输、安装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020402005001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工程名称：耳房-建筑工程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1.门类型:M1020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2.框材质、外围尺寸:1000*2000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3.扇材质、外围尺寸:塑钢门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工程名称：耳房-建筑工程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工程名称：耳房-建筑工程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工程名称：耳房-建筑工程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工程名称：耳房-建筑工程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3.挖土深度:1.15m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1.土质要求:素土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1.土质要求:3:7灰土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2.密实度要求:≥0.93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010416001001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1.钢筋种类、规格:圆钢10以内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1.钢筋（网、笼）制作、运输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2.钢筋（网、笼）安装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010416001002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1.钢筋种类、规格:螺纹钢10以上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1.钢筋（网、笼）制作、运输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2.钢筋（网、笼）安装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1.钢材种类、规格:200*200*10mm钢板，高强螺栓M12*400mm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1.螺栓（铁件）制作、运输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2.螺栓（铁件）安装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1.钢材品种、规格:方管立柱100*100*3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1.钢材品种、规格:方管100*50*2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2.部位:墙面、屋面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010701002001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1.型材品种、规格、品牌、颜色:100厚岩棉彩钢板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1.屋面型材安装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2.接缝、嵌缝</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1.钢材品种、规格:100厚岩棉彩钢板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3.地面砼基础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1.面层厚度:80厚C30混凝土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1.地基夯实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2.铺设垫层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4.变形缝填塞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020406007001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1.窗类型:C1510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2.框材质、外围尺寸:1500*1000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3.扇材质、外围尺寸:塑钢窗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1.窗制作、运输、安装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1.窗制作、运输、安装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020402005001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1.门类型:M2025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2.框材质、外围尺寸:2000*2500</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3.扇材质、外围尺寸:塑钢门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020402005002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1.门类型:M0921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2.框材质、外围尺寸:900*2100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3.扇材质、外围尺寸:塑钢门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1.名称:AP01电源柜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2.规格、型号:800×1800×430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2.箱体安装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1.名称:AL01照明配电箱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2.规格、型号:PZ30-32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1.箱体安装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2.无端子接线2.5mm2、4mm2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2.规格:KBG20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3.配置形式及部位:暗配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2.接线盒（箱）、灯头盒、开关盒、插座盒安装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2.导线型号、材质、规格:BV-2.5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2.导线型号、材质、规格:BV-4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普通吸顶灯及其他灯具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1.名称:三防吸顶灯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2.规格、型号:AC220V 8W 530lm 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3.安装方式:吸顶安装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030204031001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1.名称:三防双联单控开关</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2.型号、规格:AC250V 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030204031002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1.名称:暗装五孔插座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030209001001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1.接地母线材质、规格:利用基础内的钢筋等自然接地体作为接地装置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2.接地极材质、规格:热镀锌角钢L50×50×5mm,L=2500mm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3.-40X4镀锌扁钢在室内沿墙绕一周并与配电柜槽钢连接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1.接地极（板）制作、安装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2.接地母线敷设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3.接地跨接线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4.构架接地</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030209002001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1.受雷体名称、材质、规格、技术要求（安装部分）:∅10mm热镀锌圆钢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2.引下线材质、规格、技术要求（引下形式）:建筑物利用柱内两根不小于∅16的钢筋通长焊接作引下线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1.避雷针（网）制作、安装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2.引下线敷设、断接卡子制作、安装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3.接地极（板、桩）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4.柱主筋与圈梁焊接</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030211008001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1.类别:接地网调试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1.接地电阻测试</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水肥系统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1.名称:水肥系统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包含水泵11KW-扬程40米-流量40方，一备一用*2台，电缆线（3*6mm^2+1*2.5mm^2）*30m，电缆线（3*1.5mm^2）*60m，信号屏蔽线（3*1.0mm^2）*30，配套变频柜11KW一拖二*1台，止回阀4"*1个，自动反冲洗砂石过滤器流量60方4"进出口3"排污GLSS-3602-4FT*1套，自动反冲洗碟片过滤器流量60方4"进出口3"排污GLSH-303-4FT-130*1套，空气阀2"*2个，蜗轮蝶阀DN100*2个，水表DN100*1个，压力表10KG+弯管*1个，4寸软接*1个，4寸持压阀*1个，PVC110法兰片(含螺丝橡胶垫片)*15套，PVC90法兰片(含螺丝橡胶垫片)*2套，DN100底阀*1个，施肥机，三通道，带手机APP*1台，500L锥底肥料桶带底座带搅拌机*3套，1寸网式过滤器*3个，PVC管Φ110×6M(1.0Mpa)*30m，PVC管Φ90×6M(1.0Mpa)*30m，pvc管Φ32*6M(1.25Mpa)*60m，PVC连接管件辅材*1批以及连接辅材及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1.安装及调试</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工程名称：水肥泵房-给排水工程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3.挖土深度:1.15m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1.土质要求:素土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1.土质要求:3:7灰土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2.密实度要求:≥0.93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010416001001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1.钢筋种类、规格:圆钢10以内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1.钢筋（网、笼）制作、运输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2.钢筋（网、笼）安装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010416001002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1.钢筋种类、规格:螺纹钢10以上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1.钢筋（网、笼）制作、运输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2.钢筋（网、笼）安装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1.钢材种类、规格:200*200*10mm钢板，高强螺栓M12*400mm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1.螺栓（铁件）制作、运输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2.螺栓（铁件）安装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1.钢材品种、规格:方管立柱100*100*3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1.钢材品种、规格:方管100*50*2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2.部位:墙面、屋面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010701002001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1.型材品种、规格、品牌、颜色:100厚岩棉彩钢板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1.屋面型材安装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2.接缝、嵌缝</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1.钢材品种、规格:100厚岩棉彩钢板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3.地面砼基础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1.面层厚度:80厚C30混凝土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1.地基夯实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2.铺设垫层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4.变形缝填塞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020406007001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1.窗类型:C1008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2.框材质、外围尺寸:1000*800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3.扇材质、外围尺寸:塑钢窗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1.窗制作、运输、安装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020402005001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1.门类型:M0921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2.框材质、外围尺寸:900*2100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3.扇材质、外围尺寸:塑钢门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1.门制作、运输、安装</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1.名称:AL02照明配电箱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2.规格、型号:PZ30-32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1.箱体安装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2.无端子接线2.5mm2、4mm2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2.规格:KBG20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3.配置形式及部位:暗配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2.接线盒（箱）、灯头盒、开关盒、插座盒安装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2.导线型号、材质、规格:BV-2.5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2.导线型号、材质、规格:BV-4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普通吸顶灯及其他灯具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1.名称:防爆吊灯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2.规格、型号:AC220V 80W 8000lm 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3.安装方式:吊装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030204031001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1.名称:三防双联单控开关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2.型号、规格:AC250V 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030204031002</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1.名称:暗装五孔插座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工程名称：库房管理用房-暖通空调工程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030901004001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1.形式:变频高效压缩机组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2.包含:高效风冷式蒸发器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3.备注:完成此项工作所有内容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3.软管接口制作、安装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工程名称：库房管理用房-暖通空调工程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工程名称：库房管理用房-暖通空调工程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工程名称：库房管理用房-暖通空调工程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专业：通风 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3.材质:PP-R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030109001001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1.名称:变频恒压增压全自动水泵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2.功率范围:100-800W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3.电压:150-280V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5.转速:1000-5000r/min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6.最高扬程:50m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7.额定扬程:30m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8.最大流量:4m³/h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2.泵拆装检查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3.电动机安装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不锈钢蓄水罐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1.名称:500L不锈钢蓄水罐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工程名称：库房管理用房-给排水工程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3.挖土深度:0.95m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1.土质要求:素土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1.土质要求:3:7灰土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2.密实度要求:≥0.93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010416001001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1.钢筋种类、规格:圆钢10以内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1.钢筋（网、笼）制作、运输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2.钢筋（网、笼）安装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010416001002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1.钢筋种类、规格:螺纹钢10以上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1.钢筋（网、笼）制作、运输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2.钢筋（网、笼）安装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1.钢材种类、规格:200*200*14mm钢板，高强螺栓M12*600mm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1.螺栓（铁件）制作、运输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2.螺栓（铁件）安装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1.钢材品种、规格:方管立柱100*100*3、120*120*4、70*50*2.5，连接件280*50*8钢板，高强双头螺栓M16*200、M16*150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1.钢材品种、规格:方管80*60*3，连接件170*60*4钢板，高强双头螺栓M16*260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010606002002</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1.钢材品种、规格:Z型钢140*50*20*2.5，拉条M12*1100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010602002001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钢桁架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1.钢材品种、规格:方管50*70*2.5，角钢40*3，6#槽钢，高强双头螺栓M16*200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1.型材品种、规格、品牌、颜色:100厚岩棉彩钢板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1.屋面型材安装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2.接缝、嵌缝</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1.钢材品种、规格:100厚岩棉彩钢板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1.钢材品种、规格:100厚聚氨酯板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010701002002</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1.型材品种、规格、品牌、颜色:100厚聚氨酯板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1.屋面型材安装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2.接缝、嵌缝</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010803005001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隔热楼地面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1.保温隔热部位:冷库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2.保温隔热面层材料品种、规格、性能:10cm挤塑板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2.铺设粘贴材料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3.铺贴保温层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4.刷防护材料</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3.地面砼基础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010407002001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1.面层厚度:80厚C30混凝土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1.地基夯实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2.铺设垫层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4.变形缝填塞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020406007001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1.窗类型:C1815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2.框材质、外围尺寸:1800*1500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3.扇材质、外围尺寸:塑钢窗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1.窗制作、运输、安装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020402005001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1.门类型:M3030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2.框材质、外围尺寸:3000*3000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3.扇材质、外围尺寸:塑钢门</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020402001001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金属平开门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1.门类型:平移库门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2.框材质、外围尺寸:2000*2600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2.五金、玻璃安装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3.刷防护材料、油漆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1.名称:AP02控制柜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1.箱体安装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2.无端子接线2.5mm2、4mm2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2.规格:KBG20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3.配置形式及部位:暗配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2.接线盒（箱）、灯头盒、开关盒、插座盒安装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2.导线型号、材质、规格:BV-2.5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030212003002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1.配线形式:电气配线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2.导线型号、材质、规格:BV-4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3.敷设部位或线制:管内穿线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普通吸顶灯及其他灯具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1.名称:防爆吊灯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2.规格、型号:AC220V 80W 8000lm 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3.安装方式:吊装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030204031001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1.名称:三防双联单控开关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2.型号、规格:AC250V 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030204031002</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1.名称:暗装五孔插座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工程名称：分拣预冷包装区-电气工程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场地平整</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1.土方挖填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2.场地找平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58666.08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道路工程</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砂砾石道路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1.6m宽18cm砂砾石路面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2.路床碾压，压实系数≥0.96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1.铺筑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2.碾压</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土路肩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1.部位:土路肩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2.土质要求:素土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3.分层夯实，压实系数≥0.94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排水渠</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040201013001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1.U型素土排水沟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2.部位:排水主干渠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3.上口1.2m,下口0.8m,深度0.4m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4.毛毡铺设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5.排水沟开挖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6.基层碾压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2.基层碾压</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040201013002</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1.U型素土排水沟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2.部位:排水支干渠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3.上口0.5m,下口0.3m,深度0.3m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4.毛毡铺设</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5.排水沟开挖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6.基层碾压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2.基层碾压</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010412008001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1.构件尺寸:1.5m宽*3m长*0.1m厚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4.砂浆制作、运输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5.接头灌缝、养护</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010412008002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1.构件尺寸:1.5m宽*0.1m厚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4.砂浆制作、运输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5.接头灌缝、养护</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010416001001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1.钢筋种类、规格:螺纹钢10以上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1.钢筋（网、笼）制作、运输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2.钢筋（网、笼）安装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管道土方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010101006001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2.挖沟平均深度:1m以内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3.回填</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030208006001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电缆沟土石方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1.土方类别:综合土</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2.部位:电缆直埋敷设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1.挖土、填土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2.铺砂、盖砖</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1.土质要求:素土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1.装卸、运输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010103001003</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1.土质要求:细砂土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2.密实度要求:≥0.95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1.装卸、运输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管道附属构筑物</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010303003001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1.井截面:450*450*1000阀门井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2.井圈及井盖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3.150mmC30混凝土井盖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4.砖砌井圈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5.240mm厚砖砌筑井壁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6.200mm厚C20混凝土底板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1.砂浆制作、运输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2.底板混凝土制作、运输、浇筑、振捣、养护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3.砌砖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4.勾缝</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玻璃钢蓄水池</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1.土壤类别:综合土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2.此项为暂定工程量，具体以实物尺寸开挖为准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010103001004</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1.土质要求:素土回填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2.密实度要求:压实系数不小于0.94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3.夯填(碾压):分层回填碾压密实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4.此项为暂定工程量，具体以实物尺寸回填为准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1.装卸、运输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3.分层碾压、夯实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010401006001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2.混凝土拌和料要求:商品砼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2.地脚螺栓二次灌浆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AB001</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成品玻璃钢蓄水池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1.100方预制玻璃钢蓄水池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工程名称：室外-建筑工程</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2"/>
        <w:jc w:val="both"/>
        <w:rPr>
          <w:rFonts w:hint="eastAsia"/>
          <w:lang w:val="en-US" w:eastAsia="zh-CN"/>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8"/>
        <w:gridCol w:w="324"/>
        <w:gridCol w:w="324"/>
        <w:gridCol w:w="324"/>
        <w:gridCol w:w="608"/>
        <w:gridCol w:w="1111"/>
        <w:gridCol w:w="1106"/>
        <w:gridCol w:w="1114"/>
        <w:gridCol w:w="554"/>
        <w:gridCol w:w="301"/>
        <w:gridCol w:w="249"/>
        <w:gridCol w:w="217"/>
        <w:gridCol w:w="218"/>
        <w:gridCol w:w="218"/>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工程名称：室外-建筑工程</w:t>
            </w:r>
          </w:p>
        </w:tc>
        <w:tc>
          <w:tcPr>
            <w:tcW w:w="0" w:type="auto"/>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工程名称：室外-建筑工程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1.名称:AP00电源柜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2.规格、型号:800×1800×430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2.箱体安装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030204018002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1.名称:1AP00电源柜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2.规格、型号:800×1800×430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2.箱体安装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030210002001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导线架设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1.型号（材质）:JKLGY-4X185+1X120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1.导线架设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2.导线跨越及进户线架设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3.进户横担安装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030208001001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1.型号:电力电缆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2.规格:WDZ-YJLY22-4X185+1X120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2.电缆头制作、安装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030208001002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1.型号:电力电缆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2.规格:WDZ-YJLY22-4X35+1X25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2.电缆头制作、安装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030208001003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1.型号:电力电缆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2.规格:WDZ-YJLY22-4X25+1X16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2.电缆头制作、安装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030208001004</w:t>
            </w:r>
          </w:p>
        </w:tc>
        <w:tc>
          <w:tcPr>
            <w:tcW w:w="0" w:type="auto"/>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2.规格:WDZ-YJLY22-4X6+1X4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2.电缆头制作、安装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030211002001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1.型号:送配电系统调试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2.电压等级（kV）:1KV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1.系统调试</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工程名称：室外-电气工程</w:t>
            </w:r>
          </w:p>
        </w:tc>
        <w:tc>
          <w:tcPr>
            <w:tcW w:w="0" w:type="auto"/>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工程名称：室外-电气工程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专业：电气设备安装工程</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3.材质:HDPE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4.规格:DN110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3.材质:HDPE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4.规格:DN63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4.水压及泄漏试验</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030801005003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塑料管UPVC、PVC、PP-C、PP-R、PE管等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2.输送介质（给水、排水、热媒体、燃气、雨水）:给水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3.材质:PP-R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4.规格:de25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1.管道、管件及弯管的制作安装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2.管件安装（指铜管管件、不锈钢管管件）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3.给水管道消毒、冲洗</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030803003001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焊接法兰阀门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1.名称:涡轮蝶阀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030803003002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焊接法兰阀门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1.名称:泄水阀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030803001001</w:t>
            </w:r>
          </w:p>
        </w:tc>
        <w:tc>
          <w:tcPr>
            <w:tcW w:w="0" w:type="auto"/>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1.名称:空气阀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2.规格:2寸 DN50</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030801002001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1.安装部位（室内、外）:室外过路套管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组装平台</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设备、管道施工的防冻和焊接保护措施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压力容器和高压管道的检验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焦炉施工大棚</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焦炉烘炉、热态工程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管道安装后的充气保护措施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隧道内施工的通风、供水、供气、供电、照明及通讯设施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现场施工围栏</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长输管道临时水工保护措施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长输管道施工便道</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长输管道跨越或穿越施工措施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长输管道地下穿越地上建筑物的保护措施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长输管道工程施工队伍调遣</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格架式抱杆</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工程名称：室外-给排水工程</w:t>
            </w:r>
          </w:p>
        </w:tc>
        <w:tc>
          <w:tcPr>
            <w:tcW w:w="0" w:type="auto"/>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工程名称：室外-给排水工程</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专业：给排水 采暖 燃气工程</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工程名称：暂列金额</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安全文明施工(含环境保护、文明施工、安全施工、临时设施、扬尘污染治理)</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环境保护(含工程排污费)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扬尘污染治理费(建筑工程)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扬尘污染治理费(装饰工程)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冬雨季、夜间施工措施费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测量放线、定位复测、检测试验</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人工土石方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机械土石方</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一般土建</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装饰装修</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施工降水</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施工影响场地周边地上、地下设施及建筑物安全的临时保护设施</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工程名称：暂列金额</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建筑工程垂直运输机械、超高降效</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装饰工程垂直运输机械、超高降效</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工程名称：暂列金额</w:t>
            </w:r>
          </w:p>
        </w:tc>
        <w:tc>
          <w:tcPr>
            <w:tcW w:w="0" w:type="auto"/>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工程名称：暂列金额</w:t>
            </w:r>
          </w:p>
        </w:tc>
        <w:tc>
          <w:tcPr>
            <w:tcW w:w="0" w:type="auto"/>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专业：土建工程</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女工生育保险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建筑施工安全生产责任保险</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rPr>
          <w:rFonts w:hint="eastAsia" w:ascii="宋体" w:hAnsi="宋体" w:eastAsia="宋体" w:cs="宋体"/>
          <w:sz w:val="24"/>
          <w:szCs w:val="24"/>
        </w:rPr>
      </w:pPr>
    </w:p>
    <w:p>
      <w:pPr>
        <w:rPr>
          <w:rFonts w:hint="eastAsia" w:ascii="宋体" w:hAnsi="宋体" w:cs="宋体"/>
          <w:b/>
          <w:bCs/>
          <w:kern w:val="28"/>
          <w:sz w:val="28"/>
          <w:szCs w:val="28"/>
        </w:rPr>
      </w:pPr>
      <w:r>
        <w:rPr>
          <w:rFonts w:hint="eastAsia" w:ascii="宋体" w:hAnsi="宋体" w:cs="宋体"/>
          <w:b/>
          <w:bCs/>
          <w:kern w:val="28"/>
          <w:sz w:val="28"/>
          <w:szCs w:val="28"/>
        </w:rPr>
        <w:br w:type="page"/>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四、施工要求</w:t>
      </w:r>
    </w:p>
    <w:p>
      <w:pPr>
        <w:shd w:val="clear" w:color="auto" w:fill="FFFFFF"/>
        <w:snapToGrid w:val="0"/>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在施工期间，中标供应商必须注意人员安全，加强安全措施，并对施工人员进行安全教育。施工人员必须持证上岗。</w:t>
      </w:r>
    </w:p>
    <w:p>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1、合同签订后，甲方向乙方支付合同价款的30%作为预付款。</w:t>
      </w:r>
    </w:p>
    <w:p>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2、根据财政扶贫衔接资金的管理要求及工程进度，甲方向乙方支付符合规定的相应工程进度款。</w:t>
      </w:r>
    </w:p>
    <w:p>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3、乙方完成全部工程量时，经甲方组织有关部门验收合格后，支付至合同总价款的85%。</w:t>
      </w:r>
    </w:p>
    <w:p>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 xml:space="preserve">4、经政府相关审计部门审计完成后，支付至审计结算价款的97%，剩余3%待缺陷责任期满后一次性无息支付。 </w:t>
      </w:r>
    </w:p>
    <w:p>
      <w:pPr>
        <w:pStyle w:val="2"/>
        <w:keepNext w:val="0"/>
        <w:keepLines w:val="0"/>
        <w:pageBreakBefore w:val="0"/>
        <w:widowControl w:val="0"/>
        <w:kinsoku/>
        <w:wordWrap/>
        <w:overflowPunct/>
        <w:topLinePunct w:val="0"/>
        <w:autoSpaceDE/>
        <w:autoSpaceDN/>
        <w:bidi w:val="0"/>
        <w:adjustRightInd/>
        <w:spacing w:line="360" w:lineRule="auto"/>
        <w:ind w:firstLine="562" w:firstLineChars="200"/>
        <w:jc w:val="both"/>
        <w:textAlignment w:val="auto"/>
        <w:rPr>
          <w:rFonts w:hint="default"/>
          <w:b/>
          <w:bCs/>
          <w:sz w:val="28"/>
          <w:szCs w:val="28"/>
          <w:lang w:val="en-US" w:eastAsia="zh-CN"/>
        </w:rPr>
      </w:pPr>
      <w:r>
        <w:rPr>
          <w:rFonts w:hint="eastAsia" w:ascii="仿宋" w:hAnsi="仿宋" w:eastAsia="仿宋" w:cs="仿宋"/>
          <w:b/>
          <w:bCs/>
          <w:color w:val="auto"/>
          <w:sz w:val="28"/>
          <w:szCs w:val="28"/>
          <w:highlight w:val="none"/>
          <w:lang w:val="en-US" w:eastAsia="zh-CN"/>
        </w:rPr>
        <w:t>注：根据财政扶贫衔接资金的管理要求预付款不高于30% 。</w:t>
      </w:r>
    </w:p>
    <w:p>
      <w:pPr>
        <w:pStyle w:val="2"/>
        <w:rPr>
          <w:rFonts w:hint="eastAsia"/>
        </w:rPr>
      </w:pPr>
    </w:p>
    <w:p>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投标人提供2021年5月1日至今（以合同签订日期为准）类似项目业绩（以合同复印件或扫描件加盖公章为准）每个有效业绩得1分，满分共计5分。</w:t>
      </w:r>
    </w:p>
    <w:p>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（四）与本工程相关的特别说明</w:t>
      </w:r>
    </w:p>
    <w:p>
      <w:pPr>
        <w:ind w:firstLine="560" w:firstLineChars="200"/>
        <w:rPr>
          <w:rFonts w:hint="eastAsia" w:ascii="宋体" w:hAnsi="宋体" w:eastAsia="宋体" w:cs="宋体"/>
          <w:sz w:val="24"/>
          <w:szCs w:val="24"/>
        </w:rPr>
      </w:pPr>
      <w:r>
        <w:rPr>
          <w:rFonts w:hint="eastAsia" w:ascii="宋体" w:hAnsi="宋体" w:cs="宋体"/>
          <w:kern w:val="28"/>
          <w:sz w:val="28"/>
          <w:szCs w:val="28"/>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宋?">
    <w:altName w:val="Malgun Gothic"/>
    <w:panose1 w:val="00000000000000000000"/>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2AF" w:usb1="01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Y2YwMjY1ZThmNzM5OTdiOGFkNTEwNWM4YzQyNjAifQ=="/>
  </w:docVars>
  <w:rsids>
    <w:rsidRoot w:val="458772BF"/>
    <w:rsid w:val="00645991"/>
    <w:rsid w:val="007756C4"/>
    <w:rsid w:val="011949CD"/>
    <w:rsid w:val="01B577EE"/>
    <w:rsid w:val="02C273DD"/>
    <w:rsid w:val="04EE6171"/>
    <w:rsid w:val="050A6064"/>
    <w:rsid w:val="050B0AD1"/>
    <w:rsid w:val="054C5671"/>
    <w:rsid w:val="058F525E"/>
    <w:rsid w:val="0B3A0D5F"/>
    <w:rsid w:val="0BA51502"/>
    <w:rsid w:val="0BC369D0"/>
    <w:rsid w:val="0BC7297B"/>
    <w:rsid w:val="0C392BE0"/>
    <w:rsid w:val="0D5938EA"/>
    <w:rsid w:val="0E884F40"/>
    <w:rsid w:val="0F6A49B2"/>
    <w:rsid w:val="0FA81239"/>
    <w:rsid w:val="10C77FA2"/>
    <w:rsid w:val="110D02FE"/>
    <w:rsid w:val="114521FF"/>
    <w:rsid w:val="127A1044"/>
    <w:rsid w:val="13D824C6"/>
    <w:rsid w:val="13F6014E"/>
    <w:rsid w:val="140D4C24"/>
    <w:rsid w:val="14F21366"/>
    <w:rsid w:val="15442DF3"/>
    <w:rsid w:val="15EC2259"/>
    <w:rsid w:val="15FB1B6C"/>
    <w:rsid w:val="16DB77CE"/>
    <w:rsid w:val="17001571"/>
    <w:rsid w:val="17127A9D"/>
    <w:rsid w:val="182C5DE6"/>
    <w:rsid w:val="19346C73"/>
    <w:rsid w:val="199B3D30"/>
    <w:rsid w:val="19C9435C"/>
    <w:rsid w:val="1AF021BC"/>
    <w:rsid w:val="1B6B6D9B"/>
    <w:rsid w:val="1B9A4616"/>
    <w:rsid w:val="1BAD5FE6"/>
    <w:rsid w:val="1C4F52EF"/>
    <w:rsid w:val="1C6F7740"/>
    <w:rsid w:val="1C8A39DA"/>
    <w:rsid w:val="1C976FB2"/>
    <w:rsid w:val="1CF75746"/>
    <w:rsid w:val="1DA04055"/>
    <w:rsid w:val="1E5F6569"/>
    <w:rsid w:val="1EC14F4C"/>
    <w:rsid w:val="1F2E5690"/>
    <w:rsid w:val="1F484C72"/>
    <w:rsid w:val="200D5A6C"/>
    <w:rsid w:val="2058222C"/>
    <w:rsid w:val="21316FF0"/>
    <w:rsid w:val="214C6BC0"/>
    <w:rsid w:val="24091012"/>
    <w:rsid w:val="27AB71C2"/>
    <w:rsid w:val="28125F60"/>
    <w:rsid w:val="28CF3A40"/>
    <w:rsid w:val="28DC7F0B"/>
    <w:rsid w:val="2936586D"/>
    <w:rsid w:val="2A9C5BA4"/>
    <w:rsid w:val="2DFB7085"/>
    <w:rsid w:val="2E4865B6"/>
    <w:rsid w:val="2EB42CCA"/>
    <w:rsid w:val="2ED43AB3"/>
    <w:rsid w:val="2EE67E99"/>
    <w:rsid w:val="2F330225"/>
    <w:rsid w:val="2F77273B"/>
    <w:rsid w:val="30CF0D9E"/>
    <w:rsid w:val="31BF205E"/>
    <w:rsid w:val="339A6A30"/>
    <w:rsid w:val="33E323D5"/>
    <w:rsid w:val="345968B4"/>
    <w:rsid w:val="356409D9"/>
    <w:rsid w:val="35F9034E"/>
    <w:rsid w:val="363847A3"/>
    <w:rsid w:val="376E6B1A"/>
    <w:rsid w:val="38A813E1"/>
    <w:rsid w:val="39DB5415"/>
    <w:rsid w:val="3B1C7FDF"/>
    <w:rsid w:val="3B304195"/>
    <w:rsid w:val="3B8B693F"/>
    <w:rsid w:val="3BAA4966"/>
    <w:rsid w:val="3BEB6597"/>
    <w:rsid w:val="3BF00816"/>
    <w:rsid w:val="3BF539A4"/>
    <w:rsid w:val="3E3E7246"/>
    <w:rsid w:val="3EDC1C61"/>
    <w:rsid w:val="3FE033AF"/>
    <w:rsid w:val="40546FB4"/>
    <w:rsid w:val="40987B00"/>
    <w:rsid w:val="416F5F43"/>
    <w:rsid w:val="41A05B22"/>
    <w:rsid w:val="41B61398"/>
    <w:rsid w:val="42F8373B"/>
    <w:rsid w:val="434A1377"/>
    <w:rsid w:val="437A3E74"/>
    <w:rsid w:val="43F32881"/>
    <w:rsid w:val="440F671E"/>
    <w:rsid w:val="458772BF"/>
    <w:rsid w:val="45961716"/>
    <w:rsid w:val="459E681C"/>
    <w:rsid w:val="47A66894"/>
    <w:rsid w:val="47EF4316"/>
    <w:rsid w:val="47FB7F56"/>
    <w:rsid w:val="481608EC"/>
    <w:rsid w:val="48931A28"/>
    <w:rsid w:val="48DF402C"/>
    <w:rsid w:val="49494CF1"/>
    <w:rsid w:val="49EC67F4"/>
    <w:rsid w:val="4AE46C30"/>
    <w:rsid w:val="4B3A0D95"/>
    <w:rsid w:val="4B5644F0"/>
    <w:rsid w:val="4C912C37"/>
    <w:rsid w:val="4C994876"/>
    <w:rsid w:val="4D497642"/>
    <w:rsid w:val="4E117880"/>
    <w:rsid w:val="4E487C6D"/>
    <w:rsid w:val="4EFC6158"/>
    <w:rsid w:val="4F4170E8"/>
    <w:rsid w:val="4FF754A7"/>
    <w:rsid w:val="506E3F2C"/>
    <w:rsid w:val="508C1F90"/>
    <w:rsid w:val="5233653E"/>
    <w:rsid w:val="547215A0"/>
    <w:rsid w:val="54743D5A"/>
    <w:rsid w:val="547D1CF3"/>
    <w:rsid w:val="55062D15"/>
    <w:rsid w:val="55C53EFC"/>
    <w:rsid w:val="57154464"/>
    <w:rsid w:val="580469B3"/>
    <w:rsid w:val="58313520"/>
    <w:rsid w:val="58801DB1"/>
    <w:rsid w:val="5A2275C4"/>
    <w:rsid w:val="5B1F58B2"/>
    <w:rsid w:val="5BEE3D39"/>
    <w:rsid w:val="5E6F08FE"/>
    <w:rsid w:val="5E76712D"/>
    <w:rsid w:val="5E98178A"/>
    <w:rsid w:val="6074044E"/>
    <w:rsid w:val="60A52614"/>
    <w:rsid w:val="61D27B22"/>
    <w:rsid w:val="62A72D5C"/>
    <w:rsid w:val="6353259C"/>
    <w:rsid w:val="639C4C9D"/>
    <w:rsid w:val="64837576"/>
    <w:rsid w:val="65187462"/>
    <w:rsid w:val="67A018CD"/>
    <w:rsid w:val="697272B2"/>
    <w:rsid w:val="6A0A70D2"/>
    <w:rsid w:val="6B3D7A71"/>
    <w:rsid w:val="6BC0398D"/>
    <w:rsid w:val="6C774177"/>
    <w:rsid w:val="6E514A9D"/>
    <w:rsid w:val="6FAC3760"/>
    <w:rsid w:val="70CD3AA8"/>
    <w:rsid w:val="71146042"/>
    <w:rsid w:val="71D722FF"/>
    <w:rsid w:val="72927A84"/>
    <w:rsid w:val="73964142"/>
    <w:rsid w:val="74051691"/>
    <w:rsid w:val="741915E0"/>
    <w:rsid w:val="7439758C"/>
    <w:rsid w:val="74503606"/>
    <w:rsid w:val="74A4534E"/>
    <w:rsid w:val="74A81872"/>
    <w:rsid w:val="74C72DEA"/>
    <w:rsid w:val="753A180E"/>
    <w:rsid w:val="754E7067"/>
    <w:rsid w:val="75E55C1E"/>
    <w:rsid w:val="76A43600"/>
    <w:rsid w:val="76B455F0"/>
    <w:rsid w:val="76BE5D18"/>
    <w:rsid w:val="776C2C31"/>
    <w:rsid w:val="77FB2266"/>
    <w:rsid w:val="7800741E"/>
    <w:rsid w:val="781A5954"/>
    <w:rsid w:val="78764F7E"/>
    <w:rsid w:val="79112BA7"/>
    <w:rsid w:val="792E51E6"/>
    <w:rsid w:val="793622EC"/>
    <w:rsid w:val="79652BD2"/>
    <w:rsid w:val="7AF72429"/>
    <w:rsid w:val="7B276B1C"/>
    <w:rsid w:val="7BF2699E"/>
    <w:rsid w:val="7CCD2F68"/>
    <w:rsid w:val="7E682F48"/>
    <w:rsid w:val="7EE9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jc w:val="center"/>
    </w:pPr>
  </w:style>
  <w:style w:type="paragraph" w:styleId="4">
    <w:name w:val="toa heading"/>
    <w:basedOn w:val="1"/>
    <w:next w:val="1"/>
    <w:autoRedefine/>
    <w:qFormat/>
    <w:uiPriority w:val="0"/>
    <w:pPr>
      <w:spacing w:before="120"/>
    </w:pPr>
    <w:rPr>
      <w:rFonts w:ascii="Cambria" w:hAnsi="Cambria" w:eastAsia="仿宋" w:cs="Times New Roman"/>
      <w:sz w:val="28"/>
    </w:r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customStyle="1" w:styleId="12">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133</Pages>
  <Words>57035</Words>
  <Characters>67512</Characters>
  <Lines>0</Lines>
  <Paragraphs>0</Paragraphs>
  <TotalTime>0</TotalTime>
  <ScaleCrop>false</ScaleCrop>
  <LinksUpToDate>false</LinksUpToDate>
  <CharactersWithSpaces>69009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2024-05-10T08:45:04Z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4511CA0E8CCC48D683E03EC535B25D7E_11</vt:lpwstr>
  </property>
</Properties>
</file>