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49ADB">
      <w:pPr>
        <w:numPr>
          <w:ilvl w:val="0"/>
          <w:numId w:val="0"/>
        </w:numPr>
        <w:autoSpaceDE w:val="0"/>
        <w:autoSpaceDN w:val="0"/>
        <w:adjustRightInd w:val="0"/>
        <w:snapToGrid w:val="0"/>
        <w:spacing w:line="360" w:lineRule="auto"/>
        <w:ind w:leftChars="0" w:firstLine="2570" w:firstLineChars="800"/>
        <w:jc w:val="both"/>
        <w:outlineLvl w:val="0"/>
        <w:rPr>
          <w:rFonts w:hint="eastAsia" w:ascii="宋体" w:hAnsi="宋体" w:eastAsia="宋体" w:cs="宋体"/>
          <w:b/>
          <w:bCs/>
          <w:sz w:val="32"/>
          <w:szCs w:val="32"/>
          <w:lang w:val="zh-CN"/>
        </w:rPr>
      </w:pPr>
      <w:bookmarkStart w:id="0" w:name="_Toc6339_WPSOffice_Level1"/>
      <w:bookmarkStart w:id="1" w:name="_Toc26032"/>
      <w:bookmarkStart w:id="2" w:name="_Toc24686"/>
      <w:bookmarkStart w:id="3" w:name="_Toc32743_WPSOffice_Level1"/>
      <w:bookmarkStart w:id="4" w:name="_Toc18798"/>
      <w:bookmarkStart w:id="5" w:name="_Toc26471"/>
      <w:bookmarkStart w:id="6" w:name="_Toc24172_WPSOffice_Level1"/>
      <w:bookmarkStart w:id="43" w:name="_GoBack"/>
      <w:bookmarkEnd w:id="43"/>
      <w:r>
        <w:rPr>
          <w:rFonts w:hint="eastAsia" w:ascii="宋体" w:hAnsi="宋体" w:eastAsia="宋体" w:cs="宋体"/>
          <w:b/>
          <w:bCs/>
          <w:sz w:val="32"/>
          <w:szCs w:val="32"/>
          <w:lang w:val="zh-CN"/>
        </w:rPr>
        <w:t>拟签订的合同文本</w:t>
      </w:r>
      <w:bookmarkEnd w:id="0"/>
      <w:bookmarkEnd w:id="1"/>
      <w:bookmarkEnd w:id="2"/>
      <w:bookmarkEnd w:id="3"/>
      <w:bookmarkEnd w:id="4"/>
      <w:bookmarkEnd w:id="5"/>
      <w:bookmarkEnd w:id="6"/>
    </w:p>
    <w:p w14:paraId="72B3BAD4">
      <w:pPr>
        <w:pStyle w:val="11"/>
        <w:numPr>
          <w:ilvl w:val="0"/>
          <w:numId w:val="0"/>
        </w:numPr>
        <w:ind w:leftChars="0"/>
        <w:jc w:val="center"/>
        <w:rPr>
          <w:rFonts w:hint="eastAsia"/>
          <w:sz w:val="24"/>
          <w:szCs w:val="24"/>
          <w:lang w:val="zh-CN"/>
        </w:rPr>
      </w:pPr>
      <w:r>
        <w:rPr>
          <w:rFonts w:hint="eastAsia"/>
          <w:sz w:val="24"/>
          <w:szCs w:val="24"/>
          <w:lang w:val="zh-CN"/>
        </w:rPr>
        <w:t>（参考格式，</w:t>
      </w:r>
      <w:r>
        <w:rPr>
          <w:rFonts w:hint="eastAsia"/>
          <w:sz w:val="24"/>
          <w:szCs w:val="24"/>
          <w:lang w:val="en-US" w:eastAsia="zh-CN"/>
        </w:rPr>
        <w:t>以双方最终签订合同为准</w:t>
      </w:r>
      <w:r>
        <w:rPr>
          <w:rFonts w:hint="eastAsia"/>
          <w:sz w:val="24"/>
          <w:szCs w:val="24"/>
          <w:lang w:val="zh-CN"/>
        </w:rPr>
        <w:t>）</w:t>
      </w:r>
    </w:p>
    <w:p w14:paraId="68D67E37">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甲方（采购人）： </w:t>
      </w:r>
    </w:p>
    <w:p w14:paraId="1BD5AC94">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 xml:space="preserve">乙方（成交供应商）： </w:t>
      </w:r>
    </w:p>
    <w:p w14:paraId="3689E317">
      <w:pPr>
        <w:autoSpaceDE w:val="0"/>
        <w:autoSpaceDN w:val="0"/>
        <w:adjustRightInd w:val="0"/>
        <w:snapToGrid w:val="0"/>
        <w:spacing w:line="360" w:lineRule="auto"/>
        <w:ind w:firstLine="480" w:firstLineChars="200"/>
        <w:rPr>
          <w:rFonts w:hint="eastAsia" w:ascii="宋体" w:hAnsi="宋体" w:eastAsia="宋体" w:cs="宋体"/>
          <w:bCs/>
          <w:sz w:val="24"/>
          <w:szCs w:val="24"/>
          <w:u w:val="single"/>
          <w:lang w:val="en-US" w:eastAsia="zh-CN"/>
        </w:rPr>
      </w:pPr>
      <w:r>
        <w:rPr>
          <w:rFonts w:hint="eastAsia" w:ascii="宋体" w:hAnsi="宋体" w:eastAsia="宋体" w:cs="宋体"/>
          <w:bCs/>
          <w:sz w:val="24"/>
          <w:szCs w:val="24"/>
          <w:u w:val="single"/>
          <w:lang w:eastAsia="zh-CN"/>
        </w:rPr>
        <w:t>蓝田县城关中学校园物业保洁及公寓楼管理服务</w:t>
      </w:r>
      <w:r>
        <w:rPr>
          <w:rFonts w:hint="eastAsia" w:ascii="宋体" w:hAnsi="宋体" w:eastAsia="宋体" w:cs="宋体"/>
          <w:bCs/>
          <w:sz w:val="24"/>
          <w:szCs w:val="24"/>
          <w:u w:val="single"/>
        </w:rPr>
        <w:t>(项目编号：</w:t>
      </w:r>
      <w:r>
        <w:rPr>
          <w:rFonts w:hint="eastAsia" w:ascii="宋体" w:hAnsi="宋体" w:eastAsia="宋体" w:cs="宋体"/>
          <w:bCs/>
          <w:sz w:val="24"/>
          <w:szCs w:val="24"/>
          <w:u w:val="single"/>
          <w:lang w:val="en-US" w:eastAsia="zh-CN"/>
        </w:rPr>
        <w:t>ZZDY-2022-0606</w:t>
      </w:r>
      <w:r>
        <w:rPr>
          <w:rFonts w:hint="eastAsia" w:ascii="宋体" w:hAnsi="宋体" w:eastAsia="宋体" w:cs="宋体"/>
          <w:bCs/>
          <w:sz w:val="24"/>
          <w:szCs w:val="24"/>
          <w:u w:val="single"/>
        </w:rPr>
        <w:t>)</w:t>
      </w:r>
      <w:r>
        <w:rPr>
          <w:rFonts w:hint="eastAsia" w:ascii="宋体" w:hAnsi="宋体" w:eastAsia="宋体" w:cs="宋体"/>
          <w:bCs/>
          <w:sz w:val="24"/>
          <w:szCs w:val="24"/>
        </w:rPr>
        <w:t>，由</w:t>
      </w:r>
      <w:r>
        <w:rPr>
          <w:rFonts w:hint="eastAsia" w:ascii="宋体" w:hAnsi="宋体" w:eastAsia="宋体" w:cs="宋体"/>
          <w:bCs/>
          <w:sz w:val="24"/>
          <w:szCs w:val="24"/>
          <w:lang w:eastAsia="zh-CN"/>
        </w:rPr>
        <w:t>陕西中正鼎裕项目管理有限公司</w:t>
      </w:r>
      <w:r>
        <w:rPr>
          <w:rFonts w:hint="eastAsia" w:ascii="宋体" w:hAnsi="宋体" w:eastAsia="宋体" w:cs="宋体"/>
          <w:bCs/>
          <w:sz w:val="24"/>
          <w:szCs w:val="24"/>
        </w:rPr>
        <w:t>组织竞争性磋商，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lang w:val="en-US" w:eastAsia="zh-CN"/>
        </w:rPr>
        <w:t xml:space="preserve">                                         </w:t>
      </w:r>
    </w:p>
    <w:p w14:paraId="573175BB">
      <w:pPr>
        <w:autoSpaceDE w:val="0"/>
        <w:autoSpaceDN w:val="0"/>
        <w:adjustRightInd w:val="0"/>
        <w:snapToGrid w:val="0"/>
        <w:spacing w:line="360" w:lineRule="auto"/>
        <w:rPr>
          <w:rFonts w:hint="eastAsia" w:ascii="宋体" w:hAnsi="宋体" w:eastAsia="宋体" w:cs="宋体"/>
          <w:bCs/>
          <w:sz w:val="24"/>
          <w:szCs w:val="24"/>
        </w:rPr>
      </w:pPr>
      <w:r>
        <w:rPr>
          <w:rFonts w:hint="eastAsia" w:ascii="宋体" w:hAnsi="宋体" w:eastAsia="宋体" w:cs="宋体"/>
          <w:bCs/>
          <w:sz w:val="24"/>
          <w:szCs w:val="24"/>
          <w:u w:val="single"/>
          <w:lang w:val="en-US" w:eastAsia="zh-CN"/>
        </w:rPr>
        <w:t>（</w:t>
      </w:r>
      <w:r>
        <w:rPr>
          <w:rFonts w:hint="eastAsia" w:ascii="宋体" w:hAnsi="宋体" w:eastAsia="宋体" w:cs="宋体"/>
          <w:bCs/>
          <w:sz w:val="24"/>
          <w:szCs w:val="24"/>
        </w:rPr>
        <w:t>以下简称“乙方”）为该项目的成交供应商。</w:t>
      </w:r>
    </w:p>
    <w:p w14:paraId="108098F0">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依据《中华人民共和国民法典》和《中华人民共和国政府采购法》之规定，经双方在平等、自愿、互利的基础上，签订本合同，共同信守。</w:t>
      </w:r>
    </w:p>
    <w:p w14:paraId="29C39A65">
      <w:pPr>
        <w:numPr>
          <w:ilvl w:val="0"/>
          <w:numId w:val="2"/>
        </w:numPr>
        <w:autoSpaceDE w:val="0"/>
        <w:autoSpaceDN w:val="0"/>
        <w:adjustRightInd w:val="0"/>
        <w:snapToGrid w:val="0"/>
        <w:spacing w:line="360" w:lineRule="auto"/>
        <w:ind w:firstLine="482" w:firstLineChars="200"/>
        <w:outlineLvl w:val="1"/>
        <w:rPr>
          <w:rFonts w:hint="eastAsia" w:ascii="宋体" w:hAnsi="宋体" w:eastAsia="宋体" w:cs="宋体"/>
          <w:bCs/>
          <w:kern w:val="2"/>
          <w:sz w:val="24"/>
          <w:szCs w:val="24"/>
          <w:highlight w:val="none"/>
          <w:u w:val="none"/>
          <w:lang w:val="zh-CN" w:eastAsia="zh-CN" w:bidi="ar-SA"/>
        </w:rPr>
      </w:pPr>
      <w:r>
        <w:rPr>
          <w:rFonts w:hint="eastAsia" w:ascii="宋体" w:hAnsi="宋体" w:eastAsia="宋体" w:cs="宋体"/>
          <w:b/>
          <w:bCs/>
          <w:sz w:val="24"/>
          <w:szCs w:val="24"/>
          <w:lang w:val="en-US" w:eastAsia="zh-CN"/>
        </w:rPr>
        <w:t>服务内容：</w:t>
      </w:r>
      <w:r>
        <w:rPr>
          <w:rFonts w:hint="eastAsia" w:ascii="宋体" w:hAnsi="宋体" w:eastAsia="宋体" w:cs="宋体"/>
          <w:b/>
          <w:bCs/>
          <w:sz w:val="24"/>
          <w:szCs w:val="24"/>
          <w:u w:val="single"/>
          <w:lang w:val="en-US" w:eastAsia="zh-CN"/>
        </w:rPr>
        <w:t xml:space="preserve">                            </w:t>
      </w:r>
      <w:r>
        <w:rPr>
          <w:rFonts w:hint="eastAsia" w:ascii="宋体" w:hAnsi="宋体" w:eastAsia="宋体" w:cs="宋体"/>
          <w:bCs/>
          <w:kern w:val="2"/>
          <w:sz w:val="24"/>
          <w:szCs w:val="24"/>
          <w:highlight w:val="none"/>
          <w:u w:val="none"/>
          <w:lang w:val="zh-CN" w:eastAsia="zh-CN" w:bidi="ar-SA"/>
        </w:rPr>
        <w:t>（投入人员详细名单及信息后附）</w:t>
      </w:r>
    </w:p>
    <w:p w14:paraId="6FE526BD">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rPr>
      </w:pPr>
      <w:bookmarkStart w:id="7" w:name="_Toc27143_WPSOffice_Level2"/>
      <w:bookmarkStart w:id="8" w:name="_Toc19489_WPSOffice_Level2"/>
      <w:bookmarkStart w:id="9" w:name="_Toc15412"/>
      <w:bookmarkStart w:id="10" w:name="_Toc16170_WPSOffice_Level2"/>
      <w:r>
        <w:rPr>
          <w:rFonts w:hint="eastAsia" w:ascii="宋体" w:hAnsi="宋体" w:eastAsia="宋体" w:cs="宋体"/>
          <w:b/>
          <w:bCs/>
          <w:sz w:val="24"/>
          <w:szCs w:val="24"/>
        </w:rPr>
        <w:t>二、合同价款</w:t>
      </w:r>
      <w:bookmarkEnd w:id="7"/>
      <w:bookmarkEnd w:id="8"/>
      <w:bookmarkEnd w:id="9"/>
      <w:bookmarkEnd w:id="10"/>
    </w:p>
    <w:p w14:paraId="38ADD04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（一）合同价款（最终磋商报价）为人民币（大写）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5021FBF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二</w:t>
      </w:r>
      <w:r>
        <w:rPr>
          <w:rFonts w:hint="eastAsia" w:ascii="宋体" w:hAnsi="宋体" w:eastAsia="宋体" w:cs="宋体"/>
          <w:bCs/>
          <w:sz w:val="24"/>
          <w:szCs w:val="24"/>
        </w:rPr>
        <w:t>）合同价款一次性包死，不受市场价格变化因素的影响。</w:t>
      </w:r>
    </w:p>
    <w:p w14:paraId="10BA967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三</w:t>
      </w:r>
      <w:r>
        <w:rPr>
          <w:rFonts w:hint="eastAsia" w:ascii="宋体" w:hAnsi="宋体" w:eastAsia="宋体" w:cs="宋体"/>
          <w:bCs/>
          <w:sz w:val="24"/>
          <w:szCs w:val="24"/>
          <w:lang w:eastAsia="zh-CN"/>
        </w:rPr>
        <w:t>）</w:t>
      </w:r>
      <w:r>
        <w:rPr>
          <w:rFonts w:hint="eastAsia" w:ascii="宋体" w:hAnsi="宋体" w:eastAsia="宋体" w:cs="宋体"/>
          <w:bCs/>
          <w:sz w:val="24"/>
          <w:szCs w:val="24"/>
        </w:rPr>
        <w:t>合同总价包括完成本项目</w:t>
      </w:r>
      <w:r>
        <w:rPr>
          <w:rFonts w:hint="eastAsia" w:ascii="宋体" w:hAnsi="宋体" w:eastAsia="宋体" w:cs="宋体"/>
          <w:bCs/>
          <w:sz w:val="24"/>
          <w:szCs w:val="24"/>
          <w:lang w:eastAsia="zh-CN"/>
        </w:rPr>
        <w:t>服务内容</w:t>
      </w:r>
      <w:r>
        <w:rPr>
          <w:rFonts w:hint="eastAsia" w:ascii="宋体" w:hAnsi="宋体" w:eastAsia="宋体" w:cs="宋体"/>
          <w:bCs/>
          <w:sz w:val="24"/>
          <w:szCs w:val="24"/>
        </w:rPr>
        <w:t>所需的全部费用</w:t>
      </w:r>
      <w:r>
        <w:rPr>
          <w:rFonts w:hint="eastAsia" w:ascii="宋体" w:hAnsi="宋体" w:eastAsia="宋体" w:cs="宋体"/>
          <w:bCs/>
          <w:sz w:val="24"/>
          <w:szCs w:val="24"/>
          <w:lang w:eastAsia="zh-CN"/>
        </w:rPr>
        <w:t>。</w:t>
      </w:r>
    </w:p>
    <w:p w14:paraId="46F8BD4E">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rPr>
      </w:pPr>
      <w:bookmarkStart w:id="11" w:name="_Toc10840_WPSOffice_Level2"/>
      <w:bookmarkStart w:id="12" w:name="_Toc16469_WPSOffice_Level2"/>
      <w:bookmarkStart w:id="13" w:name="_Toc25737"/>
      <w:bookmarkStart w:id="14" w:name="_Toc14058_WPSOffice_Level2"/>
      <w:r>
        <w:rPr>
          <w:rFonts w:hint="eastAsia" w:ascii="宋体" w:hAnsi="宋体" w:eastAsia="宋体" w:cs="宋体"/>
          <w:b/>
          <w:bCs/>
          <w:sz w:val="24"/>
          <w:szCs w:val="24"/>
        </w:rPr>
        <w:t>三、款项结算</w:t>
      </w:r>
      <w:bookmarkEnd w:id="11"/>
      <w:bookmarkEnd w:id="12"/>
      <w:bookmarkEnd w:id="13"/>
      <w:bookmarkEnd w:id="14"/>
    </w:p>
    <w:p w14:paraId="4B701A7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bookmarkStart w:id="15" w:name="_Toc18416"/>
      <w:bookmarkStart w:id="16" w:name="_Toc11184_WPSOffice_Level2"/>
      <w:bookmarkStart w:id="17" w:name="_Toc12025_WPSOffice_Level2"/>
      <w:bookmarkStart w:id="18" w:name="_Toc29104_WPSOffice_Level2"/>
      <w:r>
        <w:rPr>
          <w:rFonts w:hint="eastAsia" w:ascii="宋体" w:hAnsi="宋体" w:eastAsia="宋体" w:cs="宋体"/>
          <w:bCs/>
          <w:sz w:val="24"/>
          <w:szCs w:val="24"/>
        </w:rPr>
        <w:t>（1）支付方式：</w:t>
      </w:r>
      <w:r>
        <w:rPr>
          <w:rFonts w:hint="eastAsia" w:ascii="宋体" w:hAnsi="宋体" w:eastAsia="宋体" w:cs="宋体"/>
          <w:bCs/>
          <w:sz w:val="24"/>
          <w:szCs w:val="24"/>
          <w:lang w:eastAsia="zh-CN"/>
        </w:rPr>
        <w:t>银行转账，</w:t>
      </w:r>
      <w:r>
        <w:rPr>
          <w:rFonts w:hint="eastAsia" w:ascii="宋体" w:hAnsi="宋体" w:eastAsia="宋体" w:cs="宋体"/>
          <w:bCs/>
          <w:sz w:val="24"/>
          <w:szCs w:val="24"/>
          <w:lang w:val="en-US" w:eastAsia="zh-CN"/>
        </w:rPr>
        <w:t>乙方向甲方</w:t>
      </w:r>
      <w:r>
        <w:rPr>
          <w:rFonts w:hint="eastAsia" w:ascii="宋体" w:hAnsi="宋体" w:eastAsia="宋体" w:cs="宋体"/>
          <w:bCs/>
          <w:sz w:val="24"/>
          <w:szCs w:val="24"/>
        </w:rPr>
        <w:t>提供相应额度的正规发票。</w:t>
      </w:r>
    </w:p>
    <w:p w14:paraId="32495C0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（2）结算方式：按月结算</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甲方于次月5日内</w:t>
      </w:r>
      <w:r>
        <w:rPr>
          <w:rFonts w:hint="eastAsia" w:ascii="宋体" w:hAnsi="宋体" w:eastAsia="宋体" w:cs="宋体"/>
          <w:bCs/>
          <w:sz w:val="24"/>
          <w:szCs w:val="24"/>
          <w:lang w:eastAsia="zh-CN"/>
        </w:rPr>
        <w:t>据实</w:t>
      </w:r>
      <w:r>
        <w:rPr>
          <w:rFonts w:hint="eastAsia" w:ascii="宋体" w:hAnsi="宋体" w:eastAsia="宋体" w:cs="宋体"/>
          <w:bCs/>
          <w:sz w:val="24"/>
          <w:szCs w:val="24"/>
        </w:rPr>
        <w:t>向</w:t>
      </w:r>
      <w:r>
        <w:rPr>
          <w:rFonts w:hint="eastAsia" w:ascii="宋体" w:hAnsi="宋体" w:eastAsia="宋体" w:cs="宋体"/>
          <w:bCs/>
          <w:sz w:val="24"/>
          <w:szCs w:val="24"/>
          <w:lang w:val="en-US" w:eastAsia="zh-CN"/>
        </w:rPr>
        <w:t>乙方</w:t>
      </w:r>
      <w:r>
        <w:rPr>
          <w:rFonts w:hint="eastAsia" w:ascii="宋体" w:hAnsi="宋体" w:eastAsia="宋体" w:cs="宋体"/>
          <w:bCs/>
          <w:sz w:val="24"/>
          <w:szCs w:val="24"/>
        </w:rPr>
        <w:t>结清上月</w:t>
      </w:r>
      <w:r>
        <w:rPr>
          <w:rFonts w:hint="eastAsia" w:ascii="宋体" w:hAnsi="宋体" w:eastAsia="宋体" w:cs="宋体"/>
          <w:bCs/>
          <w:sz w:val="24"/>
          <w:szCs w:val="24"/>
          <w:lang w:val="en-US" w:eastAsia="zh-CN"/>
        </w:rPr>
        <w:t>结算的</w:t>
      </w:r>
      <w:r>
        <w:rPr>
          <w:rFonts w:hint="eastAsia" w:ascii="宋体" w:hAnsi="宋体" w:eastAsia="宋体" w:cs="宋体"/>
          <w:bCs/>
          <w:sz w:val="24"/>
          <w:szCs w:val="24"/>
        </w:rPr>
        <w:t>应付费用</w:t>
      </w:r>
      <w:r>
        <w:rPr>
          <w:rFonts w:hint="eastAsia" w:ascii="宋体" w:hAnsi="宋体" w:eastAsia="宋体" w:cs="宋体"/>
          <w:bCs/>
          <w:sz w:val="24"/>
          <w:szCs w:val="24"/>
          <w:lang w:eastAsia="zh-CN"/>
        </w:rPr>
        <w:t>，</w:t>
      </w:r>
      <w:r>
        <w:rPr>
          <w:rFonts w:hint="eastAsia" w:ascii="宋体" w:hAnsi="宋体" w:eastAsia="宋体" w:cs="宋体"/>
          <w:bCs/>
          <w:sz w:val="24"/>
          <w:szCs w:val="24"/>
        </w:rPr>
        <w:t>如遇公休或节假日，转账期顺延；</w:t>
      </w:r>
    </w:p>
    <w:p w14:paraId="3D09958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四、双方的权利和义务</w:t>
      </w:r>
      <w:bookmarkEnd w:id="15"/>
      <w:bookmarkEnd w:id="16"/>
      <w:bookmarkEnd w:id="17"/>
      <w:bookmarkEnd w:id="18"/>
    </w:p>
    <w:p w14:paraId="7E0F3BE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kern w:val="2"/>
          <w:sz w:val="24"/>
          <w:szCs w:val="24"/>
          <w:lang w:val="en-US" w:eastAsia="zh-CN" w:bidi="ar-SA"/>
        </w:rPr>
      </w:pPr>
      <w:bookmarkStart w:id="19" w:name="_Toc1998_WPSOffice_Level2"/>
      <w:bookmarkStart w:id="20" w:name="_Toc19175_WPSOffice_Level2"/>
      <w:bookmarkStart w:id="21" w:name="_Toc1648_WPSOffice_Level2"/>
      <w:bookmarkStart w:id="22" w:name="_Toc11000"/>
      <w:r>
        <w:rPr>
          <w:rFonts w:hint="eastAsia" w:ascii="宋体" w:hAnsi="宋体" w:eastAsia="宋体" w:cs="宋体"/>
          <w:bCs/>
          <w:kern w:val="2"/>
          <w:sz w:val="24"/>
          <w:szCs w:val="24"/>
          <w:lang w:val="en-US" w:eastAsia="zh-CN" w:bidi="ar-SA"/>
        </w:rPr>
        <w:t>甲方的权利和义务:</w:t>
      </w:r>
    </w:p>
    <w:p w14:paraId="2B98A34F">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甲方委派专人对乙方的工作进行监督、检查和指导，有权向乙方要求调换不适合在学校工作的人员，多次更换还不能满足要求的，甲方有权解除合同。因乙方工作失职造成甲方财产损失，甲方有权要求乙方赔偿。</w:t>
      </w:r>
    </w:p>
    <w:p w14:paraId="28F43082">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2.甲方为负责为服务人员提供休息室，以便利日常规范管理来访、交接工作。</w:t>
      </w:r>
    </w:p>
    <w:p w14:paraId="1ECDD584">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3.如因乙方服务人员工作失职、疏漏、擅离职守、不作为、乱作为等原因造成的甲方及下属学校人身和财产损失，责任全部由乙方承担，甲方有权终止合同。</w:t>
      </w:r>
    </w:p>
    <w:p w14:paraId="43419BAF">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4甲方有权要求乙方服务人员遵守甲方的规章制度，并对甲方相关信息资料进行保密。</w:t>
      </w:r>
    </w:p>
    <w:p w14:paraId="1C01D62E">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5.甲方对乙方服务人员履行职责的行为予以支持、配合，尊重和保障服务人员的合法权益。</w:t>
      </w:r>
    </w:p>
    <w:p w14:paraId="3509EACF">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6.甲方有权对乙方配备的服务人员进行审核，乙方如更换服务人员，应征得甲方同意后更换。</w:t>
      </w:r>
    </w:p>
    <w:p w14:paraId="599DE19B">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7.甲方应按合同约定及时向乙方支付服务费用。</w:t>
      </w:r>
    </w:p>
    <w:p w14:paraId="5AB8686E">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8.甲方不承担节假日加班费。</w:t>
      </w:r>
    </w:p>
    <w:p w14:paraId="2F221CD9">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乙方的权利和义务:</w:t>
      </w:r>
    </w:p>
    <w:p w14:paraId="65310D3D">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1.乙方应按合同配备足量服务人员，负责合同范围内工作，确保文明、保质保量、高效的履行服务职责，负责对乙方服务人员的教育、培训和管理以及人员调整和休假安排。</w:t>
      </w:r>
    </w:p>
    <w:p w14:paraId="520C9ED6">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2.乙方派出的服务人员上岗前均应由乙方提供专业培训，经过岗前培训合格才能上岗。服务人员入场前乙方需提交服务人员名册、身份证复印件等由甲方审核后方可进入上岗。</w:t>
      </w:r>
    </w:p>
    <w:p w14:paraId="43F7C824">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3.乙方派出的服务人员要服从甲方相关人员的工作指导和服从临时工作安排，遵守甲方各项规章制度，乙方应制定相关管理办法及制度，提出完整的应对方案。</w:t>
      </w:r>
    </w:p>
    <w:p w14:paraId="63386EBE">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4.乙方需为其服务人员配备完备的服务器材、设备及针对新冠病毒防控所需的消杀设备等物资。</w:t>
      </w:r>
    </w:p>
    <w:p w14:paraId="2DC80637">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5.日常工作时间内，乙方应保证服务人员在岗。乙方负责服务人员安排和管理，若遇人员休假、病假等不能出勤时，乙方得到甲方允许后应补充相应服务人员，保证甲方的相关工作不受影响，甲方不承担额外费用。</w:t>
      </w:r>
    </w:p>
    <w:p w14:paraId="2E0AEF65">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6.服务人员的工资、福利、保险、组织管理、业务培训、劳保、装备及食宿等均由乙方负责。乙方应妥善处理与服务人员之间的劳动关系，不得因此而影响甲方的正常工作或给甲方造成任何损失，否则应赔偿甲方的全部损失。</w:t>
      </w:r>
    </w:p>
    <w:p w14:paraId="0EA2E515">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7.乙方应不定期派人到岗检查监督和了解服务人员服务情况，发现问题及时整改。</w:t>
      </w:r>
    </w:p>
    <w:p w14:paraId="55FD9FF8">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8.乙方服务人员凡已离开甲方岗位上班，无论任何理由一律不得再进入甲方岗位区域。</w:t>
      </w:r>
    </w:p>
    <w:p w14:paraId="311295B7">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9.乙方服务人员因工作失职或故意造成甲方人员、财产损害的，乙方应对甲方因此所受到的损失承担全部责任。</w:t>
      </w:r>
    </w:p>
    <w:p w14:paraId="3CBB3FD5">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10.乙方在甲方服务期间须按时向甲方提供工作日报表、周报表、月报表。报表需如实记录每日的工作情况和人员变化情况。</w:t>
      </w:r>
    </w:p>
    <w:p w14:paraId="1A416F7B">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11.乙方与其所配备的服务人员之间存在劳动法律关系，甲方不承担任何法律及经济责任。</w:t>
      </w:r>
    </w:p>
    <w:p w14:paraId="31A24A17">
      <w:pPr>
        <w:pStyle w:val="10"/>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12.严格遵守执行国家关于疫情防控工作出台的政策及要求。</w:t>
      </w:r>
    </w:p>
    <w:p w14:paraId="360E90E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五、</w:t>
      </w:r>
      <w:bookmarkEnd w:id="19"/>
      <w:bookmarkEnd w:id="20"/>
      <w:bookmarkEnd w:id="21"/>
      <w:bookmarkEnd w:id="22"/>
      <w:r>
        <w:rPr>
          <w:rFonts w:hint="eastAsia" w:ascii="宋体" w:hAnsi="宋体" w:eastAsia="宋体" w:cs="宋体"/>
          <w:b/>
          <w:bCs/>
          <w:sz w:val="24"/>
          <w:szCs w:val="24"/>
        </w:rPr>
        <w:t>服务地点、服务期限</w:t>
      </w:r>
      <w:r>
        <w:rPr>
          <w:rFonts w:hint="eastAsia" w:ascii="宋体" w:hAnsi="宋体" w:eastAsia="宋体" w:cs="宋体"/>
          <w:b/>
          <w:bCs/>
          <w:sz w:val="24"/>
          <w:szCs w:val="24"/>
          <w:lang w:eastAsia="zh-CN"/>
        </w:rPr>
        <w:t>及服务标准</w:t>
      </w:r>
      <w:r>
        <w:rPr>
          <w:rFonts w:hint="eastAsia" w:ascii="宋体" w:hAnsi="宋体" w:eastAsia="宋体" w:cs="宋体"/>
          <w:b/>
          <w:bCs/>
          <w:sz w:val="24"/>
          <w:szCs w:val="24"/>
        </w:rPr>
        <w:t>：</w:t>
      </w:r>
    </w:p>
    <w:p w14:paraId="29FFED2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default" w:ascii="宋体" w:hAnsi="宋体" w:eastAsia="宋体" w:cs="宋体"/>
          <w:bCs/>
          <w:kern w:val="2"/>
          <w:sz w:val="24"/>
          <w:szCs w:val="24"/>
          <w:lang w:val="en-US" w:eastAsia="zh-CN" w:bidi="ar-SA"/>
        </w:rPr>
      </w:pPr>
      <w:bookmarkStart w:id="23" w:name="_Toc14214_WPSOffice_Level2"/>
      <w:bookmarkStart w:id="24" w:name="_Toc13013"/>
      <w:bookmarkStart w:id="25" w:name="_Toc24024_WPSOffice_Level2"/>
      <w:bookmarkStart w:id="26" w:name="_Toc25276_WPSOffice_Level2"/>
      <w:r>
        <w:rPr>
          <w:rFonts w:hint="eastAsia" w:ascii="宋体" w:hAnsi="宋体" w:eastAsia="宋体" w:cs="宋体"/>
          <w:bCs/>
          <w:kern w:val="2"/>
          <w:sz w:val="24"/>
          <w:szCs w:val="24"/>
          <w:lang w:val="en-US" w:eastAsia="zh-CN" w:bidi="ar-SA"/>
        </w:rPr>
        <w:t>1、服务地点：蓝田县城关中学</w:t>
      </w:r>
    </w:p>
    <w:p w14:paraId="56AC0F8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2、服务期限：自合同签订生效之日起</w:t>
      </w:r>
      <w:r>
        <w:rPr>
          <w:rFonts w:hint="eastAsia" w:ascii="宋体" w:hAnsi="宋体" w:eastAsia="宋体" w:cs="宋体"/>
          <w:bCs/>
          <w:kern w:val="2"/>
          <w:sz w:val="24"/>
          <w:szCs w:val="24"/>
          <w:u w:val="single"/>
          <w:lang w:val="en-US" w:eastAsia="zh-CN" w:bidi="ar-SA"/>
        </w:rPr>
        <w:t xml:space="preserve"> 12  </w:t>
      </w:r>
      <w:r>
        <w:rPr>
          <w:rFonts w:hint="eastAsia" w:ascii="宋体" w:hAnsi="宋体" w:eastAsia="宋体" w:cs="宋体"/>
          <w:bCs/>
          <w:kern w:val="2"/>
          <w:sz w:val="24"/>
          <w:szCs w:val="24"/>
          <w:lang w:val="en-US" w:eastAsia="zh-CN" w:bidi="ar-SA"/>
        </w:rPr>
        <w:t>个月</w:t>
      </w:r>
    </w:p>
    <w:p w14:paraId="3B76DC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3、服务标准：执行国家标准并符合磋商文件相关要求</w:t>
      </w:r>
    </w:p>
    <w:bookmarkEnd w:id="23"/>
    <w:bookmarkEnd w:id="24"/>
    <w:bookmarkEnd w:id="25"/>
    <w:bookmarkEnd w:id="26"/>
    <w:p w14:paraId="4AA92DC1">
      <w:pPr>
        <w:keepNext w:val="0"/>
        <w:keepLines w:val="0"/>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bCs/>
          <w:sz w:val="24"/>
          <w:szCs w:val="24"/>
          <w:lang w:val="en-US" w:eastAsia="zh-CN"/>
        </w:rPr>
      </w:pPr>
      <w:bookmarkStart w:id="27" w:name="_Toc21871_WPSOffice_Level2"/>
      <w:bookmarkStart w:id="28" w:name="_Toc28495"/>
      <w:bookmarkStart w:id="29" w:name="_Toc27247_WPSOffice_Level2"/>
      <w:bookmarkStart w:id="30" w:name="_Toc1872_WPSOffice_Level2"/>
      <w:r>
        <w:rPr>
          <w:rFonts w:hint="eastAsia" w:ascii="宋体" w:hAnsi="宋体" w:eastAsia="宋体" w:cs="宋体"/>
          <w:b/>
          <w:bCs/>
          <w:sz w:val="24"/>
          <w:szCs w:val="24"/>
          <w:lang w:eastAsia="zh-CN"/>
        </w:rPr>
        <w:t>六</w:t>
      </w:r>
      <w:r>
        <w:rPr>
          <w:rFonts w:hint="eastAsia" w:ascii="宋体" w:hAnsi="宋体" w:eastAsia="宋体" w:cs="宋体"/>
          <w:b/>
          <w:bCs/>
          <w:sz w:val="24"/>
          <w:szCs w:val="24"/>
        </w:rPr>
        <w:t>、</w:t>
      </w:r>
      <w:bookmarkEnd w:id="27"/>
      <w:bookmarkEnd w:id="28"/>
      <w:bookmarkEnd w:id="29"/>
      <w:bookmarkEnd w:id="30"/>
      <w:r>
        <w:rPr>
          <w:rFonts w:hint="eastAsia" w:ascii="宋体" w:hAnsi="宋体" w:eastAsia="宋体" w:cs="宋体"/>
          <w:b/>
          <w:bCs/>
          <w:sz w:val="24"/>
          <w:szCs w:val="24"/>
        </w:rPr>
        <w:t>服</w:t>
      </w:r>
      <w:r>
        <w:rPr>
          <w:rFonts w:hint="eastAsia" w:ascii="宋体" w:hAnsi="宋体" w:eastAsia="宋体" w:cs="宋体"/>
          <w:b/>
          <w:bCs/>
          <w:sz w:val="24"/>
          <w:szCs w:val="24"/>
          <w:lang w:val="en-US" w:eastAsia="zh-CN"/>
        </w:rPr>
        <w:t>务质量保证</w:t>
      </w:r>
    </w:p>
    <w:p w14:paraId="2F58659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1、服务成果符合国家标准和相关政策法规技术规范要求；</w:t>
      </w:r>
    </w:p>
    <w:p w14:paraId="58771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2、服务期间应确保人员稳定，响应及时；</w:t>
      </w:r>
    </w:p>
    <w:p w14:paraId="4A24C66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3、乙方提供的服务，若发生侵权而产生的一切后果，由乙方负责。甲方保留索赔权力。</w:t>
      </w:r>
    </w:p>
    <w:p w14:paraId="1B75B5B2">
      <w:pPr>
        <w:keepNext w:val="0"/>
        <w:keepLines w:val="0"/>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七、考核验收</w:t>
      </w:r>
    </w:p>
    <w:p w14:paraId="405EBEF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1、项目完成后，甲方根据竞争性磋商文件、磋商响应文件及相关文件资料，进行考核验收，确认乙方提供的服务达到采购要求；</w:t>
      </w:r>
    </w:p>
    <w:p w14:paraId="471BC51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2、甲方组织乙方及关专家进行考核验收，验收合格后，填写政府采购项目验收单并在政府采购网进行公示作为对服务的最终认可。</w:t>
      </w:r>
    </w:p>
    <w:p w14:paraId="65BE2EAA">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highlight w:val="none"/>
        </w:rPr>
      </w:pPr>
      <w:bookmarkStart w:id="31" w:name="_Toc23752_WPSOffice_Level2"/>
      <w:bookmarkStart w:id="32" w:name="_Toc9185_WPSOffice_Level2"/>
      <w:bookmarkStart w:id="33" w:name="_Toc7407"/>
      <w:bookmarkStart w:id="34" w:name="_Toc22440_WPSOffice_Level2"/>
      <w:r>
        <w:rPr>
          <w:rFonts w:hint="eastAsia" w:ascii="宋体" w:hAnsi="宋体" w:eastAsia="宋体" w:cs="宋体"/>
          <w:b/>
          <w:bCs/>
          <w:sz w:val="24"/>
          <w:szCs w:val="24"/>
          <w:highlight w:val="none"/>
          <w:lang w:eastAsia="zh-CN"/>
        </w:rPr>
        <w:t>八</w:t>
      </w:r>
      <w:r>
        <w:rPr>
          <w:rFonts w:hint="eastAsia" w:ascii="宋体" w:hAnsi="宋体" w:eastAsia="宋体" w:cs="宋体"/>
          <w:b/>
          <w:bCs/>
          <w:sz w:val="24"/>
          <w:szCs w:val="24"/>
          <w:highlight w:val="none"/>
        </w:rPr>
        <w:t>、违约责任</w:t>
      </w:r>
      <w:bookmarkEnd w:id="31"/>
      <w:bookmarkEnd w:id="32"/>
      <w:bookmarkEnd w:id="33"/>
      <w:bookmarkEnd w:id="34"/>
    </w:p>
    <w:p w14:paraId="01497E4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（一）按</w:t>
      </w:r>
      <w:r>
        <w:rPr>
          <w:rFonts w:hint="eastAsia" w:ascii="宋体" w:hAnsi="宋体" w:eastAsia="宋体" w:cs="宋体"/>
          <w:bCs/>
          <w:color w:val="auto"/>
          <w:sz w:val="24"/>
          <w:szCs w:val="24"/>
        </w:rPr>
        <w:t>《</w:t>
      </w:r>
      <w:r>
        <w:rPr>
          <w:rFonts w:hint="eastAsia" w:ascii="宋体" w:hAnsi="宋体" w:eastAsia="宋体" w:cs="宋体"/>
          <w:bCs/>
          <w:sz w:val="24"/>
          <w:szCs w:val="24"/>
        </w:rPr>
        <w:t>中华人民共和国民法典</w:t>
      </w:r>
      <w:r>
        <w:rPr>
          <w:rFonts w:hint="eastAsia" w:ascii="宋体" w:hAnsi="宋体" w:eastAsia="宋体" w:cs="宋体"/>
          <w:bCs/>
          <w:color w:val="auto"/>
          <w:sz w:val="24"/>
          <w:szCs w:val="24"/>
        </w:rPr>
        <w:t>》</w:t>
      </w:r>
      <w:r>
        <w:rPr>
          <w:rFonts w:hint="eastAsia" w:ascii="宋体" w:hAnsi="宋体" w:eastAsia="宋体" w:cs="宋体"/>
          <w:bCs/>
          <w:sz w:val="24"/>
          <w:szCs w:val="24"/>
        </w:rPr>
        <w:t>中的相关条款执行</w:t>
      </w:r>
      <w:r>
        <w:rPr>
          <w:rFonts w:hint="eastAsia" w:ascii="宋体" w:hAnsi="宋体" w:eastAsia="宋体" w:cs="宋体"/>
          <w:bCs/>
          <w:sz w:val="24"/>
          <w:szCs w:val="24"/>
          <w:lang w:eastAsia="zh-CN"/>
        </w:rPr>
        <w:t>；</w:t>
      </w:r>
    </w:p>
    <w:p w14:paraId="4CAEB46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（二）</w:t>
      </w:r>
      <w:r>
        <w:rPr>
          <w:rFonts w:hint="eastAsia" w:ascii="宋体" w:hAnsi="宋体" w:eastAsia="宋体" w:cs="宋体"/>
          <w:bCs/>
          <w:sz w:val="24"/>
          <w:szCs w:val="24"/>
        </w:rPr>
        <w:t>在合同实施过程中，若乙方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w:t>
      </w:r>
      <w:r>
        <w:rPr>
          <w:rFonts w:hint="eastAsia" w:ascii="宋体" w:hAnsi="宋体" w:eastAsia="宋体" w:cs="宋体"/>
          <w:bCs/>
          <w:sz w:val="24"/>
          <w:szCs w:val="24"/>
          <w:lang w:eastAsia="zh-CN"/>
        </w:rPr>
        <w:t>；</w:t>
      </w:r>
    </w:p>
    <w:p w14:paraId="110AADF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三</w:t>
      </w:r>
      <w:r>
        <w:rPr>
          <w:rFonts w:hint="eastAsia" w:ascii="宋体" w:hAnsi="宋体" w:eastAsia="宋体" w:cs="宋体"/>
          <w:bCs/>
          <w:sz w:val="24"/>
          <w:szCs w:val="24"/>
        </w:rPr>
        <w:t>）任何一方因不可抗力原因不能履行协议时，应尽快通知对方，双方均设法补偿。如仍无法履约协议，可协商延缓或撤销协议，双方责任免除。</w:t>
      </w:r>
    </w:p>
    <w:p w14:paraId="6D789293">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Cs/>
          <w:sz w:val="24"/>
          <w:szCs w:val="24"/>
          <w:highlight w:val="none"/>
        </w:rPr>
      </w:pPr>
      <w:bookmarkStart w:id="35" w:name="_Toc22962_WPSOffice_Level2"/>
      <w:bookmarkStart w:id="36" w:name="_Toc6151_WPSOffice_Level2"/>
      <w:bookmarkStart w:id="37" w:name="_Toc3097"/>
      <w:bookmarkStart w:id="38" w:name="_Toc24321_WPSOffice_Level2"/>
      <w:r>
        <w:rPr>
          <w:rFonts w:hint="eastAsia" w:ascii="宋体" w:hAnsi="宋体" w:eastAsia="宋体" w:cs="宋体"/>
          <w:b/>
          <w:bCs/>
          <w:sz w:val="24"/>
          <w:szCs w:val="24"/>
          <w:highlight w:val="none"/>
          <w:lang w:eastAsia="zh-CN"/>
        </w:rPr>
        <w:t>九</w:t>
      </w:r>
      <w:r>
        <w:rPr>
          <w:rFonts w:hint="eastAsia" w:ascii="宋体" w:hAnsi="宋体" w:eastAsia="宋体" w:cs="宋体"/>
          <w:b/>
          <w:bCs/>
          <w:sz w:val="24"/>
          <w:szCs w:val="24"/>
          <w:highlight w:val="none"/>
        </w:rPr>
        <w:t>、合同争议解决的方式</w:t>
      </w:r>
      <w:bookmarkEnd w:id="35"/>
      <w:bookmarkEnd w:id="36"/>
      <w:bookmarkEnd w:id="37"/>
      <w:bookmarkEnd w:id="38"/>
    </w:p>
    <w:p w14:paraId="79F4913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（一）本合同在履行过程中发生的争议，由甲、乙双方当事人协商解决，协商不成的按下列第2种方式解决：</w:t>
      </w:r>
    </w:p>
    <w:p w14:paraId="122F71D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1、提交西安市仲裁委员会仲裁；</w:t>
      </w:r>
    </w:p>
    <w:p w14:paraId="17AB7FA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2、依法向甲方所在地人民法院起诉。</w:t>
      </w:r>
    </w:p>
    <w:p w14:paraId="04EB6B0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（二）因质量问题发生的争议，由国家权威技术单位进行质量鉴定，该鉴定结论为最终结果，甲乙双方应当接受。</w:t>
      </w:r>
    </w:p>
    <w:p w14:paraId="30839BD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rPr>
      </w:pPr>
      <w:bookmarkStart w:id="39" w:name="_Toc17387_WPSOffice_Level2"/>
      <w:bookmarkStart w:id="40" w:name="_Toc28393"/>
      <w:bookmarkStart w:id="41" w:name="_Toc32648_WPSOffice_Level2"/>
      <w:bookmarkStart w:id="42" w:name="_Toc18082_WPSOffice_Level2"/>
      <w:r>
        <w:rPr>
          <w:rFonts w:hint="eastAsia" w:ascii="宋体" w:hAnsi="宋体" w:eastAsia="宋体" w:cs="宋体"/>
          <w:b/>
          <w:bCs/>
          <w:sz w:val="24"/>
          <w:szCs w:val="24"/>
        </w:rPr>
        <w:t>十、组成本合同的文件</w:t>
      </w:r>
    </w:p>
    <w:p w14:paraId="13B5681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1.协议书；</w:t>
      </w:r>
    </w:p>
    <w:p w14:paraId="2076EAC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2.成交通知书、</w:t>
      </w:r>
      <w:r>
        <w:rPr>
          <w:rFonts w:hint="eastAsia" w:ascii="宋体" w:hAnsi="宋体" w:eastAsia="宋体" w:cs="宋体"/>
          <w:bCs/>
          <w:sz w:val="24"/>
          <w:szCs w:val="24"/>
          <w:lang w:eastAsia="zh-CN"/>
        </w:rPr>
        <w:t>乙方</w:t>
      </w:r>
      <w:r>
        <w:rPr>
          <w:rFonts w:hint="eastAsia" w:ascii="宋体" w:hAnsi="宋体" w:eastAsia="宋体" w:cs="宋体"/>
          <w:bCs/>
          <w:sz w:val="24"/>
          <w:szCs w:val="24"/>
        </w:rPr>
        <w:t>磋商响应文件、竞争性磋商文件、澄清、磋商补充文件（或委托书）；</w:t>
      </w:r>
    </w:p>
    <w:p w14:paraId="32BE0A7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3.相关服务建议书；</w:t>
      </w:r>
    </w:p>
    <w:p w14:paraId="7638781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4.附录，即：附表内相关服务的范围和内容；</w:t>
      </w:r>
    </w:p>
    <w:p w14:paraId="5D7B2C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bCs/>
          <w:sz w:val="24"/>
          <w:szCs w:val="24"/>
        </w:rPr>
        <w:t>本合同签订后，双方依法签订的补充协议也是本合同文件的组成部分。</w:t>
      </w:r>
    </w:p>
    <w:p w14:paraId="60BED30F">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outlineLvl w:val="1"/>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eastAsia="zh-CN"/>
        </w:rPr>
        <w:t>一</w:t>
      </w:r>
      <w:r>
        <w:rPr>
          <w:rFonts w:hint="eastAsia" w:ascii="宋体" w:hAnsi="宋体" w:eastAsia="宋体" w:cs="宋体"/>
          <w:b/>
          <w:bCs/>
          <w:sz w:val="24"/>
          <w:szCs w:val="24"/>
        </w:rPr>
        <w:t>、合同生效</w:t>
      </w:r>
      <w:bookmarkEnd w:id="39"/>
      <w:bookmarkEnd w:id="40"/>
      <w:bookmarkEnd w:id="41"/>
      <w:bookmarkEnd w:id="42"/>
    </w:p>
    <w:p w14:paraId="458AFF0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（一）本合同须经甲、乙双方的法定代表人（授权代理人）在合同书上签字并加盖本单位公章后正式生效。</w:t>
      </w:r>
    </w:p>
    <w:p w14:paraId="190628F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（二）合同生效后，甲、乙双方须严格执行本合同条款的规定，全面履行合同，违者按《中华人民共和国民法典》的有关规定承担相应责任。</w:t>
      </w:r>
    </w:p>
    <w:p w14:paraId="66A93B8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50CA51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（四）本合同如有未尽事宜，甲、乙双方协商解决。</w:t>
      </w:r>
    </w:p>
    <w:tbl>
      <w:tblPr>
        <w:tblStyle w:val="12"/>
        <w:tblW w:w="0" w:type="auto"/>
        <w:jc w:val="center"/>
        <w:tblLayout w:type="fixed"/>
        <w:tblCellMar>
          <w:top w:w="0" w:type="dxa"/>
          <w:left w:w="108" w:type="dxa"/>
          <w:bottom w:w="0" w:type="dxa"/>
          <w:right w:w="108" w:type="dxa"/>
        </w:tblCellMar>
      </w:tblPr>
      <w:tblGrid>
        <w:gridCol w:w="4201"/>
        <w:gridCol w:w="4202"/>
      </w:tblGrid>
      <w:tr w14:paraId="33FCDD6C">
        <w:tblPrEx>
          <w:tblCellMar>
            <w:top w:w="0" w:type="dxa"/>
            <w:left w:w="108" w:type="dxa"/>
            <w:bottom w:w="0" w:type="dxa"/>
            <w:right w:w="108" w:type="dxa"/>
          </w:tblCellMar>
        </w:tblPrEx>
        <w:trPr>
          <w:trHeight w:val="567" w:hRule="exact"/>
          <w:jc w:val="center"/>
        </w:trPr>
        <w:tc>
          <w:tcPr>
            <w:tcW w:w="4201" w:type="dxa"/>
            <w:noWrap w:val="0"/>
            <w:vAlign w:val="center"/>
          </w:tcPr>
          <w:p w14:paraId="3C46C3EE">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14:paraId="4FE9E64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14:paraId="728B1F5D">
        <w:tblPrEx>
          <w:tblCellMar>
            <w:top w:w="0" w:type="dxa"/>
            <w:left w:w="108" w:type="dxa"/>
            <w:bottom w:w="0" w:type="dxa"/>
            <w:right w:w="108" w:type="dxa"/>
          </w:tblCellMar>
        </w:tblPrEx>
        <w:trPr>
          <w:trHeight w:val="567" w:hRule="exact"/>
          <w:jc w:val="center"/>
        </w:trPr>
        <w:tc>
          <w:tcPr>
            <w:tcW w:w="4201" w:type="dxa"/>
            <w:noWrap w:val="0"/>
            <w:vAlign w:val="center"/>
          </w:tcPr>
          <w:p w14:paraId="5760458E">
            <w:pPr>
              <w:autoSpaceDE w:val="0"/>
              <w:autoSpaceDN w:val="0"/>
              <w:adjustRightInd w:val="0"/>
              <w:ind w:firstLine="700" w:firstLineChars="35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569102AB">
            <w:pPr>
              <w:autoSpaceDE w:val="0"/>
              <w:autoSpaceDN w:val="0"/>
              <w:adjustRightInd w:val="0"/>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306E971E">
        <w:tblPrEx>
          <w:tblCellMar>
            <w:top w:w="0" w:type="dxa"/>
            <w:left w:w="108" w:type="dxa"/>
            <w:bottom w:w="0" w:type="dxa"/>
            <w:right w:w="108" w:type="dxa"/>
          </w:tblCellMar>
        </w:tblPrEx>
        <w:trPr>
          <w:trHeight w:val="567" w:hRule="exact"/>
          <w:jc w:val="center"/>
        </w:trPr>
        <w:tc>
          <w:tcPr>
            <w:tcW w:w="4201" w:type="dxa"/>
            <w:noWrap w:val="0"/>
            <w:vAlign w:val="center"/>
          </w:tcPr>
          <w:p w14:paraId="79D8EE20">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14:paraId="67B7E346">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14:paraId="7C249983">
        <w:tblPrEx>
          <w:tblCellMar>
            <w:top w:w="0" w:type="dxa"/>
            <w:left w:w="108" w:type="dxa"/>
            <w:bottom w:w="0" w:type="dxa"/>
            <w:right w:w="108" w:type="dxa"/>
          </w:tblCellMar>
        </w:tblPrEx>
        <w:trPr>
          <w:trHeight w:val="567" w:hRule="exact"/>
          <w:jc w:val="center"/>
        </w:trPr>
        <w:tc>
          <w:tcPr>
            <w:tcW w:w="4201" w:type="dxa"/>
            <w:noWrap w:val="0"/>
            <w:vAlign w:val="center"/>
          </w:tcPr>
          <w:p w14:paraId="43B17747">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noWrap w:val="0"/>
            <w:vAlign w:val="center"/>
          </w:tcPr>
          <w:p w14:paraId="1EE264FF">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14:paraId="6AB7421D">
        <w:tblPrEx>
          <w:tblCellMar>
            <w:top w:w="0" w:type="dxa"/>
            <w:left w:w="108" w:type="dxa"/>
            <w:bottom w:w="0" w:type="dxa"/>
            <w:right w:w="108" w:type="dxa"/>
          </w:tblCellMar>
        </w:tblPrEx>
        <w:trPr>
          <w:trHeight w:val="567" w:hRule="exact"/>
          <w:jc w:val="center"/>
        </w:trPr>
        <w:tc>
          <w:tcPr>
            <w:tcW w:w="4201" w:type="dxa"/>
            <w:noWrap w:val="0"/>
            <w:vAlign w:val="center"/>
          </w:tcPr>
          <w:p w14:paraId="5091A64B">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c>
          <w:tcPr>
            <w:tcW w:w="4202" w:type="dxa"/>
            <w:noWrap w:val="0"/>
            <w:vAlign w:val="center"/>
          </w:tcPr>
          <w:p w14:paraId="69756260">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被授权代表：</w:t>
            </w:r>
          </w:p>
        </w:tc>
      </w:tr>
      <w:tr w14:paraId="6A1C3CED">
        <w:tblPrEx>
          <w:tblCellMar>
            <w:top w:w="0" w:type="dxa"/>
            <w:left w:w="108" w:type="dxa"/>
            <w:bottom w:w="0" w:type="dxa"/>
            <w:right w:w="108" w:type="dxa"/>
          </w:tblCellMar>
        </w:tblPrEx>
        <w:trPr>
          <w:trHeight w:val="567" w:hRule="exact"/>
          <w:jc w:val="center"/>
        </w:trPr>
        <w:tc>
          <w:tcPr>
            <w:tcW w:w="4201" w:type="dxa"/>
            <w:noWrap w:val="0"/>
            <w:vAlign w:val="center"/>
          </w:tcPr>
          <w:p w14:paraId="70BFE40F">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c>
          <w:tcPr>
            <w:tcW w:w="4202" w:type="dxa"/>
            <w:noWrap w:val="0"/>
            <w:vAlign w:val="center"/>
          </w:tcPr>
          <w:p w14:paraId="0693CBD0">
            <w:pPr>
              <w:autoSpaceDE w:val="0"/>
              <w:autoSpaceDN w:val="0"/>
              <w:adjustRightInd w:val="0"/>
              <w:ind w:left="840" w:hanging="600" w:hangingChars="3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r>
      <w:tr w14:paraId="5BD7C6FE">
        <w:tblPrEx>
          <w:tblCellMar>
            <w:top w:w="0" w:type="dxa"/>
            <w:left w:w="108" w:type="dxa"/>
            <w:bottom w:w="0" w:type="dxa"/>
            <w:right w:w="108" w:type="dxa"/>
          </w:tblCellMar>
        </w:tblPrEx>
        <w:trPr>
          <w:trHeight w:val="567" w:hRule="exact"/>
          <w:jc w:val="center"/>
        </w:trPr>
        <w:tc>
          <w:tcPr>
            <w:tcW w:w="4201" w:type="dxa"/>
            <w:noWrap w:val="0"/>
            <w:vAlign w:val="center"/>
          </w:tcPr>
          <w:p w14:paraId="0832F60D">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c>
          <w:tcPr>
            <w:tcW w:w="4202" w:type="dxa"/>
            <w:noWrap w:val="0"/>
            <w:vAlign w:val="center"/>
          </w:tcPr>
          <w:p w14:paraId="1CF231A2">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r>
      <w:tr w14:paraId="499CDBC3">
        <w:tblPrEx>
          <w:tblCellMar>
            <w:top w:w="0" w:type="dxa"/>
            <w:left w:w="108" w:type="dxa"/>
            <w:bottom w:w="0" w:type="dxa"/>
            <w:right w:w="108" w:type="dxa"/>
          </w:tblCellMar>
        </w:tblPrEx>
        <w:trPr>
          <w:trHeight w:val="567" w:hRule="exact"/>
          <w:jc w:val="center"/>
        </w:trPr>
        <w:tc>
          <w:tcPr>
            <w:tcW w:w="4201" w:type="dxa"/>
            <w:noWrap w:val="0"/>
            <w:vAlign w:val="center"/>
          </w:tcPr>
          <w:p w14:paraId="065D246A">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c>
          <w:tcPr>
            <w:tcW w:w="4202" w:type="dxa"/>
            <w:noWrap w:val="0"/>
            <w:vAlign w:val="center"/>
          </w:tcPr>
          <w:p w14:paraId="46D77265">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r>
      <w:tr w14:paraId="14ABD0E3">
        <w:tblPrEx>
          <w:tblCellMar>
            <w:top w:w="0" w:type="dxa"/>
            <w:left w:w="108" w:type="dxa"/>
            <w:bottom w:w="0" w:type="dxa"/>
            <w:right w:w="108" w:type="dxa"/>
          </w:tblCellMar>
        </w:tblPrEx>
        <w:trPr>
          <w:trHeight w:val="567" w:hRule="exact"/>
          <w:jc w:val="center"/>
        </w:trPr>
        <w:tc>
          <w:tcPr>
            <w:tcW w:w="4201" w:type="dxa"/>
            <w:noWrap w:val="0"/>
            <w:vAlign w:val="center"/>
          </w:tcPr>
          <w:p w14:paraId="05B6718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noWrap w:val="0"/>
            <w:vAlign w:val="center"/>
          </w:tcPr>
          <w:p w14:paraId="46D22E96">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14:paraId="56D97FB2">
      <w:pPr>
        <w:autoSpaceDE w:val="0"/>
        <w:autoSpaceDN w:val="0"/>
        <w:adjustRightInd w:val="0"/>
        <w:spacing w:line="360" w:lineRule="auto"/>
        <w:jc w:val="left"/>
        <w:outlineLvl w:val="0"/>
        <w:rPr>
          <w:rFonts w:hint="eastAsia" w:ascii="宋体" w:hAnsi="宋体" w:eastAsia="宋体" w:cs="宋体"/>
          <w:spacing w:val="-20"/>
          <w:kern w:val="0"/>
          <w:sz w:val="24"/>
          <w:szCs w:val="24"/>
          <w:lang w:val="en-US" w:eastAsia="zh-CN"/>
        </w:rPr>
      </w:pPr>
    </w:p>
    <w:p w14:paraId="7811150A">
      <w:pPr>
        <w:autoSpaceDE w:val="0"/>
        <w:autoSpaceDN w:val="0"/>
        <w:adjustRightInd w:val="0"/>
        <w:spacing w:line="360" w:lineRule="auto"/>
        <w:jc w:val="left"/>
        <w:outlineLvl w:val="0"/>
        <w:rPr>
          <w:rFonts w:hint="eastAsia" w:ascii="宋体" w:hAnsi="宋体" w:eastAsia="宋体" w:cs="宋体"/>
          <w:spacing w:val="-20"/>
          <w:kern w:val="0"/>
          <w:sz w:val="24"/>
          <w:szCs w:val="24"/>
          <w:lang w:val="en-US" w:eastAsia="zh-CN"/>
        </w:rPr>
      </w:pPr>
    </w:p>
    <w:p w14:paraId="496BAE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4F8BC"/>
    <w:multiLevelType w:val="singleLevel"/>
    <w:tmpl w:val="84A4F8BC"/>
    <w:lvl w:ilvl="0" w:tentative="0">
      <w:start w:val="1"/>
      <w:numFmt w:val="chineseCounting"/>
      <w:suff w:val="nothing"/>
      <w:lvlText w:val="%1、"/>
      <w:lvlJc w:val="left"/>
      <w:rPr>
        <w:rFonts w:hint="eastAsia"/>
      </w:rPr>
    </w:lvl>
  </w:abstractNum>
  <w:abstractNum w:abstractNumId="1">
    <w:nsid w:val="4FB5BCE9"/>
    <w:multiLevelType w:val="multilevel"/>
    <w:tmpl w:val="4FB5BCE9"/>
    <w:lvl w:ilvl="0" w:tentative="0">
      <w:start w:val="1"/>
      <w:numFmt w:val="chineseCountingThousand"/>
      <w:pStyle w:val="3"/>
      <w:suff w:val="space"/>
      <w:lvlText w:val="%1、"/>
      <w:lvlJc w:val="left"/>
      <w:pPr>
        <w:ind w:left="654" w:firstLine="0"/>
      </w:pPr>
      <w:rPr>
        <w:rFonts w:hint="eastAsia" w:hAnsi="Times New Roman" w:cs="Times New Roman"/>
        <w:b w:val="0"/>
        <w:bCs w:val="0"/>
        <w:i w:val="0"/>
        <w:iCs w:val="0"/>
        <w:caps w:val="0"/>
        <w:smallCaps w:val="0"/>
        <w:strike w:val="0"/>
        <w:dstrike w:val="0"/>
        <w:vanish w:val="0"/>
        <w:spacing w:val="0"/>
        <w:kern w:val="0"/>
        <w:position w:val="0"/>
        <w:u w:val="none"/>
        <w:vertAlign w:val="baseline"/>
      </w:rPr>
    </w:lvl>
    <w:lvl w:ilvl="1" w:tentative="0">
      <w:start w:val="1"/>
      <w:numFmt w:val="decimal"/>
      <w:pStyle w:val="4"/>
      <w:suff w:val="space"/>
      <w:lvlText w:val="%2. "/>
      <w:lvlJc w:val="left"/>
      <w:pPr>
        <w:ind w:left="852" w:firstLine="0"/>
      </w:pPr>
      <w:rPr>
        <w:rFonts w:hint="eastAsia" w:ascii="Cambria" w:hAnsi="Cambria" w:eastAsia="宋体"/>
      </w:rPr>
    </w:lvl>
    <w:lvl w:ilvl="2" w:tentative="0">
      <w:start w:val="1"/>
      <w:numFmt w:val="decimal"/>
      <w:pStyle w:val="5"/>
      <w:suff w:val="space"/>
      <w:lvlText w:val="%2.%3 "/>
      <w:lvlJc w:val="left"/>
      <w:pPr>
        <w:ind w:left="850" w:firstLine="0"/>
      </w:pPr>
      <w:rPr>
        <w:rFonts w:hint="eastAsia" w:ascii="宋体" w:hAnsi="宋体" w:eastAsia="宋体"/>
        <w:b/>
        <w:bCs w:val="0"/>
        <w:i w:val="0"/>
      </w:rPr>
    </w:lvl>
    <w:lvl w:ilvl="3" w:tentative="0">
      <w:start w:val="1"/>
      <w:numFmt w:val="decimal"/>
      <w:pStyle w:val="6"/>
      <w:lvlText w:val="%4、"/>
      <w:lvlJc w:val="left"/>
      <w:pPr>
        <w:ind w:left="1090" w:hanging="720"/>
      </w:pPr>
      <w:rPr>
        <w:rFonts w:hint="eastAsia"/>
      </w:rPr>
    </w:lvl>
    <w:lvl w:ilvl="4" w:tentative="0">
      <w:start w:val="1"/>
      <w:numFmt w:val="decimal"/>
      <w:pStyle w:val="7"/>
      <w:suff w:val="space"/>
      <w:lvlText w:val="%2.%3.%4.%5 "/>
      <w:lvlJc w:val="left"/>
      <w:pPr>
        <w:ind w:left="370" w:firstLine="0"/>
      </w:pPr>
      <w:rPr>
        <w:rFonts w:hint="eastAsia" w:ascii="Cambria" w:hAnsi="Cambria"/>
        <w:b w:val="0"/>
        <w:i w:val="0"/>
        <w:sz w:val="28"/>
      </w:rPr>
    </w:lvl>
    <w:lvl w:ilvl="5" w:tentative="0">
      <w:start w:val="1"/>
      <w:numFmt w:val="decimal"/>
      <w:suff w:val="space"/>
      <w:lvlText w:val="（%6）"/>
      <w:lvlJc w:val="left"/>
      <w:pPr>
        <w:ind w:left="370" w:firstLine="0"/>
      </w:pPr>
      <w:rPr>
        <w:rFonts w:hint="eastAsia"/>
      </w:rPr>
    </w:lvl>
    <w:lvl w:ilvl="6" w:tentative="0">
      <w:start w:val="1"/>
      <w:numFmt w:val="decimal"/>
      <w:lvlRestart w:val="5"/>
      <w:pStyle w:val="8"/>
      <w:suff w:val="space"/>
      <w:lvlText w:val="%7）"/>
      <w:lvlJc w:val="left"/>
      <w:pPr>
        <w:ind w:left="370" w:firstLine="0"/>
      </w:pPr>
      <w:rPr>
        <w:rFonts w:hint="eastAsia"/>
      </w:rPr>
    </w:lvl>
    <w:lvl w:ilvl="7" w:tentative="0">
      <w:start w:val="1"/>
      <w:numFmt w:val="decimal"/>
      <w:lvlRestart w:val="2"/>
      <w:pStyle w:val="9"/>
      <w:isLgl/>
      <w:suff w:val="space"/>
      <w:lvlText w:val="图%2-%8"/>
      <w:lvlJc w:val="left"/>
      <w:pPr>
        <w:ind w:left="370" w:firstLine="0"/>
      </w:pPr>
      <w:rPr>
        <w:rFonts w:hint="eastAsia"/>
      </w:rPr>
    </w:lvl>
    <w:lvl w:ilvl="8" w:tentative="0">
      <w:start w:val="1"/>
      <w:numFmt w:val="decimal"/>
      <w:lvlRestart w:val="2"/>
      <w:suff w:val="space"/>
      <w:lvlText w:val="表%2-%9"/>
      <w:lvlJc w:val="left"/>
      <w:pPr>
        <w:ind w:left="370" w:firstLine="0"/>
      </w:pPr>
      <w:rPr>
        <w:rFonts w:hint="eastAsia" w:cs="Times New Roman"/>
        <w:b w:val="0"/>
        <w:bCs w:val="0"/>
        <w:i w:val="0"/>
        <w:iCs w:val="0"/>
        <w:caps w:val="0"/>
        <w:smallCaps w:val="0"/>
        <w:strike w:val="0"/>
        <w:dstrike w:val="0"/>
        <w:vanish w:val="0"/>
        <w:spacing w:val="0"/>
        <w:kern w:val="0"/>
        <w:position w:val="0"/>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0D4B5BFE"/>
    <w:rsid w:val="0D4B5BFE"/>
    <w:rsid w:val="312E5CD8"/>
    <w:rsid w:val="511770CE"/>
    <w:rsid w:val="5AD73E18"/>
    <w:rsid w:val="6613017B"/>
    <w:rsid w:val="66DF1098"/>
    <w:rsid w:val="75BE1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numPr>
        <w:ilvl w:val="0"/>
        <w:numId w:val="1"/>
      </w:numPr>
      <w:spacing w:line="360" w:lineRule="auto"/>
      <w:ind w:left="654"/>
      <w:jc w:val="center"/>
      <w:outlineLvl w:val="0"/>
    </w:pPr>
    <w:rPr>
      <w:rFonts w:ascii="Times New Roman" w:hAnsi="Times New Roman" w:eastAsia="仿宋_GB2312"/>
      <w:sz w:val="28"/>
      <w:szCs w:val="24"/>
    </w:rPr>
  </w:style>
  <w:style w:type="paragraph" w:styleId="4">
    <w:name w:val="heading 2"/>
    <w:basedOn w:val="1"/>
    <w:next w:val="1"/>
    <w:semiHidden/>
    <w:unhideWhenUsed/>
    <w:qFormat/>
    <w:uiPriority w:val="0"/>
    <w:pPr>
      <w:keepNext/>
      <w:keepLines/>
      <w:numPr>
        <w:ilvl w:val="1"/>
        <w:numId w:val="1"/>
      </w:numPr>
      <w:spacing w:before="260" w:beforeLines="0" w:beforeAutospacing="0" w:after="260" w:afterLines="0" w:afterAutospacing="0" w:line="413" w:lineRule="auto"/>
      <w:ind w:left="852"/>
      <w:outlineLvl w:val="1"/>
    </w:pPr>
    <w:rPr>
      <w:rFonts w:ascii="Arial" w:hAnsi="Arial" w:eastAsia="黑体"/>
      <w:b/>
      <w:sz w:val="32"/>
    </w:rPr>
  </w:style>
  <w:style w:type="paragraph" w:styleId="5">
    <w:name w:val="heading 3"/>
    <w:basedOn w:val="1"/>
    <w:next w:val="1"/>
    <w:link w:val="14"/>
    <w:semiHidden/>
    <w:unhideWhenUsed/>
    <w:qFormat/>
    <w:uiPriority w:val="0"/>
    <w:pPr>
      <w:keepNext/>
      <w:keepLines/>
      <w:numPr>
        <w:ilvl w:val="2"/>
        <w:numId w:val="1"/>
      </w:numPr>
      <w:adjustRightInd/>
      <w:spacing w:line="440" w:lineRule="atLeast"/>
      <w:ind w:left="0" w:firstLine="723" w:firstLineChars="200"/>
      <w:outlineLvl w:val="2"/>
    </w:pPr>
    <w:rPr>
      <w:rFonts w:ascii="宋体" w:hAnsi="宋体" w:eastAsia="宋体" w:cs="Times New Roman"/>
      <w:b/>
      <w:bCs/>
      <w:color w:val="000000" w:themeColor="text1"/>
      <w:sz w:val="24"/>
      <w:szCs w:val="24"/>
      <w:highlight w:val="none"/>
      <w14:textFill>
        <w14:solidFill>
          <w14:schemeClr w14:val="tx1"/>
        </w14:solidFill>
      </w14:textFill>
    </w:rPr>
  </w:style>
  <w:style w:type="paragraph" w:styleId="6">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1090" w:hanging="720"/>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370"/>
      <w:outlineLvl w:val="4"/>
    </w:pPr>
    <w:rPr>
      <w:b/>
      <w:sz w:val="28"/>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37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370"/>
      <w:outlineLvl w:val="7"/>
    </w:pPr>
    <w:rPr>
      <w:rFonts w:ascii="Arial" w:hAnsi="Arial" w:eastAsia="黑体"/>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rFonts w:hint="eastAsia"/>
      <w:b/>
      <w:sz w:val="28"/>
    </w:rPr>
  </w:style>
  <w:style w:type="paragraph" w:styleId="10">
    <w:name w:val="Body Text Indent 2"/>
    <w:basedOn w:val="1"/>
    <w:qFormat/>
    <w:uiPriority w:val="0"/>
    <w:pPr>
      <w:spacing w:line="640" w:lineRule="exact"/>
      <w:ind w:firstLine="645"/>
    </w:pPr>
    <w:rPr>
      <w:rFonts w:ascii="楷体_GB2312" w:eastAsia="楷体_GB2312"/>
      <w:sz w:val="32"/>
    </w:rPr>
  </w:style>
  <w:style w:type="paragraph" w:styleId="11">
    <w:name w:val="footer"/>
    <w:basedOn w:val="1"/>
    <w:uiPriority w:val="0"/>
    <w:pPr>
      <w:tabs>
        <w:tab w:val="center" w:pos="4153"/>
        <w:tab w:val="right" w:pos="8306"/>
      </w:tabs>
      <w:snapToGrid w:val="0"/>
      <w:jc w:val="left"/>
    </w:pPr>
    <w:rPr>
      <w:sz w:val="18"/>
      <w:szCs w:val="18"/>
    </w:rPr>
  </w:style>
  <w:style w:type="character" w:customStyle="1" w:styleId="14">
    <w:name w:val="标题 3 字符"/>
    <w:link w:val="5"/>
    <w:autoRedefine/>
    <w:qFormat/>
    <w:uiPriority w:val="0"/>
    <w:rPr>
      <w:rFonts w:ascii="宋体" w:hAnsi="宋体" w:eastAsia="宋体" w:cs="Times New Roman"/>
      <w:b/>
      <w:bCs/>
      <w:color w:val="000000" w:themeColor="text1"/>
      <w:sz w:val="24"/>
      <w:szCs w:val="24"/>
      <w:highlight w:val="none"/>
      <w:lang w:val="en-US" w:eastAsia="zh-CN" w:bidi="ar-SA"/>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2024-08-29T03:30:00Z</dcterms:created>
  <dc:creator>一个人看熊出没</dc:creator>
  <cp:lastModifiedBy>一个人看熊出没</cp:lastModifiedBy>
  <dcterms:modified xsi:type="dcterms:W3CDTF">2024-08-29T03:30:35Z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E394F682CC424D478AF6E1A840AFF05F_11</vt:lpwstr>
  </property>
</Properties>
</file>