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BC88F">
      <w:pPr>
        <w:widowControl/>
        <w:spacing w:line="360" w:lineRule="auto"/>
        <w:jc w:val="center"/>
        <w:rPr>
          <w:rFonts w:hint="eastAsia" w:ascii="宋体" w:hAnsi="宋体" w:eastAsia="宋体" w:cs="宋体"/>
          <w:bCs/>
          <w:kern w:val="0"/>
          <w:sz w:val="48"/>
          <w:szCs w:val="48"/>
        </w:rPr>
      </w:pPr>
    </w:p>
    <w:p w14:paraId="3F5A5E13">
      <w:pPr>
        <w:widowControl/>
        <w:spacing w:line="360" w:lineRule="auto"/>
        <w:jc w:val="center"/>
        <w:rPr>
          <w:rFonts w:hint="eastAsia" w:ascii="宋体" w:hAnsi="宋体" w:eastAsia="宋体" w:cs="宋体"/>
          <w:bCs/>
          <w:kern w:val="0"/>
          <w:sz w:val="48"/>
          <w:szCs w:val="48"/>
        </w:rPr>
      </w:pPr>
    </w:p>
    <w:p w14:paraId="3486A12D">
      <w:pPr>
        <w:widowControl/>
        <w:spacing w:line="360" w:lineRule="auto"/>
        <w:jc w:val="center"/>
        <w:rPr>
          <w:rFonts w:hint="eastAsia" w:ascii="宋体" w:hAnsi="宋体" w:eastAsia="宋体" w:cs="宋体"/>
          <w:bCs/>
          <w:kern w:val="0"/>
          <w:sz w:val="48"/>
          <w:szCs w:val="48"/>
        </w:rPr>
      </w:pPr>
    </w:p>
    <w:p w14:paraId="618B4CEC">
      <w:pPr>
        <w:widowControl/>
        <w:spacing w:line="360" w:lineRule="auto"/>
        <w:jc w:val="center"/>
        <w:rPr>
          <w:rFonts w:hint="eastAsia" w:ascii="宋体" w:hAnsi="宋体" w:eastAsia="宋体" w:cs="宋体"/>
          <w:bCs/>
          <w:kern w:val="0"/>
          <w:sz w:val="48"/>
          <w:szCs w:val="48"/>
        </w:rPr>
      </w:pPr>
      <w:r>
        <w:rPr>
          <w:rFonts w:hint="eastAsia" w:ascii="宋体" w:hAnsi="宋体" w:eastAsia="宋体" w:cs="宋体"/>
          <w:bCs/>
          <w:kern w:val="0"/>
          <w:sz w:val="48"/>
          <w:szCs w:val="48"/>
        </w:rPr>
        <w:t>陕西省建设工程施工合同</w:t>
      </w:r>
    </w:p>
    <w:p w14:paraId="1E1EDF03">
      <w:pPr>
        <w:widowControl/>
        <w:spacing w:line="360" w:lineRule="auto"/>
        <w:jc w:val="center"/>
        <w:rPr>
          <w:rFonts w:hint="eastAsia" w:ascii="宋体" w:hAnsi="宋体" w:eastAsia="宋体" w:cs="宋体"/>
          <w:b/>
          <w:bCs/>
          <w:kern w:val="0"/>
          <w:sz w:val="32"/>
          <w:szCs w:val="32"/>
        </w:rPr>
      </w:pPr>
    </w:p>
    <w:p w14:paraId="5E7E8011">
      <w:pPr>
        <w:widowControl/>
        <w:spacing w:line="360" w:lineRule="auto"/>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（示范文本）</w:t>
      </w:r>
    </w:p>
    <w:p w14:paraId="5CFA67C0">
      <w:pPr>
        <w:widowControl/>
        <w:spacing w:line="360" w:lineRule="auto"/>
        <w:ind w:firstLine="200"/>
        <w:jc w:val="center"/>
        <w:rPr>
          <w:rFonts w:hint="eastAsia" w:ascii="宋体" w:hAnsi="宋体" w:eastAsia="宋体" w:cs="宋体"/>
          <w:b/>
          <w:bCs/>
          <w:kern w:val="0"/>
          <w:sz w:val="28"/>
          <w:szCs w:val="28"/>
        </w:rPr>
      </w:pPr>
    </w:p>
    <w:p w14:paraId="4B2462DA">
      <w:pPr>
        <w:widowControl/>
        <w:rPr>
          <w:rFonts w:hint="eastAsia" w:ascii="宋体" w:hAnsi="宋体" w:eastAsia="宋体" w:cs="宋体"/>
          <w:b/>
          <w:bCs/>
          <w:kern w:val="0"/>
          <w:sz w:val="28"/>
          <w:szCs w:val="28"/>
        </w:rPr>
      </w:pPr>
    </w:p>
    <w:p w14:paraId="20E21702">
      <w:pPr>
        <w:widowControl/>
        <w:ind w:firstLine="200"/>
        <w:jc w:val="center"/>
        <w:rPr>
          <w:rFonts w:hint="eastAsia" w:ascii="宋体" w:hAnsi="宋体" w:eastAsia="宋体" w:cs="宋体"/>
          <w:b/>
          <w:bCs/>
          <w:kern w:val="0"/>
          <w:sz w:val="28"/>
          <w:szCs w:val="28"/>
        </w:rPr>
      </w:pPr>
    </w:p>
    <w:p w14:paraId="61793261">
      <w:pPr>
        <w:widowControl/>
        <w:ind w:firstLine="200"/>
        <w:jc w:val="center"/>
        <w:rPr>
          <w:rFonts w:hint="eastAsia" w:ascii="宋体" w:hAnsi="宋体" w:eastAsia="宋体" w:cs="宋体"/>
          <w:b/>
          <w:bCs/>
          <w:kern w:val="0"/>
          <w:sz w:val="28"/>
          <w:szCs w:val="28"/>
        </w:rPr>
      </w:pPr>
    </w:p>
    <w:p w14:paraId="3811FFA8">
      <w:pPr>
        <w:widowControl/>
        <w:ind w:firstLine="200"/>
        <w:jc w:val="center"/>
        <w:rPr>
          <w:rFonts w:hint="eastAsia" w:ascii="宋体" w:hAnsi="宋体" w:eastAsia="宋体" w:cs="宋体"/>
          <w:b/>
          <w:bCs/>
          <w:kern w:val="0"/>
          <w:sz w:val="28"/>
          <w:szCs w:val="28"/>
        </w:rPr>
      </w:pPr>
    </w:p>
    <w:p w14:paraId="4313BE30">
      <w:pPr>
        <w:widowControl/>
        <w:ind w:firstLine="200"/>
        <w:jc w:val="center"/>
        <w:rPr>
          <w:rFonts w:hint="eastAsia" w:ascii="宋体" w:hAnsi="宋体" w:eastAsia="宋体" w:cs="宋体"/>
          <w:b/>
          <w:bCs/>
          <w:kern w:val="0"/>
          <w:sz w:val="28"/>
          <w:szCs w:val="28"/>
        </w:rPr>
      </w:pPr>
    </w:p>
    <w:p w14:paraId="7DD9124E">
      <w:pPr>
        <w:widowControl/>
        <w:ind w:firstLine="200"/>
        <w:jc w:val="center"/>
        <w:rPr>
          <w:rFonts w:hint="eastAsia" w:ascii="宋体" w:hAnsi="宋体" w:eastAsia="宋体" w:cs="宋体"/>
          <w:b/>
          <w:bCs/>
          <w:kern w:val="0"/>
          <w:sz w:val="28"/>
          <w:szCs w:val="28"/>
        </w:rPr>
      </w:pPr>
    </w:p>
    <w:p w14:paraId="1DFCB61B">
      <w:pPr>
        <w:widowControl/>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mc:AlternateContent>
          <mc:Choice Requires="wps">
            <w:drawing>
              <wp:anchor distT="0" distB="0" distL="114300" distR="114300" simplePos="0" relativeHeight="251659264" behindDoc="0" locked="0" layoutInCell="1" hidden="1" allowOverlap="1">
                <wp:simplePos x="0" y="0"/>
                <wp:positionH relativeFrom="column">
                  <wp:posOffset>4229100</wp:posOffset>
                </wp:positionH>
                <wp:positionV relativeFrom="paragraph">
                  <wp:posOffset>99060</wp:posOffset>
                </wp:positionV>
                <wp:extent cx="685800" cy="594360"/>
                <wp:effectExtent l="0" t="0" r="0" b="0"/>
                <wp:wrapNone/>
                <wp:docPr id="1" name="矩形 1" hidden="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AD7ADD3">
                            <w:pPr>
                              <w:rPr>
                                <w:rFonts w:hint="eastAsia" w:ascii="宋体" w:hAnsi="宋体" w:eastAsia="宋体" w:cs="Times New Roman"/>
                                <w:b/>
                                <w:sz w:val="44"/>
                                <w:szCs w:val="44"/>
                              </w:rPr>
                            </w:pPr>
                            <w:r>
                              <w:rPr>
                                <w:rFonts w:hint="eastAsia" w:ascii="宋体" w:hAnsi="宋体" w:eastAsia="宋体" w:cs="Times New Roman"/>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visibility:hidden;z-index:251659264;mso-width-relative:page;mso-height-relative:page;" fillcolor="#FFFFFF" filled="t" stroked="t" coordsize="21600,21600" o:gfxdata="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xDi601wAAAAoBAAAPAAAAAAAAAAEAIAAAACIAAABkcnMvZG93&#10;bnJldi54bWxQSwECFAAUAAAACACHTuJA5l3kCwECAAAzBAAADgAAAAAAAAABACAAAAAmAQAAZHJz&#10;L2Uyb0RvYy54bWxQSwUGAAAAAAYABgBZAQAAmQUAAAAA&#10;">
                <v:fill on="t" focussize="0,0"/>
                <v:stroke color="#FFFFFF" joinstyle="miter"/>
                <v:imagedata o:title=""/>
                <o:lock v:ext="edit" aspectratio="f"/>
                <v:textbox>
                  <w:txbxContent>
                    <w:p w14:paraId="0AD7ADD3">
                      <w:pPr>
                        <w:rPr>
                          <w:rFonts w:hint="eastAsia" w:ascii="宋体" w:hAnsi="宋体" w:eastAsia="宋体" w:cs="Times New Roman"/>
                          <w:b/>
                          <w:sz w:val="44"/>
                          <w:szCs w:val="44"/>
                        </w:rPr>
                      </w:pPr>
                      <w:r>
                        <w:rPr>
                          <w:rFonts w:hint="eastAsia" w:ascii="宋体" w:hAnsi="宋体" w:eastAsia="宋体" w:cs="Times New Roman"/>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4B9955E7">
      <w:pPr>
        <w:widowControl/>
        <w:jc w:val="center"/>
        <w:rPr>
          <w:rFonts w:hint="eastAsia" w:ascii="宋体" w:hAnsi="宋体" w:eastAsia="宋体" w:cs="宋体"/>
          <w:b/>
          <w:bCs/>
          <w:spacing w:val="7"/>
          <w:w w:val="96"/>
          <w:kern w:val="0"/>
          <w:sz w:val="32"/>
          <w:szCs w:val="32"/>
        </w:rPr>
      </w:pPr>
    </w:p>
    <w:p w14:paraId="7B511F4F">
      <w:pPr>
        <w:widowControl/>
        <w:jc w:val="center"/>
        <w:rPr>
          <w:rFonts w:hint="eastAsia" w:ascii="宋体" w:hAnsi="宋体" w:eastAsia="宋体" w:cs="宋体"/>
          <w:b/>
          <w:bCs/>
          <w:w w:val="96"/>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5DC887F4">
      <w:pPr>
        <w:widowControl/>
        <w:jc w:val="center"/>
        <w:rPr>
          <w:rFonts w:hint="eastAsia" w:ascii="宋体" w:hAnsi="宋体" w:eastAsia="宋体" w:cs="宋体"/>
          <w:bCs/>
          <w:kern w:val="0"/>
          <w:sz w:val="32"/>
          <w:szCs w:val="32"/>
        </w:rPr>
      </w:pPr>
    </w:p>
    <w:p w14:paraId="0ABAA46C">
      <w:pPr>
        <w:widowControl/>
        <w:jc w:val="center"/>
        <w:rPr>
          <w:rFonts w:hint="eastAsia" w:ascii="宋体" w:hAnsi="宋体" w:eastAsia="宋体" w:cs="宋体"/>
          <w:b/>
          <w:bCs/>
          <w:kern w:val="0"/>
          <w:sz w:val="32"/>
          <w:szCs w:val="32"/>
        </w:rPr>
      </w:pPr>
      <w:r>
        <w:rPr>
          <w:rFonts w:hint="eastAsia" w:ascii="宋体" w:hAnsi="宋体" w:eastAsia="宋体" w:cs="宋体"/>
          <w:bCs/>
          <w:kern w:val="0"/>
          <w:sz w:val="32"/>
          <w:szCs w:val="32"/>
        </w:rPr>
        <w:t>二○    年   月   日</w:t>
      </w:r>
    </w:p>
    <w:p w14:paraId="1AF99955">
      <w:pPr>
        <w:pStyle w:val="3"/>
        <w:keepLines/>
        <w:spacing w:before="260" w:beforeLines="0" w:after="260" w:afterLines="0" w:line="240" w:lineRule="auto"/>
        <w:jc w:val="center"/>
        <w:rPr>
          <w:rFonts w:hint="eastAsia" w:ascii="宋体" w:hAnsi="宋体" w:eastAsia="宋体" w:cs="宋体"/>
          <w:b w:val="0"/>
          <w:bCs/>
          <w:color w:val="000000"/>
          <w:sz w:val="24"/>
          <w:szCs w:val="24"/>
        </w:rPr>
      </w:pPr>
      <w:r>
        <w:rPr>
          <w:rFonts w:hint="eastAsia" w:ascii="宋体" w:hAnsi="宋体" w:eastAsia="宋体" w:cs="宋体"/>
          <w:sz w:val="28"/>
          <w:szCs w:val="20"/>
        </w:rPr>
        <w:br w:type="page"/>
      </w:r>
      <w:r>
        <w:rPr>
          <w:rFonts w:hint="eastAsia" w:ascii="宋体" w:hAnsi="宋体" w:eastAsia="宋体" w:cs="宋体"/>
          <w:b/>
          <w:bCs/>
          <w:sz w:val="24"/>
          <w:szCs w:val="24"/>
        </w:rPr>
        <w:t>第一部分 合同协议书</w:t>
      </w:r>
    </w:p>
    <w:p w14:paraId="1BA5A944">
      <w:pPr>
        <w:spacing w:line="240" w:lineRule="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rPr>
        <w:t xml:space="preserve">                       </w:t>
      </w:r>
    </w:p>
    <w:p w14:paraId="379F1CE0">
      <w:pPr>
        <w:spacing w:line="240" w:lineRule="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rPr>
        <w:t xml:space="preserve">              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  </w:t>
      </w:r>
    </w:p>
    <w:p w14:paraId="3C26148E">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》、《中华人民共和国建筑法》及有关法律规定，遵循平等、自愿、公平和诚实信用的原则，双方就</w:t>
      </w:r>
      <w:r>
        <w:rPr>
          <w:rFonts w:hint="eastAsia" w:ascii="宋体" w:hAnsi="宋体" w:eastAsia="宋体" w:cs="宋体"/>
          <w:color w:val="000000"/>
          <w:sz w:val="24"/>
          <w:szCs w:val="24"/>
          <w:u w:val="single"/>
        </w:rPr>
        <w:t xml:space="preserve"> 华胥镇宋家村设施蔬菜产业园建设项目 </w:t>
      </w:r>
      <w:r>
        <w:rPr>
          <w:rFonts w:hint="eastAsia" w:ascii="宋体" w:hAnsi="宋体" w:eastAsia="宋体" w:cs="宋体"/>
          <w:color w:val="000000"/>
          <w:sz w:val="24"/>
          <w:szCs w:val="24"/>
        </w:rPr>
        <w:t>工程施工及有关事项协商一致，共同达成如下协议：</w:t>
      </w:r>
    </w:p>
    <w:p w14:paraId="5AF9516C">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r>
        <w:rPr>
          <w:rFonts w:hint="eastAsia" w:ascii="宋体" w:hAnsi="宋体" w:eastAsia="宋体" w:cs="宋体"/>
          <w:b w:val="0"/>
          <w:bCs/>
          <w:color w:val="000000"/>
          <w:kern w:val="2"/>
          <w:sz w:val="24"/>
          <w:szCs w:val="24"/>
          <w:lang w:val="en-US" w:eastAsia="zh-CN" w:bidi="ar-SA"/>
        </w:rPr>
        <w:t xml:space="preserve"> </w:t>
      </w:r>
      <w:bookmarkStart w:id="0" w:name="_Toc351203481"/>
      <w:r>
        <w:rPr>
          <w:rFonts w:hint="eastAsia" w:ascii="宋体" w:hAnsi="宋体" w:eastAsia="宋体" w:cs="宋体"/>
          <w:b w:val="0"/>
          <w:bCs/>
          <w:color w:val="000000"/>
          <w:kern w:val="2"/>
          <w:sz w:val="24"/>
          <w:szCs w:val="24"/>
          <w:lang w:val="en-US" w:eastAsia="zh-CN" w:bidi="ar-SA"/>
        </w:rPr>
        <w:t>一、工程概况</w:t>
      </w:r>
      <w:bookmarkEnd w:id="0"/>
    </w:p>
    <w:p w14:paraId="14A74D92">
      <w:pPr>
        <w:spacing w:line="240" w:lineRule="auto"/>
        <w:ind w:firstLine="470" w:firstLineChars="196"/>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华胥镇宋家村设施蔬菜产业园建设项目 </w:t>
      </w:r>
      <w:r>
        <w:rPr>
          <w:rFonts w:hint="eastAsia" w:ascii="宋体" w:hAnsi="宋体" w:eastAsia="宋体" w:cs="宋体"/>
          <w:color w:val="000000"/>
          <w:sz w:val="24"/>
          <w:szCs w:val="24"/>
        </w:rPr>
        <w:t>。</w:t>
      </w:r>
    </w:p>
    <w:p w14:paraId="22E3AF2B">
      <w:pPr>
        <w:spacing w:line="24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陕西省西安市蓝田县华胥镇宋家村</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FBB9DAA">
      <w:pPr>
        <w:spacing w:line="24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蓝农发【2025】75号</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2D5DF67A">
      <w:pPr>
        <w:spacing w:line="24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财政衔接资金</w:t>
      </w:r>
      <w:r>
        <w:rPr>
          <w:rFonts w:hint="eastAsia" w:ascii="宋体" w:hAnsi="宋体" w:eastAsia="宋体" w:cs="宋体"/>
          <w:color w:val="000000"/>
          <w:sz w:val="24"/>
          <w:szCs w:val="24"/>
          <w:u w:val="single"/>
        </w:rPr>
        <w:t>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7AC5CF43">
      <w:pPr>
        <w:spacing w:line="240" w:lineRule="auto"/>
        <w:ind w:left="1921" w:leftChars="228" w:hanging="1442" w:hangingChars="601"/>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color w:val="000000"/>
          <w:sz w:val="24"/>
          <w:szCs w:val="24"/>
          <w:u w:val="single"/>
        </w:rPr>
        <w:t xml:space="preserve">华胥镇宋家村设施蔬菜产业园建设项目主要建设内容为新建2个120m日光温室、2个100m日光温室、1个95m日光温室和1个85m日光温室、1229.96㎡的砂石路面、203㎡彩钢棚、650m排水沟、260m地下给水管道、9根电线杆及电箱、一台三相水泵、电力电缆架空安装等内容 </w:t>
      </w:r>
      <w:r>
        <w:rPr>
          <w:rFonts w:hint="eastAsia" w:ascii="宋体" w:hAnsi="宋体" w:eastAsia="宋体" w:cs="宋体"/>
          <w:bCs/>
          <w:color w:val="000000"/>
          <w:sz w:val="24"/>
          <w:szCs w:val="24"/>
        </w:rPr>
        <w:t>。</w:t>
      </w:r>
    </w:p>
    <w:p w14:paraId="09BBE4EB">
      <w:pPr>
        <w:spacing w:line="240" w:lineRule="auto"/>
        <w:ind w:firstLine="470" w:firstLineChars="196"/>
        <w:rPr>
          <w:rFonts w:hint="eastAsia" w:ascii="宋体" w:hAnsi="宋体" w:eastAsia="宋体" w:cs="宋体"/>
          <w:bCs/>
          <w:color w:val="000000"/>
          <w:sz w:val="24"/>
          <w:szCs w:val="24"/>
        </w:rPr>
      </w:pPr>
      <w:r>
        <w:rPr>
          <w:rFonts w:hint="eastAsia" w:ascii="宋体" w:hAnsi="宋体" w:eastAsia="宋体" w:cs="宋体"/>
          <w:color w:val="000000"/>
          <w:sz w:val="24"/>
          <w:szCs w:val="24"/>
        </w:rPr>
        <w:t>群体工程应附《承包人承揽工程项目一览表》（附件1）。</w:t>
      </w:r>
    </w:p>
    <w:p w14:paraId="47977044">
      <w:pPr>
        <w:spacing w:line="24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6.工程承包范围：</w:t>
      </w:r>
    </w:p>
    <w:p w14:paraId="037D530A">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图纸及工程量清单中的所有建设内容</w:t>
      </w:r>
      <w:r>
        <w:rPr>
          <w:rFonts w:hint="eastAsia" w:ascii="宋体" w:hAnsi="宋体" w:eastAsia="宋体" w:cs="宋体"/>
          <w:color w:val="000000"/>
          <w:sz w:val="24"/>
          <w:szCs w:val="24"/>
        </w:rPr>
        <w:t>。</w:t>
      </w:r>
    </w:p>
    <w:p w14:paraId="31F6CEEB">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 xml:space="preserve">   </w:t>
      </w:r>
      <w:bookmarkStart w:id="1" w:name="_Toc351203482"/>
      <w:r>
        <w:rPr>
          <w:rFonts w:hint="eastAsia" w:ascii="宋体" w:hAnsi="宋体" w:eastAsia="宋体" w:cs="宋体"/>
          <w:b w:val="0"/>
          <w:bCs/>
          <w:color w:val="000000"/>
          <w:kern w:val="2"/>
          <w:sz w:val="24"/>
          <w:szCs w:val="24"/>
          <w:lang w:val="en-US" w:eastAsia="zh-CN" w:bidi="ar-SA"/>
        </w:rPr>
        <w:t>二、合同工期</w:t>
      </w:r>
      <w:bookmarkEnd w:id="1"/>
    </w:p>
    <w:p w14:paraId="08F72B5C">
      <w:pPr>
        <w:spacing w:line="24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0EC65C8D">
      <w:pPr>
        <w:spacing w:line="24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5766D60C">
      <w:pPr>
        <w:spacing w:line="24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45</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天。工期总日历天数与根据前述计划开竣工日期计算的工期天数不一致的，以工期总日历天数为准。</w:t>
      </w:r>
    </w:p>
    <w:p w14:paraId="63EAF4FE">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bookmarkStart w:id="2" w:name="_Toc351203483"/>
      <w:r>
        <w:rPr>
          <w:rFonts w:hint="eastAsia" w:ascii="宋体" w:hAnsi="宋体" w:eastAsia="宋体" w:cs="宋体"/>
          <w:b w:val="0"/>
          <w:bCs/>
          <w:color w:val="000000"/>
          <w:kern w:val="2"/>
          <w:sz w:val="24"/>
          <w:szCs w:val="24"/>
          <w:lang w:val="en-US" w:eastAsia="zh-CN" w:bidi="ar-SA"/>
        </w:rPr>
        <w:t>三、质量标准</w:t>
      </w:r>
      <w:bookmarkEnd w:id="2"/>
    </w:p>
    <w:p w14:paraId="7F33DC28">
      <w:pPr>
        <w:spacing w:line="24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合格</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标准。</w:t>
      </w:r>
    </w:p>
    <w:p w14:paraId="777B2B8E">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r>
        <w:rPr>
          <w:rFonts w:hint="eastAsia" w:ascii="宋体" w:hAnsi="宋体" w:eastAsia="宋体" w:cs="宋体"/>
          <w:b w:val="0"/>
          <w:bCs/>
          <w:color w:val="000000"/>
          <w:kern w:val="2"/>
          <w:sz w:val="24"/>
          <w:szCs w:val="24"/>
          <w:lang w:val="en-US" w:eastAsia="zh-CN" w:bidi="ar-SA"/>
        </w:rPr>
        <w:t xml:space="preserve"> </w:t>
      </w:r>
      <w:bookmarkStart w:id="3" w:name="_Toc351203484"/>
      <w:r>
        <w:rPr>
          <w:rFonts w:hint="eastAsia" w:ascii="宋体" w:hAnsi="宋体" w:eastAsia="宋体" w:cs="宋体"/>
          <w:b w:val="0"/>
          <w:bCs/>
          <w:color w:val="000000"/>
          <w:kern w:val="2"/>
          <w:sz w:val="24"/>
          <w:szCs w:val="24"/>
          <w:lang w:val="en-US" w:eastAsia="zh-CN" w:bidi="ar-SA"/>
        </w:rPr>
        <w:t>四、签约合同价与合同价格形式</w:t>
      </w:r>
      <w:bookmarkEnd w:id="3"/>
      <w:r>
        <w:rPr>
          <w:rFonts w:hint="eastAsia" w:ascii="宋体" w:hAnsi="宋体" w:eastAsia="宋体" w:cs="宋体"/>
          <w:b w:val="0"/>
          <w:bCs/>
          <w:color w:val="000000"/>
          <w:kern w:val="2"/>
          <w:sz w:val="24"/>
          <w:szCs w:val="24"/>
          <w:lang w:val="en-US" w:eastAsia="zh-CN" w:bidi="ar-SA"/>
        </w:rPr>
        <w:tab/>
      </w:r>
    </w:p>
    <w:p w14:paraId="3C38601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5C8D089C">
      <w:pPr>
        <w:spacing w:line="24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A2D0B1E">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1B5FD1B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30A4142F">
      <w:pPr>
        <w:spacing w:line="24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AD0BFE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2AA7F8BE">
      <w:pPr>
        <w:spacing w:line="24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BC99644">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32DC1571">
      <w:pPr>
        <w:spacing w:line="24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65B813A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2C666427">
      <w:pPr>
        <w:spacing w:line="24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8C2B6B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893C7A9">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r>
        <w:rPr>
          <w:rFonts w:hint="eastAsia" w:ascii="宋体" w:hAnsi="宋体" w:eastAsia="宋体" w:cs="宋体"/>
          <w:b w:val="0"/>
          <w:bCs/>
          <w:color w:val="000000"/>
          <w:kern w:val="2"/>
          <w:sz w:val="24"/>
          <w:szCs w:val="24"/>
          <w:lang w:val="en-US" w:eastAsia="zh-CN" w:bidi="ar-SA"/>
        </w:rPr>
        <w:t xml:space="preserve"> </w:t>
      </w:r>
      <w:bookmarkStart w:id="4" w:name="_Toc351203485"/>
      <w:r>
        <w:rPr>
          <w:rFonts w:hint="eastAsia" w:ascii="宋体" w:hAnsi="宋体" w:eastAsia="宋体" w:cs="宋体"/>
          <w:b w:val="0"/>
          <w:bCs/>
          <w:color w:val="000000"/>
          <w:kern w:val="2"/>
          <w:sz w:val="24"/>
          <w:szCs w:val="24"/>
          <w:lang w:val="en-US" w:eastAsia="zh-CN" w:bidi="ar-SA"/>
        </w:rPr>
        <w:t>五、</w:t>
      </w:r>
      <w:bookmarkEnd w:id="4"/>
      <w:r>
        <w:rPr>
          <w:rFonts w:hint="eastAsia" w:ascii="宋体" w:hAnsi="宋体" w:eastAsia="宋体" w:cs="宋体"/>
          <w:b w:val="0"/>
          <w:bCs/>
          <w:color w:val="000000"/>
          <w:kern w:val="2"/>
          <w:sz w:val="24"/>
          <w:szCs w:val="24"/>
          <w:lang w:val="en-US" w:eastAsia="zh-CN" w:bidi="ar-SA"/>
        </w:rPr>
        <w:t>项目经理</w:t>
      </w:r>
    </w:p>
    <w:p w14:paraId="1205190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8BF9DCF">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r>
        <w:rPr>
          <w:rFonts w:hint="eastAsia" w:ascii="宋体" w:hAnsi="宋体" w:eastAsia="宋体" w:cs="宋体"/>
          <w:b w:val="0"/>
          <w:bCs/>
          <w:color w:val="000000"/>
          <w:kern w:val="2"/>
          <w:sz w:val="24"/>
          <w:szCs w:val="24"/>
          <w:lang w:val="en-US" w:eastAsia="zh-CN" w:bidi="ar-SA"/>
        </w:rPr>
        <w:t xml:space="preserve"> </w:t>
      </w:r>
      <w:bookmarkStart w:id="5" w:name="_Toc351203486"/>
      <w:r>
        <w:rPr>
          <w:rFonts w:hint="eastAsia" w:ascii="宋体" w:hAnsi="宋体" w:eastAsia="宋体" w:cs="宋体"/>
          <w:b w:val="0"/>
          <w:bCs/>
          <w:color w:val="000000"/>
          <w:kern w:val="2"/>
          <w:sz w:val="24"/>
          <w:szCs w:val="24"/>
          <w:lang w:val="en-US" w:eastAsia="zh-CN" w:bidi="ar-SA"/>
        </w:rPr>
        <w:t>六、合同文件构成</w:t>
      </w:r>
      <w:bookmarkEnd w:id="5"/>
    </w:p>
    <w:p w14:paraId="4E3797DB">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537E8CD0">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4B5AE58D">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5F1E05CE">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531F16FE">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29606E00">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255DB1E6">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3E8E7BD4">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2437C97D">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63118C76">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5327C6B3">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6F3DD8AB">
      <w:pPr>
        <w:keepNext/>
        <w:keepLines/>
        <w:widowControl w:val="0"/>
        <w:spacing w:before="120" w:beforeLines="0" w:after="120" w:afterLines="0" w:line="240" w:lineRule="auto"/>
        <w:jc w:val="both"/>
        <w:outlineLvl w:val="3"/>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 xml:space="preserve">   </w:t>
      </w:r>
      <w:r>
        <w:rPr>
          <w:rFonts w:hint="eastAsia" w:ascii="宋体" w:hAnsi="宋体" w:eastAsia="宋体" w:cs="宋体"/>
          <w:b w:val="0"/>
          <w:bCs/>
          <w:color w:val="000000"/>
          <w:kern w:val="2"/>
          <w:sz w:val="24"/>
          <w:szCs w:val="24"/>
          <w:lang w:val="en-US" w:eastAsia="zh-CN" w:bidi="ar-SA"/>
        </w:rPr>
        <w:t xml:space="preserve"> </w:t>
      </w:r>
      <w:bookmarkStart w:id="6" w:name="_Toc351203487"/>
      <w:r>
        <w:rPr>
          <w:rFonts w:hint="eastAsia" w:ascii="宋体" w:hAnsi="宋体" w:eastAsia="宋体" w:cs="宋体"/>
          <w:b w:val="0"/>
          <w:bCs/>
          <w:color w:val="000000"/>
          <w:kern w:val="2"/>
          <w:sz w:val="24"/>
          <w:szCs w:val="24"/>
          <w:lang w:val="en-US" w:eastAsia="zh-CN" w:bidi="ar-SA"/>
        </w:rPr>
        <w:t>七、承诺</w:t>
      </w:r>
      <w:bookmarkEnd w:id="6"/>
    </w:p>
    <w:p w14:paraId="0EE9F6C5">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2912CD3A">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00414763">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50B8F094">
      <w:pPr>
        <w:spacing w:line="240" w:lineRule="auto"/>
        <w:rPr>
          <w:rFonts w:hint="eastAsia" w:ascii="宋体" w:hAnsi="宋体" w:eastAsia="宋体" w:cs="宋体"/>
          <w:bCs/>
          <w:color w:val="000000"/>
          <w:sz w:val="24"/>
          <w:szCs w:val="24"/>
        </w:rPr>
      </w:pPr>
      <w:bookmarkStart w:id="7" w:name="_Toc351203488"/>
      <w:r>
        <w:rPr>
          <w:rFonts w:hint="eastAsia" w:ascii="宋体" w:hAnsi="宋体" w:eastAsia="宋体" w:cs="宋体"/>
          <w:b/>
          <w:color w:val="000000"/>
          <w:sz w:val="24"/>
          <w:szCs w:val="24"/>
        </w:rPr>
        <w:t xml:space="preserve">    八、词语含义</w:t>
      </w:r>
      <w:bookmarkEnd w:id="7"/>
    </w:p>
    <w:p w14:paraId="5BD23D09">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47DB5E0D">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r>
        <w:rPr>
          <w:rFonts w:hint="eastAsia" w:ascii="宋体" w:hAnsi="宋体" w:eastAsia="宋体" w:cs="宋体"/>
          <w:b w:val="0"/>
          <w:bCs/>
          <w:color w:val="000000"/>
          <w:kern w:val="2"/>
          <w:sz w:val="24"/>
          <w:szCs w:val="24"/>
          <w:lang w:val="en-US" w:eastAsia="zh-CN" w:bidi="ar-SA"/>
        </w:rPr>
        <w:t xml:space="preserve">  </w:t>
      </w:r>
      <w:bookmarkStart w:id="8" w:name="_Toc351203489"/>
      <w:r>
        <w:rPr>
          <w:rFonts w:hint="eastAsia" w:ascii="宋体" w:hAnsi="宋体" w:eastAsia="宋体" w:cs="宋体"/>
          <w:b w:val="0"/>
          <w:bCs/>
          <w:color w:val="000000"/>
          <w:kern w:val="2"/>
          <w:sz w:val="24"/>
          <w:szCs w:val="24"/>
          <w:lang w:val="en-US" w:eastAsia="zh-CN" w:bidi="ar-SA"/>
        </w:rPr>
        <w:t>九、签订时间</w:t>
      </w:r>
      <w:bookmarkEnd w:id="8"/>
    </w:p>
    <w:p w14:paraId="066C0D0C">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1E73AB4B">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bookmarkStart w:id="9" w:name="_Toc351203490"/>
      <w:r>
        <w:rPr>
          <w:rFonts w:hint="eastAsia" w:ascii="宋体" w:hAnsi="宋体" w:eastAsia="宋体" w:cs="宋体"/>
          <w:b w:val="0"/>
          <w:bCs/>
          <w:color w:val="000000"/>
          <w:kern w:val="2"/>
          <w:sz w:val="24"/>
          <w:szCs w:val="24"/>
          <w:lang w:val="en-US" w:eastAsia="zh-CN" w:bidi="ar-SA"/>
        </w:rPr>
        <w:t>十、签订地点</w:t>
      </w:r>
      <w:bookmarkEnd w:id="9"/>
    </w:p>
    <w:p w14:paraId="192BC2D2">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6BE0457F">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bookmarkStart w:id="10" w:name="_Toc351203491"/>
      <w:r>
        <w:rPr>
          <w:rFonts w:hint="eastAsia" w:ascii="宋体" w:hAnsi="宋体" w:eastAsia="宋体" w:cs="宋体"/>
          <w:b w:val="0"/>
          <w:bCs/>
          <w:color w:val="000000"/>
          <w:kern w:val="2"/>
          <w:sz w:val="24"/>
          <w:szCs w:val="24"/>
          <w:lang w:val="en-US" w:eastAsia="zh-CN" w:bidi="ar-SA"/>
        </w:rPr>
        <w:t>十一、补充协议</w:t>
      </w:r>
      <w:bookmarkEnd w:id="10"/>
    </w:p>
    <w:p w14:paraId="5B32D29A">
      <w:pPr>
        <w:spacing w:line="240" w:lineRule="auto"/>
        <w:ind w:firstLine="480" w:firstLineChars="200"/>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29405142">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bookmarkStart w:id="11" w:name="_Toc351203492"/>
      <w:r>
        <w:rPr>
          <w:rFonts w:hint="eastAsia" w:ascii="宋体" w:hAnsi="宋体" w:eastAsia="宋体" w:cs="宋体"/>
          <w:b w:val="0"/>
          <w:bCs/>
          <w:color w:val="000000"/>
          <w:kern w:val="2"/>
          <w:sz w:val="24"/>
          <w:szCs w:val="24"/>
          <w:lang w:val="en-US" w:eastAsia="zh-CN" w:bidi="ar-SA"/>
        </w:rPr>
        <w:t>十二、合同生效</w:t>
      </w:r>
      <w:bookmarkEnd w:id="11"/>
    </w:p>
    <w:p w14:paraId="1717383F">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3CBCACA2">
      <w:pPr>
        <w:keepNext/>
        <w:keepLines/>
        <w:widowControl w:val="0"/>
        <w:spacing w:before="120" w:beforeLines="0" w:after="120" w:afterLines="0" w:line="240" w:lineRule="auto"/>
        <w:jc w:val="both"/>
        <w:outlineLvl w:val="3"/>
        <w:rPr>
          <w:rFonts w:hint="eastAsia" w:ascii="宋体" w:hAnsi="宋体" w:eastAsia="宋体" w:cs="宋体"/>
          <w:b/>
          <w:bCs w:val="0"/>
          <w:color w:val="000000"/>
          <w:kern w:val="2"/>
          <w:sz w:val="24"/>
          <w:szCs w:val="24"/>
          <w:lang w:val="en-US" w:eastAsia="zh-CN" w:bidi="ar-SA"/>
        </w:rPr>
      </w:pPr>
      <w:r>
        <w:rPr>
          <w:rFonts w:hint="eastAsia" w:ascii="宋体" w:hAnsi="宋体" w:eastAsia="宋体" w:cs="宋体"/>
          <w:b/>
          <w:bCs w:val="0"/>
          <w:color w:val="000000"/>
          <w:kern w:val="2"/>
          <w:sz w:val="24"/>
          <w:szCs w:val="24"/>
          <w:lang w:val="en-US" w:eastAsia="zh-CN" w:bidi="ar-SA"/>
        </w:rPr>
        <w:t xml:space="preserve">    </w:t>
      </w:r>
      <w:bookmarkStart w:id="12" w:name="_Toc351203493"/>
      <w:r>
        <w:rPr>
          <w:rFonts w:hint="eastAsia" w:ascii="宋体" w:hAnsi="宋体" w:eastAsia="宋体" w:cs="宋体"/>
          <w:b w:val="0"/>
          <w:bCs/>
          <w:color w:val="000000"/>
          <w:kern w:val="2"/>
          <w:sz w:val="24"/>
          <w:szCs w:val="24"/>
          <w:lang w:val="en-US" w:eastAsia="zh-CN" w:bidi="ar-SA"/>
        </w:rPr>
        <w:t>十三、合同份数</w:t>
      </w:r>
      <w:bookmarkEnd w:id="12"/>
    </w:p>
    <w:p w14:paraId="01873E47">
      <w:pPr>
        <w:spacing w:line="24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33B9C58E">
      <w:pPr>
        <w:spacing w:line="240" w:lineRule="auto"/>
        <w:rPr>
          <w:rFonts w:hint="eastAsia" w:ascii="宋体" w:hAnsi="宋体" w:eastAsia="宋体" w:cs="宋体"/>
          <w:bCs/>
          <w:color w:val="000000"/>
          <w:sz w:val="24"/>
          <w:szCs w:val="24"/>
        </w:rPr>
      </w:pPr>
    </w:p>
    <w:p w14:paraId="77378315">
      <w:pPr>
        <w:spacing w:line="240" w:lineRule="auto"/>
        <w:rPr>
          <w:rFonts w:hint="eastAsia" w:ascii="宋体" w:hAnsi="宋体" w:eastAsia="宋体" w:cs="宋体"/>
          <w:bCs/>
          <w:color w:val="000000"/>
          <w:sz w:val="24"/>
          <w:szCs w:val="24"/>
        </w:rPr>
      </w:pPr>
    </w:p>
    <w:p w14:paraId="6B6E5C6B">
      <w:pPr>
        <w:spacing w:line="240" w:lineRule="auto"/>
        <w:rPr>
          <w:rFonts w:hint="eastAsia" w:ascii="宋体" w:hAnsi="宋体" w:eastAsia="宋体" w:cs="宋体"/>
          <w:bCs/>
          <w:color w:val="000000"/>
          <w:sz w:val="24"/>
          <w:szCs w:val="24"/>
        </w:rPr>
      </w:pPr>
    </w:p>
    <w:p w14:paraId="4806A4A4">
      <w:pPr>
        <w:spacing w:line="240" w:lineRule="auto"/>
        <w:rPr>
          <w:rFonts w:hint="eastAsia" w:ascii="宋体" w:hAnsi="宋体" w:eastAsia="宋体" w:cs="宋体"/>
          <w:bCs/>
          <w:color w:val="000000"/>
          <w:sz w:val="24"/>
          <w:szCs w:val="24"/>
        </w:rPr>
      </w:pPr>
    </w:p>
    <w:p w14:paraId="48BDD389">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16912B33">
      <w:pPr>
        <w:spacing w:line="24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188ED34F">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5066FEB3">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14A82B69">
      <w:pPr>
        <w:spacing w:line="240" w:lineRule="auto"/>
        <w:rPr>
          <w:rFonts w:hint="eastAsia" w:ascii="宋体" w:hAnsi="宋体" w:eastAsia="宋体" w:cs="宋体"/>
          <w:color w:val="000000"/>
          <w:sz w:val="24"/>
          <w:szCs w:val="24"/>
          <w:u w:val="single"/>
        </w:rPr>
      </w:pPr>
    </w:p>
    <w:p w14:paraId="41C234F2">
      <w:pPr>
        <w:tabs>
          <w:tab w:val="left" w:pos="4410"/>
        </w:tabs>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06EB1564">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      </w:t>
      </w:r>
    </w:p>
    <w:p w14:paraId="48F2EC8B">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253D896B">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       </w:t>
      </w:r>
    </w:p>
    <w:p w14:paraId="16610906">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w:t>
      </w:r>
      <w:r>
        <w:rPr>
          <w:rFonts w:hint="eastAsia" w:ascii="宋体" w:hAnsi="宋体" w:eastAsia="宋体" w:cs="宋体"/>
          <w:color w:val="000000"/>
          <w:sz w:val="24"/>
          <w:szCs w:val="24"/>
          <w:u w:val="single"/>
        </w:rPr>
        <w:t xml:space="preserve">             </w:t>
      </w:r>
    </w:p>
    <w:p w14:paraId="168591E5">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21C18199">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563DE28A">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电子信箱：</w:t>
      </w:r>
      <w:r>
        <w:rPr>
          <w:rFonts w:hint="eastAsia" w:ascii="宋体" w:hAnsi="宋体" w:eastAsia="宋体" w:cs="宋体"/>
          <w:color w:val="000000"/>
          <w:sz w:val="24"/>
          <w:szCs w:val="24"/>
          <w:u w:val="single"/>
        </w:rPr>
        <w:t xml:space="preserve">   </w:t>
      </w:r>
    </w:p>
    <w:p w14:paraId="5D0C9564">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7330B550">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5E4EF15C">
      <w:pPr>
        <w:keepNext/>
        <w:keepLines/>
        <w:widowControl w:val="0"/>
        <w:spacing w:before="260" w:beforeLines="0" w:after="260" w:afterLines="0" w:line="240" w:lineRule="auto"/>
        <w:jc w:val="center"/>
        <w:outlineLvl w:val="2"/>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bookmarkStart w:id="13" w:name="_Toc351203494"/>
      <w:r>
        <w:rPr>
          <w:rFonts w:hint="eastAsia" w:ascii="宋体" w:hAnsi="宋体" w:eastAsia="宋体" w:cs="宋体"/>
          <w:b/>
          <w:bCs/>
          <w:kern w:val="2"/>
          <w:sz w:val="24"/>
          <w:szCs w:val="24"/>
          <w:lang w:val="en-US" w:eastAsia="zh-CN" w:bidi="ar-SA"/>
        </w:rPr>
        <w:t>第二部分 通用合同条款</w:t>
      </w:r>
      <w:bookmarkEnd w:id="13"/>
      <w:bookmarkStart w:id="14" w:name="_Toc337558727"/>
    </w:p>
    <w:p w14:paraId="467D18CC">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15" w:name="_Toc351203495"/>
      <w:r>
        <w:rPr>
          <w:rFonts w:hint="eastAsia" w:ascii="宋体" w:hAnsi="宋体" w:eastAsia="宋体" w:cs="宋体"/>
          <w:b w:val="0"/>
          <w:bCs/>
          <w:color w:val="000000"/>
          <w:kern w:val="2"/>
          <w:sz w:val="24"/>
          <w:szCs w:val="24"/>
          <w:lang w:val="en-US" w:eastAsia="zh-CN" w:bidi="ar-SA"/>
        </w:rPr>
        <w:t>1.</w:t>
      </w:r>
      <w:bookmarkStart w:id="16" w:name="_Toc303538976"/>
      <w:bookmarkEnd w:id="16"/>
      <w:bookmarkStart w:id="17" w:name="_Toc303538973"/>
      <w:bookmarkEnd w:id="17"/>
      <w:bookmarkStart w:id="18" w:name="_Toc303538972"/>
      <w:bookmarkEnd w:id="18"/>
      <w:bookmarkStart w:id="19" w:name="_Toc303538975"/>
      <w:bookmarkEnd w:id="19"/>
      <w:bookmarkStart w:id="20" w:name="_Toc303538974"/>
      <w:bookmarkEnd w:id="20"/>
      <w:bookmarkStart w:id="21" w:name="_Toc296346528"/>
      <w:bookmarkStart w:id="22" w:name="_Toc296503027"/>
      <w:r>
        <w:rPr>
          <w:rFonts w:hint="eastAsia" w:ascii="宋体" w:hAnsi="宋体" w:eastAsia="宋体" w:cs="宋体"/>
          <w:b w:val="0"/>
          <w:bCs/>
          <w:color w:val="000000"/>
          <w:kern w:val="2"/>
          <w:sz w:val="24"/>
          <w:szCs w:val="24"/>
          <w:lang w:val="en-US" w:eastAsia="zh-CN" w:bidi="ar-SA"/>
        </w:rPr>
        <w:t xml:space="preserve"> 一般约定</w:t>
      </w:r>
      <w:bookmarkEnd w:id="14"/>
      <w:bookmarkEnd w:id="15"/>
      <w:bookmarkEnd w:id="21"/>
      <w:bookmarkEnd w:id="22"/>
    </w:p>
    <w:p w14:paraId="048DD64D">
      <w:pPr>
        <w:pStyle w:val="4"/>
        <w:spacing w:before="120" w:after="120" w:line="240" w:lineRule="auto"/>
        <w:ind w:firstLine="480" w:firstLineChars="200"/>
        <w:rPr>
          <w:rFonts w:hint="eastAsia" w:ascii="宋体" w:hAnsi="宋体" w:eastAsia="宋体" w:cs="宋体"/>
          <w:b w:val="0"/>
          <w:color w:val="000000"/>
          <w:sz w:val="24"/>
          <w:szCs w:val="24"/>
        </w:rPr>
      </w:pPr>
      <w:bookmarkStart w:id="23" w:name="_Toc296503028"/>
      <w:bookmarkStart w:id="24" w:name="_Toc337558728"/>
      <w:bookmarkStart w:id="25" w:name="_Toc296346529"/>
      <w:bookmarkStart w:id="26" w:name="_Toc351203496"/>
      <w:r>
        <w:rPr>
          <w:rFonts w:hint="eastAsia" w:ascii="宋体" w:hAnsi="宋体" w:eastAsia="宋体" w:cs="宋体"/>
          <w:b w:val="0"/>
          <w:color w:val="000000"/>
          <w:sz w:val="24"/>
          <w:szCs w:val="24"/>
        </w:rPr>
        <w:t>1.1词语定义</w:t>
      </w:r>
      <w:bookmarkEnd w:id="23"/>
      <w:bookmarkEnd w:id="24"/>
      <w:bookmarkEnd w:id="25"/>
      <w:r>
        <w:rPr>
          <w:rFonts w:hint="eastAsia" w:ascii="宋体" w:hAnsi="宋体" w:eastAsia="宋体" w:cs="宋体"/>
          <w:b w:val="0"/>
          <w:color w:val="000000"/>
          <w:sz w:val="24"/>
          <w:szCs w:val="24"/>
        </w:rPr>
        <w:t>与解释</w:t>
      </w:r>
      <w:bookmarkEnd w:id="26"/>
    </w:p>
    <w:p w14:paraId="362C7F4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合同协议书、通用合同条款、专用合同条款中的下列词语具有本款所赋予的含义：</w:t>
      </w:r>
    </w:p>
    <w:p w14:paraId="68BD8C4D">
      <w:pPr>
        <w:autoSpaceDE w:val="0"/>
        <w:autoSpaceDN w:val="0"/>
        <w:adjustRightInd w:val="0"/>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1.1.1 合同</w:t>
      </w:r>
    </w:p>
    <w:p w14:paraId="4C2202F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、通用合同条款、技术标准和要求、图纸、已标价工程量清单或预算书以及其他合同文件。</w:t>
      </w:r>
    </w:p>
    <w:p w14:paraId="13A4DF8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合同协议书：是指构成合同的由发包人和承包人共同签署的称为“合同协议书”的书面文件。</w:t>
      </w:r>
    </w:p>
    <w:p w14:paraId="2A6D185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中标通知书：是指构成合同的由发包人通知承包人中标的书面文件。</w:t>
      </w:r>
    </w:p>
    <w:p w14:paraId="375B752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1.1.1.4 投标函：是指构成合同的由承包人填写并签署的用于投标的称为“投标函”的文件。</w:t>
      </w:r>
    </w:p>
    <w:p w14:paraId="4070009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1.1.1.5 投标函附录：是指构成合同的附在投标函后的称为“投标函附录”的文件。</w:t>
      </w:r>
    </w:p>
    <w:p w14:paraId="28451A2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1.1.1.6 技术标准和要求：是指构成合同的施工应当遵守的或指导施工的国家、行业或地方的技术标准和要求，以及合同约定的技术标准和要求。</w:t>
      </w:r>
    </w:p>
    <w:p w14:paraId="12D90B9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1.1.1.7 图纸：是指构成合同的图纸，包括由发包人按照合同约定提供或经发包人批准的设计文件、施工图、鸟瞰图及模型等，以及在合同履行过程中形成的图纸文件。图纸应当按照法律规定审查合格。</w:t>
      </w:r>
    </w:p>
    <w:p w14:paraId="6B323EAD">
      <w:pPr>
        <w:autoSpaceDE w:val="0"/>
        <w:autoSpaceDN w:val="0"/>
        <w:adjustRightInd w:val="0"/>
        <w:spacing w:line="24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1.1.1.8 已标价工程量清单：是指构成合同的由承包人按照规定的格式和要求填写并标明价格的工程量清单，包括说明和表格。</w:t>
      </w:r>
    </w:p>
    <w:p w14:paraId="34AF840C">
      <w:pPr>
        <w:autoSpaceDE w:val="0"/>
        <w:autoSpaceDN w:val="0"/>
        <w:adjustRightInd w:val="0"/>
        <w:spacing w:line="24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1.1.1.9 预算书：是指构成合同的由承包人按照发包人规定的格式和要求编制的工程预算文件。</w:t>
      </w:r>
    </w:p>
    <w:p w14:paraId="59144D2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 其他合同文件：是指经合同当事人约定的与工程施工有关的具有合同约束力的文件或书面协议。合同当事人可以在专用合同条款中进行约定。</w:t>
      </w:r>
    </w:p>
    <w:p w14:paraId="65359781">
      <w:pPr>
        <w:autoSpaceDE w:val="0"/>
        <w:autoSpaceDN w:val="0"/>
        <w:adjustRightInd w:val="0"/>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1.1.2 合同当事人及其他相关方</w:t>
      </w:r>
    </w:p>
    <w:p w14:paraId="5BBBF95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1.1.2.1 合同当事人：是指发包人和（或）承包人。</w:t>
      </w:r>
    </w:p>
    <w:p w14:paraId="0D3A355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1.1.2.2 发包人：是指与承包人签订合同协议书的当事人及取得该当事人资格的合法继承人。</w:t>
      </w:r>
    </w:p>
    <w:p w14:paraId="793863F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1.1.2.3 承包人：是指与发包人签订合同协议书的，具有相应工程施工承包资质的当事人及取得该当事人资格的合法继承人。</w:t>
      </w:r>
    </w:p>
    <w:p w14:paraId="1ED7AF8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 监理人：是指在专用合同条款中指明的，受发包人委托按照法律规定进行工程监督管理的法人或其他组织。</w:t>
      </w:r>
    </w:p>
    <w:p w14:paraId="4619FC5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设计人：是指在专用合同条款中指明的，受发包人委托负责工程设计并具备相应工程设计资质的法人或其他组织。</w:t>
      </w:r>
    </w:p>
    <w:p w14:paraId="1FEE58C8">
      <w:pPr>
        <w:spacing w:line="24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1.1.2.6 分包人：</w:t>
      </w:r>
      <w:bookmarkStart w:id="27" w:name="#go5"/>
      <w:bookmarkEnd w:id="27"/>
      <w:r>
        <w:rPr>
          <w:rFonts w:hint="eastAsia" w:ascii="宋体" w:hAnsi="宋体" w:eastAsia="宋体" w:cs="宋体"/>
          <w:color w:val="000000"/>
          <w:kern w:val="0"/>
          <w:sz w:val="24"/>
          <w:szCs w:val="24"/>
        </w:rPr>
        <w:t>是指按照法律规定和合同约定，分包部分工程或工作，并与承包人签订分包合同的具有相应资质的法人。</w:t>
      </w:r>
    </w:p>
    <w:p w14:paraId="155649F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1.1.2.7 发包人代表：是指由发包人任命并派驻施工现场在发包人授权范围内行使发包人权利的人。</w:t>
      </w:r>
    </w:p>
    <w:p w14:paraId="3AC4C02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1.1.2.8 项目经理：是指由承包人任命并派驻施工现场，在承包人授权范围内负责合同履行，且按照法律规定具有相应资格的项目负责人。</w:t>
      </w:r>
    </w:p>
    <w:p w14:paraId="6E51EF8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1.1.2.9 总监理工程师：是指由监理人任命并派驻施工现场进行工程监理的总负责人。</w:t>
      </w:r>
    </w:p>
    <w:p w14:paraId="369FC8F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412B082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 工程：是指与合同协议书中工程承包范围对应的永久工程和（或）临时工程。</w:t>
      </w:r>
    </w:p>
    <w:p w14:paraId="2D2788B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1.1.3.2 永久工程：是指按合同约定建造并移交给发包人的工程，包括工程设备。</w:t>
      </w:r>
    </w:p>
    <w:p w14:paraId="2C58579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1.1.3.3 临时工程：是指为完成合同约定的永久工程所修建的各类临时性工程，不包括施工设备。</w:t>
      </w:r>
    </w:p>
    <w:p w14:paraId="5ECE02A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1.1.3.4 单位工程：是指在合同协议书中指明的，具备独立施工条件并能形成独立使用功能的永久工程。</w:t>
      </w:r>
    </w:p>
    <w:p w14:paraId="19C6925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1.1.3.5 工程设备：是指构成永久工程的机电设备、金属结构设备、仪器及其他类似的设备和装置。</w:t>
      </w:r>
    </w:p>
    <w:p w14:paraId="5C5F42D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1.1.3.6 施工设备：是指为完成合同约定的各项工作所需的设备、器具和其他物品，但不包括工程设备、临时工程和材料。</w:t>
      </w:r>
    </w:p>
    <w:p w14:paraId="22BFF1B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1.1.3.7 施工现场：是指用于工程施工的场所，以及在专用合同条款中指明作为施工场所组成部分的其他场所，包括永久占地和临时占地。</w:t>
      </w:r>
    </w:p>
    <w:p w14:paraId="16A4CFA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1.1.3.8临时设施：是指为完成合同约定的各项工作所服务的临时性生产和生活设施。</w:t>
      </w:r>
    </w:p>
    <w:p w14:paraId="34EFCD9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永久占地：是指专用合同条款中指明为实施工程需永久占用的土地。</w:t>
      </w:r>
    </w:p>
    <w:p w14:paraId="1B7356F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1.1.3.10 临时占地：是指专用合同条款中指明为实施工程需要临时占用的土地。</w:t>
      </w:r>
    </w:p>
    <w:p w14:paraId="2E6D5C6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 日期和期限</w:t>
      </w:r>
    </w:p>
    <w:p w14:paraId="63DEEA6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5A4C3E0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1.1.4.2 竣工日期：包括计划竣工日期和实际竣工日期。计划竣工日期是指合同协议书约定的竣工日期；实际竣工日期按照第13.2.3项〔竣工日期〕的约定确定。 </w:t>
      </w:r>
    </w:p>
    <w:p w14:paraId="43462064">
      <w:pPr>
        <w:spacing w:line="240" w:lineRule="auto"/>
        <w:ind w:firstLine="487" w:firstLineChars="203"/>
        <w:rPr>
          <w:rFonts w:hint="eastAsia" w:ascii="宋体" w:hAnsi="宋体" w:eastAsia="宋体" w:cs="宋体"/>
          <w:color w:val="000000"/>
          <w:sz w:val="24"/>
          <w:szCs w:val="24"/>
        </w:rPr>
      </w:pPr>
      <w:r>
        <w:rPr>
          <w:rFonts w:hint="eastAsia" w:ascii="宋体" w:hAnsi="宋体" w:eastAsia="宋体" w:cs="宋体"/>
          <w:color w:val="000000"/>
          <w:kern w:val="0"/>
          <w:sz w:val="24"/>
          <w:szCs w:val="24"/>
        </w:rPr>
        <w:t>1.1.4.3 工期：是指在合同协议书约定的承包人完成工程所需的期限，包括按照合同约定所作的期限变更。</w:t>
      </w:r>
    </w:p>
    <w:p w14:paraId="7BE5CAB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1.1.4.4 缺陷责任期：是指承包人按照合同约定承担缺陷修复义务，且发包人预留质量保证金</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已缴纳履约保证金的除外</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的期限，自工程实际竣工日期起计算。</w:t>
      </w:r>
    </w:p>
    <w:p w14:paraId="616B266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1.1.4.5 保修期：是指承包人按照合同约定对工程承担保修责任的期限，从工程竣工验收合格之日起计算。</w:t>
      </w:r>
    </w:p>
    <w:p w14:paraId="2E81BA2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1.1.4.6 基准日期：招标发包的工程以投标截止日前28天的日期为基准日期，直接发包的工程以合同签订日前28天的日期为基准日期。</w:t>
      </w:r>
    </w:p>
    <w:p w14:paraId="60020AC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1.1.4.7 天：除特别指明外，均指日历天。合同中按天计算时间的，开始当天不计入，从次日开始计算，期限最后一天的截止时间为当天24:00时。</w:t>
      </w:r>
    </w:p>
    <w:p w14:paraId="53E3078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 合同价格和费用</w:t>
      </w:r>
    </w:p>
    <w:p w14:paraId="7B3546F2">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1.1.5.1 签约合同价：是指</w:t>
      </w:r>
      <w:r>
        <w:rPr>
          <w:rFonts w:hint="eastAsia" w:ascii="宋体" w:hAnsi="宋体" w:eastAsia="宋体" w:cs="宋体"/>
          <w:color w:val="000000"/>
          <w:sz w:val="24"/>
          <w:szCs w:val="24"/>
        </w:rPr>
        <w:t>发包人和承包人在合同协议书中确定的总金额，包括安全文明施工费、暂估价及暂列金额等。</w:t>
      </w:r>
    </w:p>
    <w:p w14:paraId="592E2DD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1.1.5.2 合同价格：是指发包人用于支付承包人按照合同约定完成承包范围内全部工作的金额，包括合同履行过程中按合同约定发生的价格变化。</w:t>
      </w:r>
    </w:p>
    <w:p w14:paraId="3A2DD3A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1.1.5.3 费用：是指为履行合同所发生的或将要发生的所有必需的开支，包括管理费和应分摊的其他费用，但不包括利润。</w:t>
      </w:r>
    </w:p>
    <w:p w14:paraId="3D38C3C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1.1.5.4 暂估价：是指发包人在工程量清单或预算书中提供的用于支付必然发生但暂时不能确定价格的材料、工程设备的单价、专业工程以及服务工作的金额。</w:t>
      </w:r>
    </w:p>
    <w:p w14:paraId="488B939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4F8D8D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1.1.5.6 计日工：是指合同履行过程中，承包人完成发包人提出的零星工作或需要采用计日工计价的变更工作时，按合同中约定的单价计价的一种方式。</w:t>
      </w:r>
    </w:p>
    <w:p w14:paraId="109F0A8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1.1.5.7 质量保证金</w:t>
      </w:r>
      <w:bookmarkStart w:id="28" w:name="#go2"/>
      <w:bookmarkEnd w:id="28"/>
      <w:r>
        <w:rPr>
          <w:rFonts w:hint="eastAsia" w:ascii="宋体" w:hAnsi="宋体" w:eastAsia="宋体" w:cs="宋体"/>
          <w:color w:val="000000"/>
          <w:kern w:val="0"/>
          <w:sz w:val="24"/>
          <w:szCs w:val="24"/>
        </w:rPr>
        <w:t>：是指按照第15.3款〔质量保证金〕约定承包人用于保证其在缺陷责任期内履行缺陷修补义务的担保</w:t>
      </w:r>
      <w:r>
        <w:rPr>
          <w:rFonts w:hint="eastAsia" w:ascii="宋体" w:hAnsi="宋体" w:eastAsia="宋体" w:cs="宋体"/>
          <w:color w:val="000000"/>
          <w:sz w:val="24"/>
          <w:szCs w:val="24"/>
        </w:rPr>
        <w:t>。</w:t>
      </w:r>
    </w:p>
    <w:p w14:paraId="241F618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1.1.5.8 总价项目：是指在现行国家、行业以及地方的计量规则中无工程量计算规则，在已标价工程量清单或预算书中以总价或以费率形式计算的项目。</w:t>
      </w:r>
    </w:p>
    <w:p w14:paraId="753B4335">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 其他</w:t>
      </w:r>
    </w:p>
    <w:p w14:paraId="2385C16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1.1.6.1 书面形式：是指合同文件、信函、电报、传真等可以有形地表现所载内容的形式。</w:t>
      </w:r>
    </w:p>
    <w:p w14:paraId="24CC3433">
      <w:pPr>
        <w:pStyle w:val="4"/>
        <w:spacing w:before="120" w:after="120" w:line="24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29" w:name="_Toc296503029"/>
      <w:bookmarkStart w:id="30" w:name="_Toc351203497"/>
      <w:bookmarkStart w:id="31" w:name="_Toc296346530"/>
      <w:bookmarkStart w:id="32" w:name="_Toc337558729"/>
      <w:r>
        <w:rPr>
          <w:rFonts w:hint="eastAsia" w:ascii="宋体" w:hAnsi="宋体" w:eastAsia="宋体" w:cs="宋体"/>
          <w:b w:val="0"/>
          <w:color w:val="000000"/>
          <w:sz w:val="24"/>
          <w:szCs w:val="24"/>
        </w:rPr>
        <w:t>1.2语言文字</w:t>
      </w:r>
      <w:bookmarkEnd w:id="29"/>
      <w:bookmarkEnd w:id="30"/>
      <w:bookmarkEnd w:id="31"/>
      <w:bookmarkEnd w:id="32"/>
    </w:p>
    <w:p w14:paraId="7CACA2C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合同以中国的汉语简体文字编写、解释和说明。合同当事人在专用合同条款中约定使用两种以上语言时，汉语为优先解释和说明合同的语言。</w:t>
      </w:r>
    </w:p>
    <w:p w14:paraId="3223ED79">
      <w:pPr>
        <w:pStyle w:val="4"/>
        <w:spacing w:before="120" w:after="120" w:line="240" w:lineRule="auto"/>
        <w:ind w:firstLine="480" w:firstLineChars="200"/>
        <w:rPr>
          <w:rFonts w:hint="eastAsia" w:ascii="宋体" w:hAnsi="宋体" w:eastAsia="宋体" w:cs="宋体"/>
          <w:b w:val="0"/>
          <w:color w:val="000000"/>
          <w:sz w:val="24"/>
          <w:szCs w:val="24"/>
        </w:rPr>
      </w:pPr>
      <w:bookmarkStart w:id="33" w:name="_Toc337558730"/>
      <w:bookmarkStart w:id="34" w:name="_Toc296503030"/>
      <w:bookmarkStart w:id="35" w:name="_Toc351203498"/>
      <w:bookmarkStart w:id="36" w:name="_Toc296346531"/>
      <w:r>
        <w:rPr>
          <w:rFonts w:hint="eastAsia" w:ascii="宋体" w:hAnsi="宋体" w:eastAsia="宋体" w:cs="宋体"/>
          <w:b w:val="0"/>
          <w:color w:val="000000"/>
          <w:sz w:val="24"/>
          <w:szCs w:val="24"/>
        </w:rPr>
        <w:t>1.3法律</w:t>
      </w:r>
      <w:bookmarkEnd w:id="33"/>
      <w:bookmarkEnd w:id="34"/>
      <w:bookmarkEnd w:id="35"/>
      <w:bookmarkEnd w:id="36"/>
    </w:p>
    <w:p w14:paraId="2F0ADD4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合同所称法律是指中华人民共和国法律、行政法规、部门规章，以及工程所在地的地方性法规、自治条例、单行条例和地方政府规章等。</w:t>
      </w:r>
    </w:p>
    <w:p w14:paraId="3B90210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合同当事人可以在专用合同条款中约定合同适用的其他规范性文件。</w:t>
      </w:r>
    </w:p>
    <w:p w14:paraId="79F6F29A">
      <w:pPr>
        <w:pStyle w:val="4"/>
        <w:spacing w:before="120" w:after="120" w:line="240" w:lineRule="auto"/>
        <w:ind w:firstLine="480" w:firstLineChars="200"/>
        <w:rPr>
          <w:rFonts w:hint="eastAsia" w:ascii="宋体" w:hAnsi="宋体" w:eastAsia="宋体" w:cs="宋体"/>
          <w:b w:val="0"/>
          <w:color w:val="000000"/>
          <w:sz w:val="24"/>
          <w:szCs w:val="24"/>
        </w:rPr>
      </w:pPr>
      <w:bookmarkStart w:id="37" w:name="_Toc351203499"/>
      <w:r>
        <w:rPr>
          <w:rFonts w:hint="eastAsia" w:ascii="宋体" w:hAnsi="宋体" w:eastAsia="宋体" w:cs="宋体"/>
          <w:b w:val="0"/>
          <w:color w:val="000000"/>
          <w:sz w:val="24"/>
          <w:szCs w:val="24"/>
        </w:rPr>
        <w:t>1.4 标准和规范</w:t>
      </w:r>
      <w:bookmarkEnd w:id="37"/>
    </w:p>
    <w:p w14:paraId="4564CDC1">
      <w:pPr>
        <w:autoSpaceDE w:val="0"/>
        <w:autoSpaceDN w:val="0"/>
        <w:adjustRightInd w:val="0"/>
        <w:spacing w:line="24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1.4.1 适用于工程的国家标准、行业标准、工程所在地的地方性标准，以及相应的规范、规程等，合同当事人有特别要求的，应在专用合同条款中约定。</w:t>
      </w:r>
    </w:p>
    <w:p w14:paraId="7641AC1F">
      <w:pPr>
        <w:autoSpaceDE w:val="0"/>
        <w:autoSpaceDN w:val="0"/>
        <w:adjustRightInd w:val="0"/>
        <w:spacing w:line="24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发包人要求使用国外标准、规范的，发包人负责提供原文版本和中文译本，并在专用合同条款中约定提供标准规范的名称、份数和时间。</w:t>
      </w:r>
    </w:p>
    <w:p w14:paraId="711CD43F">
      <w:pPr>
        <w:autoSpaceDE w:val="0"/>
        <w:autoSpaceDN w:val="0"/>
        <w:adjustRightInd w:val="0"/>
        <w:spacing w:line="24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635A1E9">
      <w:pPr>
        <w:pStyle w:val="4"/>
        <w:spacing w:before="120" w:after="120" w:line="240" w:lineRule="auto"/>
        <w:ind w:firstLine="480" w:firstLineChars="200"/>
        <w:rPr>
          <w:rFonts w:hint="eastAsia" w:ascii="宋体" w:hAnsi="宋体" w:eastAsia="宋体" w:cs="宋体"/>
          <w:b w:val="0"/>
          <w:color w:val="000000"/>
          <w:sz w:val="24"/>
          <w:szCs w:val="24"/>
        </w:rPr>
      </w:pPr>
      <w:bookmarkStart w:id="38" w:name="_Toc351203500"/>
      <w:r>
        <w:rPr>
          <w:rFonts w:hint="eastAsia" w:ascii="宋体" w:hAnsi="宋体" w:eastAsia="宋体" w:cs="宋体"/>
          <w:b w:val="0"/>
          <w:color w:val="000000"/>
          <w:sz w:val="24"/>
          <w:szCs w:val="24"/>
        </w:rPr>
        <w:t>1</w:t>
      </w:r>
      <w:bookmarkStart w:id="39" w:name="_Toc296503031"/>
      <w:bookmarkStart w:id="40" w:name="_Toc337558731"/>
      <w:bookmarkStart w:id="41" w:name="_Toc296346532"/>
      <w:r>
        <w:rPr>
          <w:rFonts w:hint="eastAsia" w:ascii="宋体" w:hAnsi="宋体" w:eastAsia="宋体" w:cs="宋体"/>
          <w:b w:val="0"/>
          <w:color w:val="000000"/>
          <w:sz w:val="24"/>
          <w:szCs w:val="24"/>
        </w:rPr>
        <w:t>.5 合同文件的优先顺序</w:t>
      </w:r>
      <w:bookmarkEnd w:id="38"/>
    </w:p>
    <w:bookmarkEnd w:id="39"/>
    <w:bookmarkEnd w:id="40"/>
    <w:bookmarkEnd w:id="41"/>
    <w:p w14:paraId="09C4D76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组成合同的各项文件应互相解释，互为说明。除专用合同条款另有约定外，解释合同文件的优先顺序如下：</w:t>
      </w:r>
    </w:p>
    <w:p w14:paraId="2FCC51A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（1）合同协议书；</w:t>
      </w:r>
    </w:p>
    <w:p w14:paraId="52D6739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（2）中标通知书（如果有）；</w:t>
      </w:r>
    </w:p>
    <w:p w14:paraId="7DF26C5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（3）投标函及其附录（如果有）；</w:t>
      </w:r>
    </w:p>
    <w:p w14:paraId="54C1781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w:t>
      </w:r>
    </w:p>
    <w:p w14:paraId="6C4DAB4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（5）通用合同条款；</w:t>
      </w:r>
    </w:p>
    <w:p w14:paraId="2766603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（6）技术标准和要求；</w:t>
      </w:r>
    </w:p>
    <w:p w14:paraId="0549728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w:t>
      </w:r>
    </w:p>
    <w:p w14:paraId="279F238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（8）已标价工程量清单或预算书；</w:t>
      </w:r>
    </w:p>
    <w:p w14:paraId="4D60AAA0">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（9）其他合同文件。</w:t>
      </w:r>
    </w:p>
    <w:p w14:paraId="54B1DB77">
      <w:pPr>
        <w:spacing w:line="240" w:lineRule="auto"/>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w:t>
      </w:r>
    </w:p>
    <w:p w14:paraId="1DE6837B">
      <w:pPr>
        <w:spacing w:line="240" w:lineRule="auto"/>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在合同订立及履行过程中形成的与合同有关的文件均构成合同文件组成部分，并根据其性质确定优先解释顺序。</w:t>
      </w:r>
    </w:p>
    <w:p w14:paraId="2C82028D">
      <w:pPr>
        <w:pStyle w:val="4"/>
        <w:spacing w:before="120" w:after="120" w:line="240" w:lineRule="auto"/>
        <w:ind w:firstLine="480" w:firstLineChars="200"/>
        <w:rPr>
          <w:rFonts w:hint="eastAsia" w:ascii="宋体" w:hAnsi="宋体" w:eastAsia="宋体" w:cs="宋体"/>
          <w:b w:val="0"/>
          <w:color w:val="000000"/>
          <w:sz w:val="24"/>
          <w:szCs w:val="24"/>
        </w:rPr>
      </w:pPr>
      <w:bookmarkStart w:id="42" w:name="_Toc351203501"/>
      <w:r>
        <w:rPr>
          <w:rFonts w:hint="eastAsia" w:ascii="宋体" w:hAnsi="宋体" w:eastAsia="宋体" w:cs="宋体"/>
          <w:b w:val="0"/>
          <w:color w:val="000000"/>
          <w:sz w:val="24"/>
          <w:szCs w:val="24"/>
        </w:rPr>
        <w:t>1</w:t>
      </w:r>
      <w:bookmarkStart w:id="43" w:name="_Toc296503032"/>
      <w:bookmarkStart w:id="44" w:name="_Toc337558732"/>
      <w:bookmarkStart w:id="45" w:name="_Toc296346533"/>
      <w:r>
        <w:rPr>
          <w:rFonts w:hint="eastAsia" w:ascii="宋体" w:hAnsi="宋体" w:eastAsia="宋体" w:cs="宋体"/>
          <w:b w:val="0"/>
          <w:color w:val="000000"/>
          <w:sz w:val="24"/>
          <w:szCs w:val="24"/>
        </w:rPr>
        <w:t>.6图纸和承包人文件</w:t>
      </w:r>
      <w:bookmarkEnd w:id="42"/>
    </w:p>
    <w:bookmarkEnd w:id="43"/>
    <w:bookmarkEnd w:id="44"/>
    <w:bookmarkEnd w:id="45"/>
    <w:p w14:paraId="0F2CEB6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 图纸的提供和交底</w:t>
      </w:r>
    </w:p>
    <w:p w14:paraId="345405F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DAA6EE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因发包人未按合同约定提供图纸导致承包人费用增加和（或）工期延误的，按照第7.5.1项〔因发包人原因导致工期延误〕约定办理。</w:t>
      </w:r>
    </w:p>
    <w:p w14:paraId="1348E60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 图纸的错误</w:t>
      </w:r>
    </w:p>
    <w:p w14:paraId="1905E27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0E728B5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1.6.3 图纸的修改和补充</w:t>
      </w:r>
    </w:p>
    <w:p w14:paraId="41C63A6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672C783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1.6.4 承包人文件</w:t>
      </w:r>
    </w:p>
    <w:p w14:paraId="45227BE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承包人应按照专用合同条款的约定提供应当由其编制的与工程施工有关的文件，并按照专用合同条款约定的期限、数量和形式提交监理人，并由监理人报送发包人。</w:t>
      </w:r>
    </w:p>
    <w:p w14:paraId="277BE8D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547D13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1.6.5 图纸和承包人文件的保管</w:t>
      </w:r>
    </w:p>
    <w:p w14:paraId="70A165B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除专用合同条款另有约定外，承包人应在施工现场另外保存一套完整的图纸和承包人文件，供发包人、监理人及有关人员进行工程检查时使用。</w:t>
      </w:r>
    </w:p>
    <w:p w14:paraId="34212AAF">
      <w:pPr>
        <w:pStyle w:val="4"/>
        <w:spacing w:before="120" w:after="120" w:line="240" w:lineRule="auto"/>
        <w:ind w:firstLine="480" w:firstLineChars="200"/>
        <w:rPr>
          <w:rFonts w:hint="eastAsia" w:ascii="宋体" w:hAnsi="宋体" w:eastAsia="宋体" w:cs="宋体"/>
          <w:b w:val="0"/>
          <w:color w:val="000000"/>
          <w:sz w:val="24"/>
          <w:szCs w:val="24"/>
        </w:rPr>
      </w:pPr>
      <w:bookmarkStart w:id="46" w:name="_Toc351203502"/>
      <w:r>
        <w:rPr>
          <w:rFonts w:hint="eastAsia" w:ascii="宋体" w:hAnsi="宋体" w:eastAsia="宋体" w:cs="宋体"/>
          <w:b w:val="0"/>
          <w:color w:val="000000"/>
          <w:sz w:val="24"/>
          <w:szCs w:val="24"/>
        </w:rPr>
        <w:t>1</w:t>
      </w:r>
      <w:bookmarkStart w:id="47" w:name="_Toc296346534"/>
      <w:bookmarkStart w:id="48" w:name="_Toc337558733"/>
      <w:bookmarkStart w:id="49" w:name="_Toc296503033"/>
      <w:r>
        <w:rPr>
          <w:rFonts w:hint="eastAsia" w:ascii="宋体" w:hAnsi="宋体" w:eastAsia="宋体" w:cs="宋体"/>
          <w:b w:val="0"/>
          <w:color w:val="000000"/>
          <w:sz w:val="24"/>
          <w:szCs w:val="24"/>
        </w:rPr>
        <w:t>.7联络</w:t>
      </w:r>
      <w:bookmarkEnd w:id="46"/>
    </w:p>
    <w:bookmarkEnd w:id="47"/>
    <w:bookmarkEnd w:id="48"/>
    <w:bookmarkEnd w:id="49"/>
    <w:p w14:paraId="42C291A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 与合同有关的通知、批准、证明、证书、指示、指令、要求、请求、同意、意见、确定和决定等，均应采用书面形式，并应在合同约定的期限内送达接收人和送达地点。</w:t>
      </w:r>
    </w:p>
    <w:p w14:paraId="48C935D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发包人和承包人应在专用合同条款中约定各自的送达接收人和送达地点。任何一方合同当事人指定的接收人或送达地点发生变动的，应提前3天以书面形式通知对方。</w:t>
      </w:r>
    </w:p>
    <w:p w14:paraId="70AAD689">
      <w:pPr>
        <w:autoSpaceDE w:val="0"/>
        <w:autoSpaceDN w:val="0"/>
        <w:adjustRightInd w:val="0"/>
        <w:spacing w:line="240" w:lineRule="auto"/>
        <w:ind w:firstLine="480" w:firstLineChars="200"/>
        <w:jc w:val="left"/>
        <w:rPr>
          <w:rFonts w:hint="eastAsia" w:ascii="宋体" w:hAnsi="宋体" w:eastAsia="宋体" w:cs="宋体"/>
          <w:color w:val="FF0000"/>
          <w:kern w:val="0"/>
          <w:sz w:val="24"/>
          <w:szCs w:val="24"/>
        </w:rPr>
      </w:pPr>
      <w:r>
        <w:rPr>
          <w:rFonts w:hint="eastAsia" w:ascii="宋体" w:hAnsi="宋体" w:eastAsia="宋体" w:cs="宋体"/>
          <w:color w:val="000000"/>
          <w:kern w:val="0"/>
          <w:sz w:val="24"/>
          <w:szCs w:val="24"/>
        </w:rPr>
        <w:t>1.7.3 发包人和承包人应当及时签收另一方送达至送达地点和指定接收人的来往信函。拒不签收的，由此增加的费用和（或）延误的工期由拒绝接收一方承担。</w:t>
      </w:r>
    </w:p>
    <w:p w14:paraId="7F6B5079">
      <w:pPr>
        <w:pStyle w:val="4"/>
        <w:spacing w:before="120" w:after="120" w:line="240" w:lineRule="auto"/>
        <w:ind w:firstLine="480" w:firstLineChars="200"/>
        <w:rPr>
          <w:rFonts w:hint="eastAsia" w:ascii="宋体" w:hAnsi="宋体" w:eastAsia="宋体" w:cs="宋体"/>
          <w:b w:val="0"/>
          <w:color w:val="000000"/>
          <w:sz w:val="24"/>
          <w:szCs w:val="24"/>
        </w:rPr>
      </w:pPr>
      <w:bookmarkStart w:id="50" w:name="_Toc351203503"/>
      <w:r>
        <w:rPr>
          <w:rFonts w:hint="eastAsia" w:ascii="宋体" w:hAnsi="宋体" w:eastAsia="宋体" w:cs="宋体"/>
          <w:b w:val="0"/>
          <w:color w:val="000000"/>
          <w:sz w:val="24"/>
          <w:szCs w:val="24"/>
        </w:rPr>
        <w:t>1</w:t>
      </w:r>
      <w:bookmarkStart w:id="51" w:name="_Toc296503035"/>
      <w:bookmarkStart w:id="52" w:name="_Toc337558734"/>
      <w:bookmarkStart w:id="53" w:name="_Toc296346536"/>
      <w:r>
        <w:rPr>
          <w:rFonts w:hint="eastAsia" w:ascii="宋体" w:hAnsi="宋体" w:eastAsia="宋体" w:cs="宋体"/>
          <w:b w:val="0"/>
          <w:color w:val="000000"/>
          <w:sz w:val="24"/>
          <w:szCs w:val="24"/>
        </w:rPr>
        <w:t>.8严禁贿赂</w:t>
      </w:r>
      <w:bookmarkEnd w:id="50"/>
    </w:p>
    <w:bookmarkEnd w:id="51"/>
    <w:bookmarkEnd w:id="52"/>
    <w:bookmarkEnd w:id="53"/>
    <w:p w14:paraId="15882AF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合同当事人不得以贿赂或变相贿赂的方式，谋取非法利益或损害对方权益。因一方合同当事人的贿赂造成对方损失的，应赔偿损失，并承担相应的法律责任。</w:t>
      </w:r>
    </w:p>
    <w:p w14:paraId="7C652AB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71DC7418">
      <w:pPr>
        <w:pStyle w:val="4"/>
        <w:spacing w:before="120" w:after="120" w:line="240" w:lineRule="auto"/>
        <w:ind w:firstLine="480" w:firstLineChars="200"/>
        <w:rPr>
          <w:rFonts w:hint="eastAsia" w:ascii="宋体" w:hAnsi="宋体" w:eastAsia="宋体" w:cs="宋体"/>
          <w:b w:val="0"/>
          <w:color w:val="000000"/>
          <w:sz w:val="24"/>
          <w:szCs w:val="24"/>
        </w:rPr>
      </w:pPr>
      <w:bookmarkStart w:id="54" w:name="_Toc351203504"/>
      <w:r>
        <w:rPr>
          <w:rFonts w:hint="eastAsia" w:ascii="宋体" w:hAnsi="宋体" w:eastAsia="宋体" w:cs="宋体"/>
          <w:b w:val="0"/>
          <w:color w:val="000000"/>
          <w:sz w:val="24"/>
          <w:szCs w:val="24"/>
        </w:rPr>
        <w:t>1</w:t>
      </w:r>
      <w:bookmarkStart w:id="55" w:name="_Toc296346537"/>
      <w:bookmarkStart w:id="56" w:name="_Toc296503036"/>
      <w:bookmarkStart w:id="57" w:name="_Toc337558735"/>
      <w:r>
        <w:rPr>
          <w:rFonts w:hint="eastAsia" w:ascii="宋体" w:hAnsi="宋体" w:eastAsia="宋体" w:cs="宋体"/>
          <w:b w:val="0"/>
          <w:color w:val="000000"/>
          <w:sz w:val="24"/>
          <w:szCs w:val="24"/>
        </w:rPr>
        <w:t>.9化石、文物</w:t>
      </w:r>
      <w:bookmarkEnd w:id="54"/>
    </w:p>
    <w:bookmarkEnd w:id="55"/>
    <w:bookmarkEnd w:id="56"/>
    <w:bookmarkEnd w:id="57"/>
    <w:p w14:paraId="10EB386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2C9DB03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发包人、监理人和承包人应按有关政府行政管理部门要求采取妥善的保护措施，由此增加的费用和（或）延误的工期由发包人承担。</w:t>
      </w:r>
    </w:p>
    <w:p w14:paraId="231E436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承包人发现文物后不及时报告或隐瞒不报，致使文物丢失或损坏的，应赔偿损失，并承担相应的法律责任。</w:t>
      </w:r>
    </w:p>
    <w:p w14:paraId="7360E3CE">
      <w:pPr>
        <w:pStyle w:val="4"/>
        <w:spacing w:before="120" w:after="120" w:line="240" w:lineRule="auto"/>
        <w:ind w:firstLine="480" w:firstLineChars="200"/>
        <w:rPr>
          <w:rFonts w:hint="eastAsia" w:ascii="宋体" w:hAnsi="宋体" w:eastAsia="宋体" w:cs="宋体"/>
          <w:b w:val="0"/>
          <w:color w:val="000000"/>
          <w:sz w:val="24"/>
          <w:szCs w:val="24"/>
        </w:rPr>
      </w:pPr>
      <w:bookmarkStart w:id="58" w:name="_Toc351203505"/>
      <w:r>
        <w:rPr>
          <w:rFonts w:hint="eastAsia" w:ascii="宋体" w:hAnsi="宋体" w:eastAsia="宋体" w:cs="宋体"/>
          <w:b w:val="0"/>
          <w:color w:val="000000"/>
          <w:sz w:val="24"/>
          <w:szCs w:val="24"/>
        </w:rPr>
        <w:t>1</w:t>
      </w:r>
      <w:bookmarkStart w:id="59" w:name="_Toc337558736"/>
      <w:r>
        <w:rPr>
          <w:rFonts w:hint="eastAsia" w:ascii="宋体" w:hAnsi="宋体" w:eastAsia="宋体" w:cs="宋体"/>
          <w:b w:val="0"/>
          <w:color w:val="000000"/>
          <w:sz w:val="24"/>
          <w:szCs w:val="24"/>
        </w:rPr>
        <w:t>.10交通运输</w:t>
      </w:r>
      <w:bookmarkEnd w:id="58"/>
    </w:p>
    <w:bookmarkEnd w:id="59"/>
    <w:p w14:paraId="59DE6B2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1.10.1 出入现场的权利</w:t>
      </w:r>
    </w:p>
    <w:p w14:paraId="4B50384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2161310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7C66E5E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1.10.2 场外交通</w:t>
      </w:r>
    </w:p>
    <w:p w14:paraId="61F474F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D6BC0B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1.10.3场内交通</w:t>
      </w:r>
    </w:p>
    <w:p w14:paraId="1C79053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C52374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D767B4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场外交通和场内交通的边界由合同当事人在专用合同条款中约定。</w:t>
      </w:r>
    </w:p>
    <w:p w14:paraId="79AAAAA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1.10.4 超大件和超重件的运输</w:t>
      </w:r>
    </w:p>
    <w:p w14:paraId="4DA5553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1D74DE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1.10.5 道路和桥梁的损坏责任</w:t>
      </w:r>
    </w:p>
    <w:p w14:paraId="036F491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因承包人运输造成施工场地内外公共道路和桥梁损坏的，由承包人承担修复损坏的全部费用和可能引起的赔偿。</w:t>
      </w:r>
    </w:p>
    <w:p w14:paraId="2D78244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1.10.6 水路和航空运输</w:t>
      </w:r>
    </w:p>
    <w:p w14:paraId="0405474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10B94C46">
      <w:pPr>
        <w:pStyle w:val="4"/>
        <w:spacing w:before="120" w:after="120" w:line="240" w:lineRule="auto"/>
        <w:ind w:firstLine="480" w:firstLineChars="200"/>
        <w:rPr>
          <w:rFonts w:hint="eastAsia" w:ascii="宋体" w:hAnsi="宋体" w:eastAsia="宋体" w:cs="宋体"/>
          <w:b w:val="0"/>
          <w:color w:val="000000"/>
          <w:sz w:val="24"/>
          <w:szCs w:val="24"/>
        </w:rPr>
      </w:pPr>
      <w:bookmarkStart w:id="60" w:name="_Toc351203506"/>
      <w:r>
        <w:rPr>
          <w:rFonts w:hint="eastAsia" w:ascii="宋体" w:hAnsi="宋体" w:eastAsia="宋体" w:cs="宋体"/>
          <w:b w:val="0"/>
          <w:color w:val="000000"/>
          <w:sz w:val="24"/>
          <w:szCs w:val="24"/>
        </w:rPr>
        <w:t>1</w:t>
      </w:r>
      <w:bookmarkStart w:id="61" w:name="_Toc337558737"/>
      <w:bookmarkStart w:id="62" w:name="_Toc296346538"/>
      <w:bookmarkStart w:id="63" w:name="_Toc296503037"/>
      <w:r>
        <w:rPr>
          <w:rFonts w:hint="eastAsia" w:ascii="宋体" w:hAnsi="宋体" w:eastAsia="宋体" w:cs="宋体"/>
          <w:b w:val="0"/>
          <w:color w:val="000000"/>
          <w:sz w:val="24"/>
          <w:szCs w:val="24"/>
        </w:rPr>
        <w:t>.11知识产权</w:t>
      </w:r>
      <w:bookmarkEnd w:id="60"/>
      <w:r>
        <w:rPr>
          <w:rFonts w:hint="eastAsia" w:ascii="宋体" w:hAnsi="宋体" w:eastAsia="宋体" w:cs="宋体"/>
          <w:b w:val="0"/>
          <w:color w:val="000000"/>
          <w:sz w:val="24"/>
          <w:szCs w:val="24"/>
        </w:rPr>
        <w:t xml:space="preserve"> </w:t>
      </w:r>
      <w:bookmarkEnd w:id="61"/>
    </w:p>
    <w:bookmarkEnd w:id="62"/>
    <w:bookmarkEnd w:id="63"/>
    <w:p w14:paraId="5E2490C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9C324F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9BC8A9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E556B65">
      <w:pPr>
        <w:spacing w:line="240" w:lineRule="auto"/>
        <w:rPr>
          <w:rFonts w:hint="eastAsia" w:ascii="宋体" w:hAnsi="宋体" w:eastAsia="宋体" w:cs="宋体"/>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1.11.4 除专用合同条款另有约定外，承包人在合同签订前和签订时已确定采用的专利、专有技术、技术秘密的使用费已包含在签约合同价中。</w:t>
      </w:r>
    </w:p>
    <w:p w14:paraId="3A2117F6">
      <w:pPr>
        <w:pStyle w:val="4"/>
        <w:spacing w:before="120" w:after="120" w:line="240" w:lineRule="auto"/>
        <w:ind w:firstLine="480" w:firstLineChars="200"/>
        <w:rPr>
          <w:rFonts w:hint="eastAsia" w:ascii="宋体" w:hAnsi="宋体" w:eastAsia="宋体" w:cs="宋体"/>
          <w:b w:val="0"/>
          <w:color w:val="000000"/>
          <w:sz w:val="24"/>
          <w:szCs w:val="24"/>
        </w:rPr>
      </w:pPr>
      <w:bookmarkStart w:id="64" w:name="_Toc351203507"/>
      <w:r>
        <w:rPr>
          <w:rFonts w:hint="eastAsia" w:ascii="宋体" w:hAnsi="宋体" w:eastAsia="宋体" w:cs="宋体"/>
          <w:b w:val="0"/>
          <w:color w:val="000000"/>
          <w:sz w:val="24"/>
          <w:szCs w:val="24"/>
        </w:rPr>
        <w:t>1</w:t>
      </w:r>
      <w:bookmarkStart w:id="65" w:name="_Toc337558738"/>
      <w:r>
        <w:rPr>
          <w:rFonts w:hint="eastAsia" w:ascii="宋体" w:hAnsi="宋体" w:eastAsia="宋体" w:cs="宋体"/>
          <w:b w:val="0"/>
          <w:color w:val="000000"/>
          <w:sz w:val="24"/>
          <w:szCs w:val="24"/>
        </w:rPr>
        <w:t>.12保密</w:t>
      </w:r>
      <w:bookmarkEnd w:id="64"/>
    </w:p>
    <w:bookmarkEnd w:id="65"/>
    <w:p w14:paraId="0D8FC60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除法律规定或合同另有约定外，未经发包人同意，承包人不得将发包人提供的图纸、文件以及声明需要保密的资料信息等商业秘密泄露给第三方。</w:t>
      </w:r>
    </w:p>
    <w:p w14:paraId="753CC66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除法律规定或合同另有约定外，未经承包人同意，发包人不得将承包人提供的技术秘密及声明需要保密的资料信息等商业秘密泄露给第三方。</w:t>
      </w:r>
    </w:p>
    <w:p w14:paraId="591CA54E">
      <w:pPr>
        <w:pStyle w:val="4"/>
        <w:spacing w:before="120" w:after="120" w:line="240" w:lineRule="auto"/>
        <w:ind w:firstLine="480" w:firstLineChars="200"/>
        <w:rPr>
          <w:rFonts w:hint="eastAsia" w:ascii="宋体" w:hAnsi="宋体" w:eastAsia="宋体" w:cs="宋体"/>
          <w:b w:val="0"/>
          <w:color w:val="000000"/>
          <w:sz w:val="24"/>
          <w:szCs w:val="24"/>
        </w:rPr>
      </w:pPr>
      <w:bookmarkStart w:id="66" w:name="_Toc351203508"/>
      <w:r>
        <w:rPr>
          <w:rFonts w:hint="eastAsia" w:ascii="宋体" w:hAnsi="宋体" w:eastAsia="宋体" w:cs="宋体"/>
          <w:b w:val="0"/>
          <w:color w:val="000000"/>
          <w:sz w:val="24"/>
          <w:szCs w:val="24"/>
        </w:rPr>
        <w:t>1.13工程量清单错误的修正</w:t>
      </w:r>
      <w:bookmarkEnd w:id="66"/>
    </w:p>
    <w:p w14:paraId="3A27D31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除专用合同条款另有约定外，发包人提供的工程量清单，应被认为是准确的和完整的。出现下列情形之一时，发包人应予以修正，并相应调整合同价格：</w:t>
      </w:r>
    </w:p>
    <w:p w14:paraId="7A1BEA4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（1）工程量清单存在缺项、漏项的；</w:t>
      </w:r>
    </w:p>
    <w:p w14:paraId="7A9FA20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（2）工程量清单偏差超出专用合同条款约定的工程量偏差范围的；</w:t>
      </w:r>
    </w:p>
    <w:p w14:paraId="576239C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（3）未按照国家现行计量规范强制性规定计量的。</w:t>
      </w:r>
    </w:p>
    <w:p w14:paraId="5E7EAF4A">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67" w:name="_Toc351203509"/>
      <w:r>
        <w:rPr>
          <w:rFonts w:hint="eastAsia" w:ascii="宋体" w:hAnsi="宋体" w:eastAsia="宋体" w:cs="宋体"/>
          <w:b w:val="0"/>
          <w:bCs/>
          <w:color w:val="000000"/>
          <w:kern w:val="2"/>
          <w:sz w:val="24"/>
          <w:szCs w:val="24"/>
          <w:lang w:val="en-US" w:eastAsia="zh-CN" w:bidi="ar-SA"/>
        </w:rPr>
        <w:t>2</w:t>
      </w:r>
      <w:bookmarkStart w:id="68" w:name="_Toc337558739"/>
      <w:bookmarkStart w:id="69" w:name="_Toc296503038"/>
      <w:bookmarkStart w:id="70" w:name="_Toc296346539"/>
      <w:bookmarkStart w:id="71" w:name="OLE_LINK2"/>
      <w:bookmarkStart w:id="72" w:name="OLE_LINK1"/>
      <w:r>
        <w:rPr>
          <w:rFonts w:hint="eastAsia" w:ascii="宋体" w:hAnsi="宋体" w:eastAsia="宋体" w:cs="宋体"/>
          <w:b w:val="0"/>
          <w:bCs/>
          <w:color w:val="000000"/>
          <w:kern w:val="2"/>
          <w:sz w:val="24"/>
          <w:szCs w:val="24"/>
          <w:lang w:val="en-US" w:eastAsia="zh-CN" w:bidi="ar-SA"/>
        </w:rPr>
        <w:t>. 发包人</w:t>
      </w:r>
      <w:bookmarkEnd w:id="67"/>
    </w:p>
    <w:bookmarkEnd w:id="68"/>
    <w:bookmarkEnd w:id="69"/>
    <w:bookmarkEnd w:id="70"/>
    <w:p w14:paraId="5387F7BE">
      <w:pPr>
        <w:pStyle w:val="4"/>
        <w:spacing w:before="120" w:after="120" w:line="240" w:lineRule="auto"/>
        <w:ind w:firstLine="480" w:firstLineChars="200"/>
        <w:rPr>
          <w:rFonts w:hint="eastAsia" w:ascii="宋体" w:hAnsi="宋体" w:eastAsia="宋体" w:cs="宋体"/>
          <w:b w:val="0"/>
          <w:color w:val="000000"/>
          <w:sz w:val="24"/>
          <w:szCs w:val="24"/>
        </w:rPr>
      </w:pPr>
      <w:bookmarkStart w:id="73" w:name="_Toc351203510"/>
      <w:r>
        <w:rPr>
          <w:rFonts w:hint="eastAsia" w:ascii="宋体" w:hAnsi="宋体" w:eastAsia="宋体" w:cs="宋体"/>
          <w:b w:val="0"/>
          <w:color w:val="000000"/>
          <w:sz w:val="24"/>
          <w:szCs w:val="24"/>
        </w:rPr>
        <w:t>2</w:t>
      </w:r>
      <w:bookmarkStart w:id="74" w:name="_Toc337558740"/>
      <w:bookmarkStart w:id="75" w:name="_Toc296346540"/>
      <w:bookmarkStart w:id="76" w:name="_Toc296503039"/>
      <w:r>
        <w:rPr>
          <w:rFonts w:hint="eastAsia" w:ascii="宋体" w:hAnsi="宋体" w:eastAsia="宋体" w:cs="宋体"/>
          <w:b w:val="0"/>
          <w:color w:val="000000"/>
          <w:sz w:val="24"/>
          <w:szCs w:val="24"/>
        </w:rPr>
        <w:t>.1 许可或批准</w:t>
      </w:r>
      <w:bookmarkEnd w:id="73"/>
    </w:p>
    <w:p w14:paraId="5FC582A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71CA89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因发包人原因未能及时办理完毕前述许可、批准或备案，由发包人承担由此增加的费用和（或）延误的工期，并支付承包人合理的利润。</w:t>
      </w:r>
    </w:p>
    <w:p w14:paraId="23D84214">
      <w:pPr>
        <w:pStyle w:val="4"/>
        <w:spacing w:before="120" w:after="120" w:line="240" w:lineRule="auto"/>
        <w:ind w:firstLine="480" w:firstLineChars="200"/>
        <w:rPr>
          <w:rFonts w:hint="eastAsia" w:ascii="宋体" w:hAnsi="宋体" w:eastAsia="宋体" w:cs="宋体"/>
          <w:b w:val="0"/>
          <w:color w:val="000000"/>
          <w:sz w:val="24"/>
          <w:szCs w:val="24"/>
        </w:rPr>
      </w:pPr>
      <w:bookmarkStart w:id="77" w:name="_Toc351203511"/>
      <w:r>
        <w:rPr>
          <w:rFonts w:hint="eastAsia" w:ascii="宋体" w:hAnsi="宋体" w:eastAsia="宋体" w:cs="宋体"/>
          <w:b w:val="0"/>
          <w:color w:val="000000"/>
          <w:sz w:val="24"/>
          <w:szCs w:val="24"/>
        </w:rPr>
        <w:t>2.2 发包人代表</w:t>
      </w:r>
      <w:bookmarkEnd w:id="77"/>
    </w:p>
    <w:p w14:paraId="442CFD6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1C710B1">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发包人代表不能按照合同约定履行其职责及义务，并导致合同无法继续正常履行的，承包人可以要求发包人撤换发包人代表。</w:t>
      </w:r>
    </w:p>
    <w:p w14:paraId="5FFF9A10">
      <w:pPr>
        <w:spacing w:line="240" w:lineRule="auto"/>
        <w:ind w:firstLine="480" w:firstLineChars="200"/>
        <w:rPr>
          <w:rFonts w:hint="eastAsia" w:ascii="宋体" w:hAnsi="宋体" w:eastAsia="宋体" w:cs="宋体"/>
          <w:sz w:val="24"/>
          <w:szCs w:val="24"/>
        </w:rPr>
      </w:pPr>
      <w:r>
        <w:rPr>
          <w:rFonts w:hint="eastAsia" w:ascii="宋体" w:hAnsi="宋体" w:eastAsia="宋体" w:cs="宋体"/>
          <w:color w:val="000000"/>
          <w:kern w:val="0"/>
          <w:sz w:val="24"/>
          <w:szCs w:val="24"/>
        </w:rPr>
        <w:t>不属于法定必须监理的工程，监理人的职权可以由发包人代表或发包人指定的其他人员行使。</w:t>
      </w:r>
    </w:p>
    <w:p w14:paraId="03C54D81">
      <w:pPr>
        <w:pStyle w:val="4"/>
        <w:spacing w:before="120" w:after="120" w:line="240" w:lineRule="auto"/>
        <w:ind w:firstLine="480" w:firstLineChars="200"/>
        <w:rPr>
          <w:rFonts w:hint="eastAsia" w:ascii="宋体" w:hAnsi="宋体" w:eastAsia="宋体" w:cs="宋体"/>
          <w:b w:val="0"/>
          <w:color w:val="000000"/>
          <w:sz w:val="24"/>
          <w:szCs w:val="24"/>
        </w:rPr>
      </w:pPr>
      <w:bookmarkStart w:id="78" w:name="_Toc351203512"/>
      <w:r>
        <w:rPr>
          <w:rFonts w:hint="eastAsia" w:ascii="宋体" w:hAnsi="宋体" w:eastAsia="宋体" w:cs="宋体"/>
          <w:b w:val="0"/>
          <w:color w:val="000000"/>
          <w:sz w:val="24"/>
          <w:szCs w:val="24"/>
        </w:rPr>
        <w:t>2.3 发包人人员</w:t>
      </w:r>
      <w:bookmarkEnd w:id="78"/>
    </w:p>
    <w:p w14:paraId="26985B5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49434C52">
      <w:pPr>
        <w:spacing w:line="24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发包人人员包括发包人代表及其他由发包人派驻施工现场的人员。</w:t>
      </w:r>
      <w:bookmarkEnd w:id="74"/>
      <w:bookmarkEnd w:id="75"/>
      <w:bookmarkEnd w:id="76"/>
    </w:p>
    <w:p w14:paraId="2B8D28E5">
      <w:pPr>
        <w:pStyle w:val="4"/>
        <w:spacing w:before="120" w:after="120" w:line="240" w:lineRule="auto"/>
        <w:ind w:firstLine="480" w:firstLineChars="200"/>
        <w:rPr>
          <w:rFonts w:hint="eastAsia" w:ascii="宋体" w:hAnsi="宋体" w:eastAsia="宋体" w:cs="宋体"/>
          <w:b w:val="0"/>
          <w:color w:val="000000"/>
          <w:sz w:val="24"/>
          <w:szCs w:val="24"/>
        </w:rPr>
      </w:pPr>
      <w:bookmarkStart w:id="79" w:name="_Toc351203513"/>
      <w:r>
        <w:rPr>
          <w:rFonts w:hint="eastAsia" w:ascii="宋体" w:hAnsi="宋体" w:eastAsia="宋体" w:cs="宋体"/>
          <w:b w:val="0"/>
          <w:color w:val="000000"/>
          <w:sz w:val="24"/>
          <w:szCs w:val="24"/>
        </w:rPr>
        <w:t>2</w:t>
      </w:r>
      <w:bookmarkStart w:id="80" w:name="_Toc296503040"/>
      <w:bookmarkStart w:id="81" w:name="_Toc296346541"/>
      <w:bookmarkStart w:id="82" w:name="_Toc337558741"/>
      <w:r>
        <w:rPr>
          <w:rFonts w:hint="eastAsia" w:ascii="宋体" w:hAnsi="宋体" w:eastAsia="宋体" w:cs="宋体"/>
          <w:b w:val="0"/>
          <w:color w:val="000000"/>
          <w:sz w:val="24"/>
          <w:szCs w:val="24"/>
        </w:rPr>
        <w:t>.4 施工现场、施工条件和基础资料的提供</w:t>
      </w:r>
      <w:bookmarkEnd w:id="79"/>
      <w:r>
        <w:rPr>
          <w:rFonts w:hint="eastAsia" w:ascii="宋体" w:hAnsi="宋体" w:eastAsia="宋体" w:cs="宋体"/>
          <w:b w:val="0"/>
          <w:color w:val="000000"/>
          <w:sz w:val="24"/>
          <w:szCs w:val="24"/>
        </w:rPr>
        <w:t xml:space="preserve"> </w:t>
      </w:r>
      <w:bookmarkEnd w:id="80"/>
      <w:bookmarkEnd w:id="81"/>
      <w:bookmarkEnd w:id="82"/>
      <w:r>
        <w:rPr>
          <w:rFonts w:hint="eastAsia" w:ascii="宋体" w:hAnsi="宋体" w:eastAsia="宋体" w:cs="宋体"/>
          <w:b w:val="0"/>
          <w:color w:val="000000"/>
          <w:sz w:val="24"/>
          <w:szCs w:val="24"/>
        </w:rPr>
        <w:t xml:space="preserve"> </w:t>
      </w:r>
    </w:p>
    <w:p w14:paraId="2E86DD3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2.4.1 提供施工现场</w:t>
      </w:r>
    </w:p>
    <w:p w14:paraId="042220E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w:t>
      </w:r>
      <w:bookmarkEnd w:id="71"/>
      <w:bookmarkEnd w:id="72"/>
      <w:r>
        <w:rPr>
          <w:rFonts w:hint="eastAsia" w:ascii="宋体" w:hAnsi="宋体" w:eastAsia="宋体" w:cs="宋体"/>
          <w:color w:val="000000"/>
          <w:kern w:val="0"/>
          <w:sz w:val="24"/>
          <w:szCs w:val="24"/>
        </w:rPr>
        <w:t>专用合同条款另有约定外，发包人应最迟于开工日期7天前向承包人移交施工现场。</w:t>
      </w:r>
    </w:p>
    <w:p w14:paraId="2090CBC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2.4.2 提供施工条件</w:t>
      </w:r>
    </w:p>
    <w:p w14:paraId="01D3E7E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除专用合同条款另有约定外，发包人应负责提供施工所需要的条件，包括：</w:t>
      </w:r>
    </w:p>
    <w:p w14:paraId="3D75A67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（1）将施工用水、电力、通讯线路等施工所必需的条件接至施工现场内；</w:t>
      </w:r>
    </w:p>
    <w:p w14:paraId="2AADDA6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（2）保证向承包人提供正常施工所需要的进入施工现场的交通条件；</w:t>
      </w:r>
    </w:p>
    <w:p w14:paraId="5C0C29E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（3）协调处理施工现场周围地下管线和邻近建筑物、构筑物、古树名木的保护工作，并承担相关费用；</w:t>
      </w:r>
    </w:p>
    <w:p w14:paraId="19F3966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（4）按照专用合同条款约定应提供的其他设施和条件。</w:t>
      </w:r>
    </w:p>
    <w:p w14:paraId="5627BACE">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2.4.3 提供基础资料</w:t>
      </w:r>
    </w:p>
    <w:p w14:paraId="0651F58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F5BD7F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按照法律规定确需在开工后方能提供的基础资料，发包人应尽其努力及时地在相应工程施工前的合理期限内提供，合理期限应以不影响承包人的正常施工为限。</w:t>
      </w:r>
    </w:p>
    <w:p w14:paraId="16639B8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2.4.4 逾期提供的责任</w:t>
      </w:r>
    </w:p>
    <w:p w14:paraId="15AF059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因发包人原因未能按合同约定及时向承包人提供施工现场、施工条件、基础资料的，由发包人承担由此增加的费用和（或）延误的工期。</w:t>
      </w:r>
    </w:p>
    <w:p w14:paraId="44A11F24">
      <w:pPr>
        <w:pStyle w:val="4"/>
        <w:spacing w:before="120" w:after="120" w:line="240" w:lineRule="auto"/>
        <w:ind w:firstLine="480" w:firstLineChars="200"/>
        <w:rPr>
          <w:rFonts w:hint="eastAsia" w:ascii="宋体" w:hAnsi="宋体" w:eastAsia="宋体" w:cs="宋体"/>
          <w:b w:val="0"/>
          <w:color w:val="000000"/>
          <w:sz w:val="24"/>
          <w:szCs w:val="24"/>
        </w:rPr>
      </w:pPr>
      <w:bookmarkStart w:id="83" w:name="_Toc351203514"/>
      <w:r>
        <w:rPr>
          <w:rFonts w:hint="eastAsia" w:ascii="宋体" w:hAnsi="宋体" w:eastAsia="宋体" w:cs="宋体"/>
          <w:b w:val="0"/>
          <w:color w:val="000000"/>
          <w:sz w:val="24"/>
          <w:szCs w:val="24"/>
        </w:rPr>
        <w:t>2</w:t>
      </w:r>
      <w:bookmarkStart w:id="84" w:name="_Toc296346543"/>
      <w:bookmarkStart w:id="85" w:name="_Toc337558745"/>
      <w:bookmarkStart w:id="86" w:name="_Toc296503042"/>
      <w:r>
        <w:rPr>
          <w:rFonts w:hint="eastAsia" w:ascii="宋体" w:hAnsi="宋体" w:eastAsia="宋体" w:cs="宋体"/>
          <w:b w:val="0"/>
          <w:color w:val="000000"/>
          <w:sz w:val="24"/>
          <w:szCs w:val="24"/>
        </w:rPr>
        <w:t>.5 资</w:t>
      </w:r>
      <w:bookmarkEnd w:id="84"/>
      <w:bookmarkEnd w:id="85"/>
      <w:bookmarkEnd w:id="86"/>
      <w:r>
        <w:rPr>
          <w:rFonts w:hint="eastAsia" w:ascii="宋体" w:hAnsi="宋体" w:eastAsia="宋体" w:cs="宋体"/>
          <w:b w:val="0"/>
          <w:color w:val="000000"/>
          <w:sz w:val="24"/>
          <w:szCs w:val="24"/>
        </w:rPr>
        <w:t>金来源证明及支付担保</w:t>
      </w:r>
      <w:bookmarkEnd w:id="83"/>
    </w:p>
    <w:p w14:paraId="1E5E341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除专用合同条款另有约定外，发包人应在收到承包人要求提供资金来源证明的书面通知后28天内，向承包人提供能够按照合同约定支付合同价款的相应资金来源证明。</w:t>
      </w:r>
    </w:p>
    <w:p w14:paraId="326CC5A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6A03A631">
      <w:pPr>
        <w:pStyle w:val="4"/>
        <w:spacing w:before="120" w:after="120" w:line="240" w:lineRule="auto"/>
        <w:ind w:firstLine="480" w:firstLineChars="200"/>
        <w:rPr>
          <w:rFonts w:hint="eastAsia" w:ascii="宋体" w:hAnsi="宋体" w:eastAsia="宋体" w:cs="宋体"/>
          <w:b w:val="0"/>
          <w:color w:val="000000"/>
          <w:sz w:val="24"/>
          <w:szCs w:val="24"/>
        </w:rPr>
      </w:pPr>
      <w:bookmarkStart w:id="87" w:name="_Toc351203515"/>
      <w:r>
        <w:rPr>
          <w:rFonts w:hint="eastAsia" w:ascii="宋体" w:hAnsi="宋体" w:eastAsia="宋体" w:cs="宋体"/>
          <w:b w:val="0"/>
          <w:color w:val="000000"/>
          <w:sz w:val="24"/>
          <w:szCs w:val="24"/>
        </w:rPr>
        <w:t>2.6 支付合同价款</w:t>
      </w:r>
      <w:bookmarkEnd w:id="87"/>
    </w:p>
    <w:p w14:paraId="1DEC8DB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发包人应按合同约定向承包人及时支付合同价款。</w:t>
      </w:r>
    </w:p>
    <w:p w14:paraId="2F25CC20">
      <w:pPr>
        <w:pStyle w:val="4"/>
        <w:spacing w:before="120" w:after="120" w:line="240" w:lineRule="auto"/>
        <w:ind w:firstLine="480" w:firstLineChars="200"/>
        <w:rPr>
          <w:rFonts w:hint="eastAsia" w:ascii="宋体" w:hAnsi="宋体" w:eastAsia="宋体" w:cs="宋体"/>
          <w:b w:val="0"/>
          <w:color w:val="000000"/>
          <w:sz w:val="24"/>
          <w:szCs w:val="24"/>
        </w:rPr>
      </w:pPr>
      <w:bookmarkStart w:id="88" w:name="_Toc351203516"/>
      <w:r>
        <w:rPr>
          <w:rFonts w:hint="eastAsia" w:ascii="宋体" w:hAnsi="宋体" w:eastAsia="宋体" w:cs="宋体"/>
          <w:b w:val="0"/>
          <w:color w:val="000000"/>
          <w:sz w:val="24"/>
          <w:szCs w:val="24"/>
        </w:rPr>
        <w:t>2.7 组织竣工验收</w:t>
      </w:r>
      <w:bookmarkEnd w:id="88"/>
    </w:p>
    <w:p w14:paraId="56E08CC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发包人应按合同约定及时组织竣工验收。</w:t>
      </w:r>
    </w:p>
    <w:p w14:paraId="5882BE59">
      <w:pPr>
        <w:pStyle w:val="4"/>
        <w:spacing w:before="120" w:after="120" w:line="240" w:lineRule="auto"/>
        <w:ind w:firstLine="480" w:firstLineChars="200"/>
        <w:rPr>
          <w:rFonts w:hint="eastAsia" w:ascii="宋体" w:hAnsi="宋体" w:eastAsia="宋体" w:cs="宋体"/>
          <w:b w:val="0"/>
          <w:color w:val="000000"/>
          <w:sz w:val="24"/>
          <w:szCs w:val="24"/>
        </w:rPr>
      </w:pPr>
      <w:bookmarkStart w:id="89" w:name="_Toc351203517"/>
      <w:r>
        <w:rPr>
          <w:rFonts w:hint="eastAsia" w:ascii="宋体" w:hAnsi="宋体" w:eastAsia="宋体" w:cs="宋体"/>
          <w:b w:val="0"/>
          <w:color w:val="000000"/>
          <w:sz w:val="24"/>
          <w:szCs w:val="24"/>
        </w:rPr>
        <w:t>2.8 现场统一管理协议</w:t>
      </w:r>
      <w:bookmarkEnd w:id="89"/>
    </w:p>
    <w:p w14:paraId="52B6605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发包人应与承包人、由发包人直接发包的专业工程的承包人签订施工现场统一管理协议，明确各方的权利义务。施工现场统一管理协议作为专用合同条款的附件。</w:t>
      </w:r>
    </w:p>
    <w:p w14:paraId="02ECF92F">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90" w:name="_Toc351203518"/>
      <w:r>
        <w:rPr>
          <w:rFonts w:hint="eastAsia" w:ascii="宋体" w:hAnsi="宋体" w:eastAsia="宋体" w:cs="宋体"/>
          <w:b w:val="0"/>
          <w:bCs/>
          <w:color w:val="000000"/>
          <w:kern w:val="2"/>
          <w:sz w:val="24"/>
          <w:szCs w:val="24"/>
          <w:lang w:val="en-US" w:eastAsia="zh-CN" w:bidi="ar-SA"/>
        </w:rPr>
        <w:t>3</w:t>
      </w:r>
      <w:bookmarkStart w:id="91" w:name="_Toc296503045"/>
      <w:bookmarkStart w:id="92" w:name="_Toc337558746"/>
      <w:bookmarkStart w:id="93" w:name="_Toc296346546"/>
      <w:r>
        <w:rPr>
          <w:rFonts w:hint="eastAsia" w:ascii="宋体" w:hAnsi="宋体" w:eastAsia="宋体" w:cs="宋体"/>
          <w:b w:val="0"/>
          <w:bCs/>
          <w:color w:val="000000"/>
          <w:kern w:val="2"/>
          <w:sz w:val="24"/>
          <w:szCs w:val="24"/>
          <w:lang w:val="en-US" w:eastAsia="zh-CN" w:bidi="ar-SA"/>
        </w:rPr>
        <w:t>. 承包人</w:t>
      </w:r>
      <w:bookmarkEnd w:id="90"/>
    </w:p>
    <w:bookmarkEnd w:id="91"/>
    <w:bookmarkEnd w:id="92"/>
    <w:bookmarkEnd w:id="93"/>
    <w:p w14:paraId="4D93F791">
      <w:pPr>
        <w:pStyle w:val="4"/>
        <w:spacing w:before="120" w:after="120" w:line="240" w:lineRule="auto"/>
        <w:ind w:firstLine="480" w:firstLineChars="200"/>
        <w:rPr>
          <w:rFonts w:hint="eastAsia" w:ascii="宋体" w:hAnsi="宋体" w:eastAsia="宋体" w:cs="宋体"/>
          <w:b w:val="0"/>
          <w:color w:val="000000"/>
          <w:sz w:val="24"/>
          <w:szCs w:val="24"/>
        </w:rPr>
      </w:pPr>
      <w:bookmarkStart w:id="94" w:name="_Toc351203519"/>
      <w:r>
        <w:rPr>
          <w:rFonts w:hint="eastAsia" w:ascii="宋体" w:hAnsi="宋体" w:eastAsia="宋体" w:cs="宋体"/>
          <w:b w:val="0"/>
          <w:color w:val="000000"/>
          <w:sz w:val="24"/>
          <w:szCs w:val="24"/>
        </w:rPr>
        <w:t>3</w:t>
      </w:r>
      <w:bookmarkStart w:id="95" w:name="_Toc337558747"/>
      <w:bookmarkStart w:id="96" w:name="_Toc296503046"/>
      <w:bookmarkStart w:id="97" w:name="_Toc296346547"/>
      <w:r>
        <w:rPr>
          <w:rFonts w:hint="eastAsia" w:ascii="宋体" w:hAnsi="宋体" w:eastAsia="宋体" w:cs="宋体"/>
          <w:b w:val="0"/>
          <w:color w:val="000000"/>
          <w:sz w:val="24"/>
          <w:szCs w:val="24"/>
        </w:rPr>
        <w:t>.1 承包人的一般义务</w:t>
      </w:r>
      <w:bookmarkEnd w:id="94"/>
    </w:p>
    <w:bookmarkEnd w:id="95"/>
    <w:bookmarkEnd w:id="96"/>
    <w:bookmarkEnd w:id="97"/>
    <w:p w14:paraId="2CA984C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承包人在履行合同过程中应遵守法律和工程建设标准规范，并履行以下义务：</w:t>
      </w:r>
    </w:p>
    <w:p w14:paraId="556CAD89">
      <w:pPr>
        <w:numPr>
          <w:ilvl w:val="0"/>
          <w:numId w:val="1"/>
        </w:num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办理法律规定应由承包人办理的许可和批准，并将办理结果书面报送发包人留存；</w:t>
      </w:r>
    </w:p>
    <w:p w14:paraId="5B6424E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（2）按法律规定和合同约定完成工程，并在保修期内承担保修义务；</w:t>
      </w:r>
    </w:p>
    <w:p w14:paraId="03E328B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（3）按法律规定和合同约定采取施工安全和环境保护措施，办理工伤保险，确保工程及人员、材料、设备和设施的安全；</w:t>
      </w:r>
    </w:p>
    <w:p w14:paraId="594DBD2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（4）按合同约定的工作内容和施工进度要求，编制施工组织设计和施工措施计划，并对所有施工作业和施工方法的完备性和安全可靠性负责；</w:t>
      </w:r>
    </w:p>
    <w:p w14:paraId="204AB3E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675BB9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（6）按照第6.3款〔环境保护〕约定负责施工场地及其周边环境与生态的保护工作；</w:t>
      </w:r>
    </w:p>
    <w:p w14:paraId="29A551E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（7）按第6.1款〔安全文明施工〕约定采取施工安全措施，确保工程及其人员、材料、设备和设施的安全，防止因工程施工造成的人身伤害和财产损失；</w:t>
      </w:r>
    </w:p>
    <w:p w14:paraId="5C6FB60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（8）将发包人按合同约定支付的各项价款专用于合同工程，且应及时支付其雇用人员工资，并及时向分包人支付合同价款；</w:t>
      </w:r>
    </w:p>
    <w:p w14:paraId="73CBDFB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（9）按照法律规定和合同约定编制竣工资料，完成竣工资料立卷及归档，并按专用合同条款约定的竣工资料的套数、内容、时间等要求移交发包人；</w:t>
      </w:r>
    </w:p>
    <w:p w14:paraId="5E64915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（10）应履行的其他义务。</w:t>
      </w:r>
    </w:p>
    <w:p w14:paraId="30C0128C">
      <w:pPr>
        <w:pStyle w:val="4"/>
        <w:spacing w:before="120" w:after="120" w:line="240" w:lineRule="auto"/>
        <w:ind w:firstLine="480" w:firstLineChars="200"/>
        <w:rPr>
          <w:rFonts w:hint="eastAsia" w:ascii="宋体" w:hAnsi="宋体" w:eastAsia="宋体" w:cs="宋体"/>
          <w:b w:val="0"/>
          <w:color w:val="000000"/>
          <w:sz w:val="24"/>
          <w:szCs w:val="24"/>
        </w:rPr>
      </w:pPr>
      <w:bookmarkStart w:id="98" w:name="_Toc351203520"/>
      <w:r>
        <w:rPr>
          <w:rFonts w:hint="eastAsia" w:ascii="宋体" w:hAnsi="宋体" w:eastAsia="宋体" w:cs="宋体"/>
          <w:b w:val="0"/>
          <w:color w:val="000000"/>
          <w:sz w:val="24"/>
          <w:szCs w:val="24"/>
        </w:rPr>
        <w:t>3</w:t>
      </w:r>
      <w:bookmarkStart w:id="99" w:name="_Toc337558748"/>
      <w:bookmarkStart w:id="100" w:name="_Toc296346548"/>
      <w:bookmarkStart w:id="101" w:name="_Toc296503047"/>
      <w:r>
        <w:rPr>
          <w:rFonts w:hint="eastAsia" w:ascii="宋体" w:hAnsi="宋体" w:eastAsia="宋体" w:cs="宋体"/>
          <w:b w:val="0"/>
          <w:color w:val="000000"/>
          <w:sz w:val="24"/>
          <w:szCs w:val="24"/>
        </w:rPr>
        <w:t xml:space="preserve">.2 </w:t>
      </w:r>
      <w:bookmarkEnd w:id="98"/>
      <w:r>
        <w:rPr>
          <w:rFonts w:hint="eastAsia" w:ascii="宋体" w:hAnsi="宋体" w:eastAsia="宋体" w:cs="宋体"/>
          <w:b w:val="0"/>
          <w:color w:val="000000"/>
          <w:sz w:val="24"/>
          <w:szCs w:val="24"/>
        </w:rPr>
        <w:t>项目经理</w:t>
      </w:r>
    </w:p>
    <w:bookmarkEnd w:id="99"/>
    <w:bookmarkEnd w:id="100"/>
    <w:bookmarkEnd w:id="101"/>
    <w:p w14:paraId="04BC352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57A150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736347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承包人违反上述约定的，应按照专用合同条款的约定，承担违约责任。</w:t>
      </w:r>
    </w:p>
    <w:p w14:paraId="4A90050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2CB4A4D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2E7B54A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C47885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3.2.5 项目经理因特殊情况授权其下属人员履行其某项工作职责的，该下属人员应具备履行相应职责的能力，并应提前7天将上述人员的姓名和授权范围书面通知监理人，并征得发包人书面同意。</w:t>
      </w:r>
    </w:p>
    <w:p w14:paraId="3790DC27">
      <w:pPr>
        <w:pStyle w:val="4"/>
        <w:spacing w:before="120" w:after="120" w:line="240" w:lineRule="auto"/>
        <w:ind w:firstLine="480" w:firstLineChars="200"/>
        <w:rPr>
          <w:rFonts w:hint="eastAsia" w:ascii="宋体" w:hAnsi="宋体" w:eastAsia="宋体" w:cs="宋体"/>
          <w:b w:val="0"/>
          <w:color w:val="000000"/>
          <w:sz w:val="24"/>
          <w:szCs w:val="24"/>
        </w:rPr>
      </w:pPr>
      <w:bookmarkStart w:id="102" w:name="_Toc351203521"/>
      <w:r>
        <w:rPr>
          <w:rFonts w:hint="eastAsia" w:ascii="宋体" w:hAnsi="宋体" w:eastAsia="宋体" w:cs="宋体"/>
          <w:b w:val="0"/>
          <w:color w:val="000000"/>
          <w:sz w:val="24"/>
          <w:szCs w:val="24"/>
        </w:rPr>
        <w:t>3</w:t>
      </w:r>
      <w:bookmarkStart w:id="103" w:name="_Toc296346549"/>
      <w:bookmarkStart w:id="104" w:name="_Toc296503048"/>
      <w:bookmarkStart w:id="105" w:name="_Toc337558749"/>
      <w:r>
        <w:rPr>
          <w:rFonts w:hint="eastAsia" w:ascii="宋体" w:hAnsi="宋体" w:eastAsia="宋体" w:cs="宋体"/>
          <w:b w:val="0"/>
          <w:color w:val="000000"/>
          <w:sz w:val="24"/>
          <w:szCs w:val="24"/>
        </w:rPr>
        <w:t xml:space="preserve">.3 </w:t>
      </w:r>
      <w:bookmarkEnd w:id="103"/>
      <w:bookmarkEnd w:id="104"/>
      <w:r>
        <w:rPr>
          <w:rFonts w:hint="eastAsia" w:ascii="宋体" w:hAnsi="宋体" w:eastAsia="宋体" w:cs="宋体"/>
          <w:b w:val="0"/>
          <w:color w:val="000000"/>
          <w:sz w:val="24"/>
          <w:szCs w:val="24"/>
        </w:rPr>
        <w:t>承包人人员</w:t>
      </w:r>
      <w:bookmarkEnd w:id="102"/>
    </w:p>
    <w:bookmarkEnd w:id="105"/>
    <w:p w14:paraId="0651118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28E2B9A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4A60E36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特殊工种作业人员均应持有相应的资格证明，监理人可以随时检查。</w:t>
      </w:r>
    </w:p>
    <w:p w14:paraId="365F054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460512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90ED53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3.3.5 承包人擅自更换主要施工管理人员，或前述人员未经监理人或发包人同意擅自离开施工现场的，应按照专用合同条款约定承担违约责任。</w:t>
      </w:r>
    </w:p>
    <w:p w14:paraId="38E7F7B0">
      <w:pPr>
        <w:pStyle w:val="4"/>
        <w:spacing w:before="120" w:after="120" w:line="240" w:lineRule="auto"/>
        <w:ind w:firstLine="480" w:firstLineChars="200"/>
        <w:rPr>
          <w:rFonts w:hint="eastAsia" w:ascii="宋体" w:hAnsi="宋体" w:eastAsia="宋体" w:cs="宋体"/>
          <w:b w:val="0"/>
          <w:color w:val="000000"/>
          <w:sz w:val="24"/>
          <w:szCs w:val="24"/>
        </w:rPr>
      </w:pPr>
      <w:bookmarkStart w:id="106" w:name="_Toc351203522"/>
      <w:r>
        <w:rPr>
          <w:rFonts w:hint="eastAsia" w:ascii="宋体" w:hAnsi="宋体" w:eastAsia="宋体" w:cs="宋体"/>
          <w:b w:val="0"/>
          <w:color w:val="000000"/>
          <w:sz w:val="24"/>
          <w:szCs w:val="24"/>
        </w:rPr>
        <w:t>3</w:t>
      </w:r>
      <w:bookmarkStart w:id="107" w:name="_Toc337558750"/>
      <w:bookmarkStart w:id="108" w:name="_Toc296346551"/>
      <w:bookmarkStart w:id="109" w:name="_Toc296503050"/>
      <w:r>
        <w:rPr>
          <w:rFonts w:hint="eastAsia" w:ascii="宋体" w:hAnsi="宋体" w:eastAsia="宋体" w:cs="宋体"/>
          <w:b w:val="0"/>
          <w:color w:val="000000"/>
          <w:sz w:val="24"/>
          <w:szCs w:val="24"/>
        </w:rPr>
        <w:t>.4 承包人现场查勘</w:t>
      </w:r>
      <w:bookmarkEnd w:id="106"/>
    </w:p>
    <w:bookmarkEnd w:id="107"/>
    <w:bookmarkEnd w:id="108"/>
    <w:bookmarkEnd w:id="109"/>
    <w:p w14:paraId="21D7D261">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15A230E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921676E">
      <w:pPr>
        <w:pStyle w:val="4"/>
        <w:spacing w:before="120" w:after="120" w:line="240" w:lineRule="auto"/>
        <w:ind w:firstLine="480" w:firstLineChars="200"/>
        <w:rPr>
          <w:rFonts w:hint="eastAsia" w:ascii="宋体" w:hAnsi="宋体" w:eastAsia="宋体" w:cs="宋体"/>
          <w:b w:val="0"/>
          <w:color w:val="000000"/>
          <w:sz w:val="24"/>
          <w:szCs w:val="24"/>
        </w:rPr>
      </w:pPr>
      <w:bookmarkStart w:id="110" w:name="_Toc351203523"/>
      <w:r>
        <w:rPr>
          <w:rFonts w:hint="eastAsia" w:ascii="宋体" w:hAnsi="宋体" w:eastAsia="宋体" w:cs="宋体"/>
          <w:b w:val="0"/>
          <w:color w:val="000000"/>
          <w:sz w:val="24"/>
          <w:szCs w:val="24"/>
        </w:rPr>
        <w:t>3</w:t>
      </w:r>
      <w:bookmarkStart w:id="111" w:name="_Toc296346552"/>
      <w:bookmarkStart w:id="112" w:name="_Toc296503051"/>
      <w:bookmarkStart w:id="113" w:name="_Toc337558751"/>
      <w:r>
        <w:rPr>
          <w:rFonts w:hint="eastAsia" w:ascii="宋体" w:hAnsi="宋体" w:eastAsia="宋体" w:cs="宋体"/>
          <w:b w:val="0"/>
          <w:color w:val="000000"/>
          <w:sz w:val="24"/>
          <w:szCs w:val="24"/>
        </w:rPr>
        <w:t>.5 分包</w:t>
      </w:r>
      <w:bookmarkEnd w:id="110"/>
    </w:p>
    <w:bookmarkEnd w:id="111"/>
    <w:bookmarkEnd w:id="112"/>
    <w:bookmarkEnd w:id="113"/>
    <w:p w14:paraId="692E9C9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3.5.1 分包的一般约定</w:t>
      </w:r>
    </w:p>
    <w:p w14:paraId="6827D6B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B4FF32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承包人不得以劳务分包的名义转包或违法分包工程。</w:t>
      </w:r>
    </w:p>
    <w:p w14:paraId="4C660EC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3.5.2 分包的确定</w:t>
      </w:r>
    </w:p>
    <w:p w14:paraId="081E3BA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F43E21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3.5.3 分包管理</w:t>
      </w:r>
    </w:p>
    <w:p w14:paraId="6ACC41C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承包人应向监理人提交分包人的主要施工管理人员表，并对分包人的施工人员进行实名制管理，包括但不限于进出场管理、登记造册以及各种证照的办理。</w:t>
      </w:r>
    </w:p>
    <w:p w14:paraId="15794FC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3.5.4 分包合同价款</w:t>
      </w:r>
    </w:p>
    <w:p w14:paraId="406F359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（1）除本项第（2）目约定的情况或专用合同条款另有约定外，分包合同价款由承包人与分包人结算，未经承包人同意，发包人不得向分包人支付分包工程价款；</w:t>
      </w:r>
    </w:p>
    <w:p w14:paraId="5100155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（2）生效法律文书要求发包人向分包人支付分包合同价款的，发包人有权从应付承包人工程款中扣除该部分款项。</w:t>
      </w:r>
    </w:p>
    <w:p w14:paraId="43520A5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3.5.5 分包合同权益的转让</w:t>
      </w:r>
    </w:p>
    <w:p w14:paraId="11ADA6B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4" w:name="_Toc351203524"/>
    </w:p>
    <w:p w14:paraId="6D0E350B">
      <w:pPr>
        <w:pStyle w:val="4"/>
        <w:spacing w:before="120" w:after="120" w:line="240" w:lineRule="auto"/>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3.6 工程照管与成品、半成品保护</w:t>
      </w:r>
      <w:bookmarkEnd w:id="114"/>
    </w:p>
    <w:p w14:paraId="1536315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（1）除专用合同条款另有约定外，自发包人向承包人移交施工现场之日起，承包人应负责照管工程及工程相关的材料、工程设备，直到颁发工程接收证书之日止。</w:t>
      </w:r>
    </w:p>
    <w:p w14:paraId="3F007D2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（2）在承包人负责照管期间，因承包人原因造成工程、材料、工程设备损坏的，由承包人负责修复或更换，并承担由此增加的费用和（或）延误的工期。</w:t>
      </w:r>
    </w:p>
    <w:p w14:paraId="1DF6190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18FE4BCF">
      <w:pPr>
        <w:pStyle w:val="4"/>
        <w:spacing w:before="120" w:after="120" w:line="240" w:lineRule="auto"/>
        <w:ind w:firstLine="480" w:firstLineChars="200"/>
        <w:rPr>
          <w:rFonts w:hint="eastAsia" w:ascii="宋体" w:hAnsi="宋体" w:eastAsia="宋体" w:cs="宋体"/>
          <w:b w:val="0"/>
          <w:color w:val="000000"/>
          <w:sz w:val="24"/>
          <w:szCs w:val="24"/>
        </w:rPr>
      </w:pPr>
      <w:bookmarkStart w:id="115" w:name="_Toc351203525"/>
      <w:r>
        <w:rPr>
          <w:rFonts w:hint="eastAsia" w:ascii="宋体" w:hAnsi="宋体" w:eastAsia="宋体" w:cs="宋体"/>
          <w:b w:val="0"/>
          <w:color w:val="000000"/>
          <w:sz w:val="24"/>
          <w:szCs w:val="24"/>
        </w:rPr>
        <w:t>3</w:t>
      </w:r>
      <w:bookmarkStart w:id="116" w:name="_Toc337558752"/>
      <w:bookmarkStart w:id="117" w:name="_Toc296346553"/>
      <w:bookmarkStart w:id="118" w:name="_Toc296503052"/>
      <w:r>
        <w:rPr>
          <w:rFonts w:hint="eastAsia" w:ascii="宋体" w:hAnsi="宋体" w:eastAsia="宋体" w:cs="宋体"/>
          <w:b w:val="0"/>
          <w:color w:val="000000"/>
          <w:sz w:val="24"/>
          <w:szCs w:val="24"/>
        </w:rPr>
        <w:t>.7 履约担保</w:t>
      </w:r>
      <w:bookmarkEnd w:id="115"/>
    </w:p>
    <w:bookmarkEnd w:id="116"/>
    <w:bookmarkEnd w:id="117"/>
    <w:bookmarkEnd w:id="118"/>
    <w:p w14:paraId="15121D4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022A41A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因承包人原因导致工期延长的，继续提供履约担保所增加的费用由承包人承担；非因承包人原因导致工期延长的，继续提供履约担保所增加的费用由发包人承担。</w:t>
      </w:r>
    </w:p>
    <w:p w14:paraId="6CEC07EA">
      <w:pPr>
        <w:pStyle w:val="4"/>
        <w:spacing w:before="120" w:after="120" w:line="240" w:lineRule="auto"/>
        <w:ind w:firstLine="480" w:firstLineChars="200"/>
        <w:rPr>
          <w:rFonts w:hint="eastAsia" w:ascii="宋体" w:hAnsi="宋体" w:eastAsia="宋体" w:cs="宋体"/>
          <w:b w:val="0"/>
          <w:color w:val="000000"/>
          <w:sz w:val="24"/>
          <w:szCs w:val="24"/>
        </w:rPr>
      </w:pPr>
      <w:bookmarkStart w:id="119" w:name="_Toc351203526"/>
      <w:r>
        <w:rPr>
          <w:rFonts w:hint="eastAsia" w:ascii="宋体" w:hAnsi="宋体" w:eastAsia="宋体" w:cs="宋体"/>
          <w:b w:val="0"/>
          <w:color w:val="000000"/>
          <w:sz w:val="24"/>
          <w:szCs w:val="24"/>
        </w:rPr>
        <w:t>3.8 联合体</w:t>
      </w:r>
      <w:bookmarkEnd w:id="119"/>
    </w:p>
    <w:p w14:paraId="2F8A07A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3.8.1 联合体各方应共同与发包人签订合同协议书。联合体各方应为履行合同向发包人承担连带责任。</w:t>
      </w:r>
    </w:p>
    <w:p w14:paraId="2603658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3.8.2 联合体协议经发包人确认后作为合同附件。在履行合同过程中，未经发包人同意，不得修改联合体协议。</w:t>
      </w:r>
    </w:p>
    <w:p w14:paraId="45AD3AE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3.8.3 联合体牵头人负责与发包人和监理人联系，并接受指示，负责组织联合体各成员全面履行合同。</w:t>
      </w:r>
    </w:p>
    <w:p w14:paraId="3C132914">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120" w:name="_Toc351203527"/>
      <w:r>
        <w:rPr>
          <w:rFonts w:hint="eastAsia" w:ascii="宋体" w:hAnsi="宋体" w:eastAsia="宋体" w:cs="宋体"/>
          <w:b w:val="0"/>
          <w:bCs/>
          <w:color w:val="000000"/>
          <w:kern w:val="2"/>
          <w:sz w:val="24"/>
          <w:szCs w:val="24"/>
          <w:lang w:val="en-US" w:eastAsia="zh-CN" w:bidi="ar-SA"/>
        </w:rPr>
        <w:t>4</w:t>
      </w:r>
      <w:bookmarkStart w:id="121" w:name="_Toc296503053"/>
      <w:bookmarkStart w:id="122" w:name="_Toc296346554"/>
      <w:bookmarkStart w:id="123" w:name="_Toc337558753"/>
      <w:r>
        <w:rPr>
          <w:rFonts w:hint="eastAsia" w:ascii="宋体" w:hAnsi="宋体" w:eastAsia="宋体" w:cs="宋体"/>
          <w:b w:val="0"/>
          <w:bCs/>
          <w:color w:val="000000"/>
          <w:kern w:val="2"/>
          <w:sz w:val="24"/>
          <w:szCs w:val="24"/>
          <w:lang w:val="en-US" w:eastAsia="zh-CN" w:bidi="ar-SA"/>
        </w:rPr>
        <w:t>. 监</w:t>
      </w:r>
      <w:bookmarkEnd w:id="121"/>
      <w:bookmarkEnd w:id="122"/>
      <w:r>
        <w:rPr>
          <w:rFonts w:hint="eastAsia" w:ascii="宋体" w:hAnsi="宋体" w:eastAsia="宋体" w:cs="宋体"/>
          <w:b w:val="0"/>
          <w:bCs/>
          <w:color w:val="000000"/>
          <w:kern w:val="2"/>
          <w:sz w:val="24"/>
          <w:szCs w:val="24"/>
          <w:lang w:val="en-US" w:eastAsia="zh-CN" w:bidi="ar-SA"/>
        </w:rPr>
        <w:t>理人</w:t>
      </w:r>
      <w:bookmarkEnd w:id="120"/>
    </w:p>
    <w:bookmarkEnd w:id="123"/>
    <w:p w14:paraId="36F96B79">
      <w:pPr>
        <w:pStyle w:val="4"/>
        <w:spacing w:before="120" w:after="120" w:line="240" w:lineRule="auto"/>
        <w:ind w:firstLine="480" w:firstLineChars="200"/>
        <w:rPr>
          <w:rFonts w:hint="eastAsia" w:ascii="宋体" w:hAnsi="宋体" w:eastAsia="宋体" w:cs="宋体"/>
          <w:b w:val="0"/>
          <w:color w:val="000000"/>
          <w:sz w:val="24"/>
          <w:szCs w:val="24"/>
        </w:rPr>
      </w:pPr>
      <w:bookmarkStart w:id="124" w:name="_Toc351203528"/>
      <w:r>
        <w:rPr>
          <w:rFonts w:hint="eastAsia" w:ascii="宋体" w:hAnsi="宋体" w:eastAsia="宋体" w:cs="宋体"/>
          <w:b w:val="0"/>
          <w:color w:val="000000"/>
          <w:sz w:val="24"/>
          <w:szCs w:val="24"/>
        </w:rPr>
        <w:t>4</w:t>
      </w:r>
      <w:bookmarkStart w:id="125" w:name="_Toc296503054"/>
      <w:bookmarkStart w:id="126" w:name="_Toc337558754"/>
      <w:bookmarkStart w:id="127" w:name="_Toc296346555"/>
      <w:r>
        <w:rPr>
          <w:rFonts w:hint="eastAsia" w:ascii="宋体" w:hAnsi="宋体" w:eastAsia="宋体" w:cs="宋体"/>
          <w:b w:val="0"/>
          <w:color w:val="000000"/>
          <w:sz w:val="24"/>
          <w:szCs w:val="24"/>
        </w:rPr>
        <w:t>.1监理人的一般规定</w:t>
      </w:r>
      <w:bookmarkEnd w:id="124"/>
    </w:p>
    <w:bookmarkEnd w:id="125"/>
    <w:bookmarkEnd w:id="126"/>
    <w:bookmarkEnd w:id="127"/>
    <w:p w14:paraId="73FF533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2A038F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除专用合同条款另有约定外，监理人在施工现场的办公场所、生活场所由承包人提供，所发生的费用由发包人承担。</w:t>
      </w:r>
    </w:p>
    <w:p w14:paraId="2DE1F9D1">
      <w:pPr>
        <w:pStyle w:val="4"/>
        <w:spacing w:before="120" w:after="120" w:line="240" w:lineRule="auto"/>
        <w:ind w:firstLine="480" w:firstLineChars="200"/>
        <w:rPr>
          <w:rFonts w:hint="eastAsia" w:ascii="宋体" w:hAnsi="宋体" w:eastAsia="宋体" w:cs="宋体"/>
          <w:b w:val="0"/>
          <w:color w:val="000000"/>
          <w:sz w:val="24"/>
          <w:szCs w:val="24"/>
        </w:rPr>
      </w:pPr>
      <w:bookmarkStart w:id="128" w:name="_Toc351203529"/>
      <w:r>
        <w:rPr>
          <w:rFonts w:hint="eastAsia" w:ascii="宋体" w:hAnsi="宋体" w:eastAsia="宋体" w:cs="宋体"/>
          <w:b w:val="0"/>
          <w:color w:val="000000"/>
          <w:sz w:val="24"/>
          <w:szCs w:val="24"/>
        </w:rPr>
        <w:t>4</w:t>
      </w:r>
      <w:bookmarkStart w:id="129" w:name="_Toc337558755"/>
      <w:r>
        <w:rPr>
          <w:rFonts w:hint="eastAsia" w:ascii="宋体" w:hAnsi="宋体" w:eastAsia="宋体" w:cs="宋体"/>
          <w:b w:val="0"/>
          <w:color w:val="000000"/>
          <w:sz w:val="24"/>
          <w:szCs w:val="24"/>
        </w:rPr>
        <w:t>.2监理人员</w:t>
      </w:r>
      <w:bookmarkEnd w:id="128"/>
    </w:p>
    <w:bookmarkEnd w:id="129"/>
    <w:p w14:paraId="2CD5D88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070B90D">
      <w:pPr>
        <w:pStyle w:val="4"/>
        <w:spacing w:before="120" w:after="120" w:line="240" w:lineRule="auto"/>
        <w:ind w:firstLine="480" w:firstLineChars="200"/>
        <w:rPr>
          <w:rFonts w:hint="eastAsia" w:ascii="宋体" w:hAnsi="宋体" w:eastAsia="宋体" w:cs="宋体"/>
          <w:b w:val="0"/>
          <w:color w:val="000000"/>
          <w:sz w:val="24"/>
          <w:szCs w:val="24"/>
        </w:rPr>
      </w:pPr>
      <w:bookmarkStart w:id="130" w:name="_Toc351203530"/>
      <w:r>
        <w:rPr>
          <w:rFonts w:hint="eastAsia" w:ascii="宋体" w:hAnsi="宋体" w:eastAsia="宋体" w:cs="宋体"/>
          <w:b w:val="0"/>
          <w:color w:val="000000"/>
          <w:sz w:val="24"/>
          <w:szCs w:val="24"/>
        </w:rPr>
        <w:t>4</w:t>
      </w:r>
      <w:bookmarkStart w:id="131" w:name="_Toc296503055"/>
      <w:bookmarkStart w:id="132" w:name="_Toc296346556"/>
      <w:bookmarkStart w:id="133" w:name="_Toc337558756"/>
      <w:r>
        <w:rPr>
          <w:rFonts w:hint="eastAsia" w:ascii="宋体" w:hAnsi="宋体" w:eastAsia="宋体" w:cs="宋体"/>
          <w:b w:val="0"/>
          <w:color w:val="000000"/>
          <w:sz w:val="24"/>
          <w:szCs w:val="24"/>
        </w:rPr>
        <w:t>.3</w:t>
      </w:r>
      <w:bookmarkEnd w:id="131"/>
      <w:bookmarkEnd w:id="132"/>
      <w:r>
        <w:rPr>
          <w:rFonts w:hint="eastAsia" w:ascii="宋体" w:hAnsi="宋体" w:eastAsia="宋体" w:cs="宋体"/>
          <w:b w:val="0"/>
          <w:color w:val="000000"/>
          <w:sz w:val="24"/>
          <w:szCs w:val="24"/>
        </w:rPr>
        <w:t>监理人的指</w:t>
      </w:r>
      <w:bookmarkEnd w:id="133"/>
      <w:r>
        <w:rPr>
          <w:rFonts w:hint="eastAsia" w:ascii="宋体" w:hAnsi="宋体" w:eastAsia="宋体" w:cs="宋体"/>
          <w:b w:val="0"/>
          <w:color w:val="000000"/>
          <w:sz w:val="24"/>
          <w:szCs w:val="24"/>
        </w:rPr>
        <w:t>示</w:t>
      </w:r>
      <w:bookmarkEnd w:id="130"/>
    </w:p>
    <w:p w14:paraId="518619C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8E24FF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1029E7F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承包人对监理人发出的指示有疑问的，应向监理人提出书面异议，监理人应在48小时内对该指示予以确认、更改或撤销，监理人逾期未回复的，承包人有权拒绝执行上述指示。</w:t>
      </w:r>
    </w:p>
    <w:p w14:paraId="56290DB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06977CA0">
      <w:pPr>
        <w:keepNext/>
        <w:keepLines/>
        <w:widowControl w:val="0"/>
        <w:spacing w:before="120" w:beforeLines="0" w:after="120" w:afterLines="0" w:line="240" w:lineRule="auto"/>
        <w:ind w:firstLine="480" w:firstLineChars="200"/>
        <w:jc w:val="both"/>
        <w:outlineLvl w:val="3"/>
        <w:rPr>
          <w:rFonts w:hint="eastAsia" w:ascii="宋体" w:hAnsi="宋体" w:eastAsia="宋体" w:cs="宋体"/>
          <w:b w:val="0"/>
          <w:bCs/>
          <w:color w:val="000000"/>
          <w:kern w:val="2"/>
          <w:sz w:val="24"/>
          <w:szCs w:val="24"/>
          <w:lang w:val="en-US" w:eastAsia="zh-CN" w:bidi="ar-SA"/>
        </w:rPr>
      </w:pPr>
      <w:bookmarkStart w:id="134" w:name="_Toc351203531"/>
      <w:r>
        <w:rPr>
          <w:rFonts w:hint="eastAsia" w:ascii="宋体" w:hAnsi="宋体" w:eastAsia="宋体" w:cs="宋体"/>
          <w:b w:val="0"/>
          <w:bCs/>
          <w:color w:val="000000"/>
          <w:kern w:val="2"/>
          <w:sz w:val="24"/>
          <w:szCs w:val="24"/>
          <w:lang w:val="en-US" w:eastAsia="zh-CN" w:bidi="ar-SA"/>
        </w:rPr>
        <w:t>4</w:t>
      </w:r>
      <w:bookmarkStart w:id="135" w:name="_Toc296503057"/>
      <w:bookmarkStart w:id="136" w:name="_Toc296346558"/>
      <w:bookmarkStart w:id="137" w:name="_Toc337558757"/>
      <w:r>
        <w:rPr>
          <w:rFonts w:hint="eastAsia" w:ascii="宋体" w:hAnsi="宋体" w:eastAsia="宋体" w:cs="宋体"/>
          <w:b w:val="0"/>
          <w:bCs/>
          <w:color w:val="000000"/>
          <w:kern w:val="2"/>
          <w:sz w:val="24"/>
          <w:szCs w:val="24"/>
          <w:lang w:val="en-US" w:eastAsia="zh-CN" w:bidi="ar-SA"/>
        </w:rPr>
        <w:t>.4 商定或确定</w:t>
      </w:r>
      <w:bookmarkEnd w:id="134"/>
    </w:p>
    <w:bookmarkEnd w:id="135"/>
    <w:bookmarkEnd w:id="136"/>
    <w:bookmarkEnd w:id="137"/>
    <w:p w14:paraId="341FB27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合同当事人进行商定或确定时，总监理工程师应当会同合同当事人尽量通过协商达成一致，不能达成一致的，由总监理工程师按照合同约定审慎做出公正的确定。</w:t>
      </w:r>
    </w:p>
    <w:p w14:paraId="01E64D2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67CC9EC0">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138" w:name="_Toc351203532"/>
      <w:r>
        <w:rPr>
          <w:rFonts w:hint="eastAsia" w:ascii="宋体" w:hAnsi="宋体" w:eastAsia="宋体" w:cs="宋体"/>
          <w:b w:val="0"/>
          <w:bCs/>
          <w:color w:val="000000"/>
          <w:kern w:val="2"/>
          <w:sz w:val="24"/>
          <w:szCs w:val="24"/>
          <w:lang w:val="en-US" w:eastAsia="zh-CN" w:bidi="ar-SA"/>
        </w:rPr>
        <w:t>5</w:t>
      </w:r>
      <w:bookmarkStart w:id="139" w:name="_Toc337558758"/>
      <w:r>
        <w:rPr>
          <w:rFonts w:hint="eastAsia" w:ascii="宋体" w:hAnsi="宋体" w:eastAsia="宋体" w:cs="宋体"/>
          <w:b w:val="0"/>
          <w:bCs/>
          <w:color w:val="000000"/>
          <w:kern w:val="2"/>
          <w:sz w:val="24"/>
          <w:szCs w:val="24"/>
          <w:lang w:val="en-US" w:eastAsia="zh-CN" w:bidi="ar-SA"/>
        </w:rPr>
        <w:t>. 工程质量</w:t>
      </w:r>
      <w:bookmarkEnd w:id="138"/>
    </w:p>
    <w:bookmarkEnd w:id="139"/>
    <w:p w14:paraId="60EA346D">
      <w:pPr>
        <w:pStyle w:val="4"/>
        <w:spacing w:before="120" w:after="120" w:line="240" w:lineRule="auto"/>
        <w:ind w:firstLine="480" w:firstLineChars="200"/>
        <w:rPr>
          <w:rFonts w:hint="eastAsia" w:ascii="宋体" w:hAnsi="宋体" w:eastAsia="宋体" w:cs="宋体"/>
          <w:b w:val="0"/>
          <w:color w:val="000000"/>
          <w:sz w:val="24"/>
          <w:szCs w:val="24"/>
        </w:rPr>
      </w:pPr>
      <w:bookmarkStart w:id="140" w:name="_Toc351203533"/>
      <w:r>
        <w:rPr>
          <w:rFonts w:hint="eastAsia" w:ascii="宋体" w:hAnsi="宋体" w:eastAsia="宋体" w:cs="宋体"/>
          <w:b w:val="0"/>
          <w:color w:val="000000"/>
          <w:sz w:val="24"/>
          <w:szCs w:val="24"/>
        </w:rPr>
        <w:t>5</w:t>
      </w:r>
      <w:bookmarkStart w:id="141" w:name="_Toc337558759"/>
      <w:r>
        <w:rPr>
          <w:rFonts w:hint="eastAsia" w:ascii="宋体" w:hAnsi="宋体" w:eastAsia="宋体" w:cs="宋体"/>
          <w:b w:val="0"/>
          <w:color w:val="000000"/>
          <w:sz w:val="24"/>
          <w:szCs w:val="24"/>
        </w:rPr>
        <w:t>.1质量要求</w:t>
      </w:r>
      <w:bookmarkEnd w:id="140"/>
    </w:p>
    <w:bookmarkEnd w:id="141"/>
    <w:p w14:paraId="67AD210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5.1.1 工程质量标准必须符合现行国家有关工程施工质量验收规范和标准的要求。有关工程质量的特殊标准或要求由合同当事人在专用合同条款中约定。</w:t>
      </w:r>
    </w:p>
    <w:p w14:paraId="2D30D9D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5.1.2 因发包人原因造成工程质量未达到合同约定标准的，由发包人承担由此增加的费用和（或）延误的工期，并支付承包人合理的利润。</w:t>
      </w:r>
    </w:p>
    <w:p w14:paraId="13B15C1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5.1.3 因承包人原因造成工程质量未达到合同约定标准的，发包人有权要求承包人返工直至工程质量达到合同约定的标准为止，并由承包人承担由此增加的费用和（或）延误的工期。</w:t>
      </w:r>
    </w:p>
    <w:p w14:paraId="71F3369D">
      <w:pPr>
        <w:pStyle w:val="4"/>
        <w:spacing w:before="120" w:after="120" w:line="240" w:lineRule="auto"/>
        <w:ind w:firstLine="480" w:firstLineChars="200"/>
        <w:rPr>
          <w:rFonts w:hint="eastAsia" w:ascii="宋体" w:hAnsi="宋体" w:eastAsia="宋体" w:cs="宋体"/>
          <w:b w:val="0"/>
          <w:color w:val="000000"/>
          <w:sz w:val="24"/>
          <w:szCs w:val="24"/>
        </w:rPr>
      </w:pPr>
      <w:bookmarkStart w:id="142" w:name="_Toc351203534"/>
      <w:r>
        <w:rPr>
          <w:rFonts w:hint="eastAsia" w:ascii="宋体" w:hAnsi="宋体" w:eastAsia="宋体" w:cs="宋体"/>
          <w:b w:val="0"/>
          <w:color w:val="000000"/>
          <w:sz w:val="24"/>
          <w:szCs w:val="24"/>
        </w:rPr>
        <w:t>5</w:t>
      </w:r>
      <w:bookmarkStart w:id="143" w:name="_Toc337558760"/>
      <w:r>
        <w:rPr>
          <w:rFonts w:hint="eastAsia" w:ascii="宋体" w:hAnsi="宋体" w:eastAsia="宋体" w:cs="宋体"/>
          <w:b w:val="0"/>
          <w:color w:val="000000"/>
          <w:sz w:val="24"/>
          <w:szCs w:val="24"/>
        </w:rPr>
        <w:t>.2质量保证措施</w:t>
      </w:r>
      <w:bookmarkEnd w:id="142"/>
    </w:p>
    <w:bookmarkEnd w:id="143"/>
    <w:p w14:paraId="20C2FD9B">
      <w:pPr>
        <w:autoSpaceDE w:val="0"/>
        <w:autoSpaceDN w:val="0"/>
        <w:adjustRightInd w:val="0"/>
        <w:spacing w:line="24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5.2.1 发包人的质量管理</w:t>
      </w:r>
    </w:p>
    <w:p w14:paraId="207AA2E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发包人应按照法律规定及合同约定完成与工程质量有关的各项工作。</w:t>
      </w:r>
    </w:p>
    <w:p w14:paraId="3656569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5.2.2 承包人的质量管理</w:t>
      </w:r>
    </w:p>
    <w:p w14:paraId="2377B0E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709D5F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承包人应对施工人员进行质量教育和技术培训，定期考核施工人员的劳动技能，严格执行施工规范和操作规程。</w:t>
      </w:r>
    </w:p>
    <w:p w14:paraId="214E2D6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0800EED">
      <w:pPr>
        <w:autoSpaceDE w:val="0"/>
        <w:autoSpaceDN w:val="0"/>
        <w:adjustRightInd w:val="0"/>
        <w:spacing w:line="24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5.2.3 监理人的质量检查和检验</w:t>
      </w:r>
    </w:p>
    <w:p w14:paraId="3E8FD45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1FAA7A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154069A0">
      <w:pPr>
        <w:pStyle w:val="4"/>
        <w:spacing w:before="120" w:after="120" w:line="240" w:lineRule="auto"/>
        <w:ind w:firstLine="480" w:firstLineChars="200"/>
        <w:rPr>
          <w:rFonts w:hint="eastAsia" w:ascii="宋体" w:hAnsi="宋体" w:eastAsia="宋体" w:cs="宋体"/>
          <w:b w:val="0"/>
          <w:color w:val="000000"/>
          <w:sz w:val="24"/>
          <w:szCs w:val="24"/>
        </w:rPr>
      </w:pPr>
      <w:bookmarkStart w:id="144" w:name="_Toc351203535"/>
      <w:r>
        <w:rPr>
          <w:rFonts w:hint="eastAsia" w:ascii="宋体" w:hAnsi="宋体" w:eastAsia="宋体" w:cs="宋体"/>
          <w:b w:val="0"/>
          <w:color w:val="000000"/>
          <w:sz w:val="24"/>
          <w:szCs w:val="24"/>
        </w:rPr>
        <w:t>5</w:t>
      </w:r>
      <w:bookmarkStart w:id="145" w:name="_Toc337558761"/>
      <w:r>
        <w:rPr>
          <w:rFonts w:hint="eastAsia" w:ascii="宋体" w:hAnsi="宋体" w:eastAsia="宋体" w:cs="宋体"/>
          <w:b w:val="0"/>
          <w:color w:val="000000"/>
          <w:sz w:val="24"/>
          <w:szCs w:val="24"/>
        </w:rPr>
        <w:t>.3 隐蔽工程检查</w:t>
      </w:r>
      <w:bookmarkEnd w:id="144"/>
    </w:p>
    <w:bookmarkEnd w:id="145"/>
    <w:p w14:paraId="2E904D5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5.3.1承包人自检</w:t>
      </w:r>
    </w:p>
    <w:p w14:paraId="326F9F1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承包人应当对工程隐蔽部位进行自检，并经自检确认是否具备覆盖条件。</w:t>
      </w:r>
    </w:p>
    <w:p w14:paraId="732F030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5.3.2检查程序</w:t>
      </w:r>
    </w:p>
    <w:p w14:paraId="6A24B93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295D30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A4F4F8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785B13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5.3.3 重新检查</w:t>
      </w:r>
    </w:p>
    <w:p w14:paraId="42DFA10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307B18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5.3.4 承包人私自覆盖</w:t>
      </w:r>
    </w:p>
    <w:p w14:paraId="14710A8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589D42DE">
      <w:pPr>
        <w:pStyle w:val="4"/>
        <w:spacing w:before="120" w:after="120" w:line="240" w:lineRule="auto"/>
        <w:ind w:firstLine="480" w:firstLineChars="200"/>
        <w:rPr>
          <w:rFonts w:hint="eastAsia" w:ascii="宋体" w:hAnsi="宋体" w:eastAsia="宋体" w:cs="宋体"/>
          <w:b w:val="0"/>
          <w:color w:val="000000"/>
          <w:sz w:val="24"/>
          <w:szCs w:val="24"/>
        </w:rPr>
      </w:pPr>
      <w:bookmarkStart w:id="146" w:name="_Toc351203536"/>
      <w:r>
        <w:rPr>
          <w:rFonts w:hint="eastAsia" w:ascii="宋体" w:hAnsi="宋体" w:eastAsia="宋体" w:cs="宋体"/>
          <w:b w:val="0"/>
          <w:color w:val="000000"/>
          <w:sz w:val="24"/>
          <w:szCs w:val="24"/>
        </w:rPr>
        <w:t>5</w:t>
      </w:r>
      <w:bookmarkStart w:id="147" w:name="_Toc337558762"/>
      <w:r>
        <w:rPr>
          <w:rFonts w:hint="eastAsia" w:ascii="宋体" w:hAnsi="宋体" w:eastAsia="宋体" w:cs="宋体"/>
          <w:b w:val="0"/>
          <w:color w:val="000000"/>
          <w:sz w:val="24"/>
          <w:szCs w:val="24"/>
        </w:rPr>
        <w:t>.4不合格工程的处理</w:t>
      </w:r>
      <w:bookmarkEnd w:id="146"/>
    </w:p>
    <w:bookmarkEnd w:id="147"/>
    <w:p w14:paraId="55F0738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1DB1FD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5.4.2 因发包人原因造成工程不合格的，由此增加的费用和（或）延误的工期由发包人承担，并支付承包人合理的利润。</w:t>
      </w:r>
    </w:p>
    <w:p w14:paraId="33B3194B">
      <w:pPr>
        <w:pStyle w:val="4"/>
        <w:spacing w:before="120" w:after="120" w:line="240" w:lineRule="auto"/>
        <w:ind w:firstLine="480" w:firstLineChars="200"/>
        <w:rPr>
          <w:rFonts w:hint="eastAsia" w:ascii="宋体" w:hAnsi="宋体" w:eastAsia="宋体" w:cs="宋体"/>
          <w:b w:val="0"/>
          <w:color w:val="000000"/>
          <w:sz w:val="24"/>
          <w:szCs w:val="24"/>
        </w:rPr>
      </w:pPr>
      <w:bookmarkStart w:id="148" w:name="_Toc351203537"/>
      <w:r>
        <w:rPr>
          <w:rFonts w:hint="eastAsia" w:ascii="宋体" w:hAnsi="宋体" w:eastAsia="宋体" w:cs="宋体"/>
          <w:b w:val="0"/>
          <w:color w:val="000000"/>
          <w:sz w:val="24"/>
          <w:szCs w:val="24"/>
        </w:rPr>
        <w:t>5.5 质量争议检测</w:t>
      </w:r>
      <w:bookmarkEnd w:id="148"/>
    </w:p>
    <w:p w14:paraId="4B577BF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合同当事人对工程质量有争议的，由双方协商确定的工程质量检测机构鉴定，由此产生的费用及因此造成的损失，由责任方承担。</w:t>
      </w:r>
    </w:p>
    <w:p w14:paraId="2A30A5AA">
      <w:pPr>
        <w:autoSpaceDE w:val="0"/>
        <w:autoSpaceDN w:val="0"/>
        <w:adjustRightInd w:val="0"/>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合同当事人均有责任的，由双方根据其责任分别承担。合同当事人无法达成一致的，按照第4.4款〔商定或确定〕执行。</w:t>
      </w:r>
    </w:p>
    <w:p w14:paraId="3C7B933C">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149" w:name="_Toc351203538"/>
      <w:r>
        <w:rPr>
          <w:rFonts w:hint="eastAsia" w:ascii="宋体" w:hAnsi="宋体" w:eastAsia="宋体" w:cs="宋体"/>
          <w:b w:val="0"/>
          <w:bCs/>
          <w:color w:val="000000"/>
          <w:kern w:val="2"/>
          <w:sz w:val="24"/>
          <w:szCs w:val="24"/>
          <w:lang w:val="en-US" w:eastAsia="zh-CN" w:bidi="ar-SA"/>
        </w:rPr>
        <w:t>6</w:t>
      </w:r>
      <w:bookmarkStart w:id="150" w:name="_Toc337558763"/>
      <w:r>
        <w:rPr>
          <w:rFonts w:hint="eastAsia" w:ascii="宋体" w:hAnsi="宋体" w:eastAsia="宋体" w:cs="宋体"/>
          <w:b w:val="0"/>
          <w:bCs/>
          <w:color w:val="000000"/>
          <w:kern w:val="2"/>
          <w:sz w:val="24"/>
          <w:szCs w:val="24"/>
          <w:lang w:val="en-US" w:eastAsia="zh-CN" w:bidi="ar-SA"/>
        </w:rPr>
        <w:t>. 安全文明施工与环境保护</w:t>
      </w:r>
      <w:bookmarkEnd w:id="149"/>
    </w:p>
    <w:bookmarkEnd w:id="150"/>
    <w:p w14:paraId="300601F2">
      <w:pPr>
        <w:pStyle w:val="4"/>
        <w:spacing w:before="120" w:after="120" w:line="240" w:lineRule="auto"/>
        <w:ind w:firstLine="480" w:firstLineChars="200"/>
        <w:rPr>
          <w:rFonts w:hint="eastAsia" w:ascii="宋体" w:hAnsi="宋体" w:eastAsia="宋体" w:cs="宋体"/>
          <w:b w:val="0"/>
          <w:color w:val="000000"/>
          <w:sz w:val="24"/>
          <w:szCs w:val="24"/>
        </w:rPr>
      </w:pPr>
      <w:bookmarkStart w:id="151" w:name="_Toc351203539"/>
      <w:r>
        <w:rPr>
          <w:rFonts w:hint="eastAsia" w:ascii="宋体" w:hAnsi="宋体" w:eastAsia="宋体" w:cs="宋体"/>
          <w:b w:val="0"/>
          <w:color w:val="000000"/>
          <w:sz w:val="24"/>
          <w:szCs w:val="24"/>
        </w:rPr>
        <w:t>6</w:t>
      </w:r>
      <w:bookmarkStart w:id="152" w:name="_Toc337558764"/>
      <w:r>
        <w:rPr>
          <w:rFonts w:hint="eastAsia" w:ascii="宋体" w:hAnsi="宋体" w:eastAsia="宋体" w:cs="宋体"/>
          <w:b w:val="0"/>
          <w:color w:val="000000"/>
          <w:sz w:val="24"/>
          <w:szCs w:val="24"/>
        </w:rPr>
        <w:t>.1安全文明施工</w:t>
      </w:r>
      <w:bookmarkEnd w:id="151"/>
    </w:p>
    <w:bookmarkEnd w:id="152"/>
    <w:p w14:paraId="3D9A59E5">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6.1.1安全生产要求</w:t>
      </w:r>
    </w:p>
    <w:p w14:paraId="4C13380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DA2C85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4"/>
          <w:szCs w:val="24"/>
        </w:rPr>
        <w:t>政府有关行政管理部门</w:t>
      </w:r>
      <w:r>
        <w:rPr>
          <w:rFonts w:hint="eastAsia" w:ascii="宋体" w:hAnsi="宋体" w:eastAsia="宋体" w:cs="宋体"/>
          <w:color w:val="000000"/>
          <w:sz w:val="24"/>
          <w:szCs w:val="24"/>
        </w:rPr>
        <w:t>采取应急措施。</w:t>
      </w:r>
    </w:p>
    <w:p w14:paraId="2DE6675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因安全生产需要暂停施工的，按照第7.8款〔暂停施工〕的约定执行。</w:t>
      </w:r>
    </w:p>
    <w:p w14:paraId="301B068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6.1.2 安全生产保证措施</w:t>
      </w:r>
    </w:p>
    <w:p w14:paraId="31E6CCA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承包人应当按照有关</w:t>
      </w:r>
      <w:r>
        <w:rPr>
          <w:rFonts w:hint="eastAsia" w:ascii="宋体" w:hAnsi="宋体" w:eastAsia="宋体" w:cs="宋体"/>
          <w:color w:val="000000"/>
          <w:kern w:val="0"/>
          <w:sz w:val="24"/>
          <w:szCs w:val="24"/>
        </w:rPr>
        <w:t>规定编制安全技术措施或者专项施工方案，</w:t>
      </w:r>
      <w:r>
        <w:rPr>
          <w:rFonts w:hint="eastAsia" w:ascii="宋体" w:hAnsi="宋体" w:eastAsia="宋体" w:cs="宋体"/>
          <w:color w:val="000000"/>
          <w:sz w:val="24"/>
          <w:szCs w:val="24"/>
        </w:rPr>
        <w:t>建立安全生产责任制度、治安保卫制度及安全生产教育培训制度，并</w:t>
      </w:r>
      <w:r>
        <w:rPr>
          <w:rFonts w:hint="eastAsia" w:ascii="宋体" w:hAnsi="宋体" w:eastAsia="宋体" w:cs="宋体"/>
          <w:color w:val="000000"/>
          <w:kern w:val="0"/>
          <w:sz w:val="24"/>
          <w:szCs w:val="24"/>
        </w:rPr>
        <w:t>按安全生产法律规定及合同约定履行安全职责，如实</w:t>
      </w:r>
      <w:r>
        <w:rPr>
          <w:rFonts w:hint="eastAsia" w:ascii="宋体" w:hAnsi="宋体" w:eastAsia="宋体" w:cs="宋体"/>
          <w:color w:val="000000"/>
          <w:sz w:val="24"/>
          <w:szCs w:val="24"/>
        </w:rPr>
        <w:t>编制工程安全生产的有关记录，</w:t>
      </w:r>
      <w:r>
        <w:rPr>
          <w:rFonts w:hint="eastAsia" w:ascii="宋体" w:hAnsi="宋体" w:eastAsia="宋体" w:cs="宋体"/>
          <w:color w:val="000000"/>
          <w:kern w:val="0"/>
          <w:sz w:val="24"/>
          <w:szCs w:val="24"/>
        </w:rPr>
        <w:t>接受发包人、监理人及政府安全监督部门的检查与监督。</w:t>
      </w:r>
    </w:p>
    <w:p w14:paraId="00097BC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6.1.3特别安全生产事项</w:t>
      </w:r>
    </w:p>
    <w:p w14:paraId="5DE1C18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D02A20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承包人在动力设备、输电线路、地下管道、密封防震车间、易燃易爆地段以及临街交通要道附近施工时，施工开始前应向发包人和监理人提出安全防护措施，经发包人认可后实施。 </w:t>
      </w:r>
    </w:p>
    <w:p w14:paraId="6592AE1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36C1571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需单独编制危险性较大分部分项专项工程施工方案的，及要求进行专家论证的超过一定规模的危险性较大的分部分项工程，承包人应及时编制和组织论证。</w:t>
      </w:r>
    </w:p>
    <w:p w14:paraId="00063A89">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6.1.4 治安保卫</w:t>
      </w:r>
    </w:p>
    <w:p w14:paraId="6EB3B71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除专用合同条款另有约定外，发包人应与当地公安部门协商，在现场建立治安管理机构或联防组织，统一管理施工场地的治安保卫事项，履行合同工程的治安保卫职责。</w:t>
      </w:r>
    </w:p>
    <w:p w14:paraId="7325776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发包人和承包人除应协助现场治安管理机构或联防组织维护施工场地的社会治安外，还应做好包括生活区在内的各自管辖区的治安保卫工作。</w:t>
      </w:r>
    </w:p>
    <w:p w14:paraId="1FCB439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5D831CE">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6.1.5 文明施工</w:t>
      </w:r>
    </w:p>
    <w:p w14:paraId="6457B5F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B4C05F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1EAEED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6.1.6 安全文明施工费</w:t>
      </w:r>
    </w:p>
    <w:p w14:paraId="3A32FA9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安全文明施工费由发包人承担，发包人不得以任何形式扣减该部分费用。因基准日期后合同所适用的法律或政府有关规定发生变化，增加的安全文明施工费由发包人承担。</w:t>
      </w:r>
    </w:p>
    <w:p w14:paraId="10360E6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7775AF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C8F305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23F954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6.1.7 紧急情况处理</w:t>
      </w:r>
    </w:p>
    <w:p w14:paraId="0F4B1D5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14BB800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6.1.8 事故处理</w:t>
      </w:r>
    </w:p>
    <w:p w14:paraId="1BB9228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9EC402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 安全生产责任</w:t>
      </w:r>
    </w:p>
    <w:p w14:paraId="49D7931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6.1.9.1 发包人的安全责任</w:t>
      </w:r>
    </w:p>
    <w:p w14:paraId="3D9DEEF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发包人应负责赔偿以下各种情况造成的损失：</w:t>
      </w:r>
    </w:p>
    <w:p w14:paraId="30DEBD9B">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（1）工程或工程的任何部分对土地的占用所造成的第三者财产损失；</w:t>
      </w:r>
    </w:p>
    <w:p w14:paraId="1C35B79B">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（2）由于发包人原因在施工场地及其毗邻地带造成的第三者人身伤亡和财产损失；</w:t>
      </w:r>
    </w:p>
    <w:p w14:paraId="2DAEB3AE">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（3）由于发包人原因对承包人、监理人造成的人员人身伤亡和财产损失；</w:t>
      </w:r>
    </w:p>
    <w:p w14:paraId="22451C5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（4）由于发包人原因造成的发包人自身人员的人身伤害以及财产损失。</w:t>
      </w:r>
    </w:p>
    <w:p w14:paraId="49859D5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6.1.9.2 承包人的安全责任</w:t>
      </w:r>
    </w:p>
    <w:p w14:paraId="6DCF84EA">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由于承包人原因在施工场地内及其毗邻地带造成的发包人、监理人以及第三者人员伤亡和财产损失，由承包人负责赔偿。</w:t>
      </w:r>
    </w:p>
    <w:p w14:paraId="0C2A2D26">
      <w:pPr>
        <w:pStyle w:val="4"/>
        <w:spacing w:before="120" w:after="120" w:line="240" w:lineRule="auto"/>
        <w:ind w:firstLine="480" w:firstLineChars="200"/>
        <w:rPr>
          <w:rFonts w:hint="eastAsia" w:ascii="宋体" w:hAnsi="宋体" w:eastAsia="宋体" w:cs="宋体"/>
          <w:b w:val="0"/>
          <w:color w:val="000000"/>
          <w:sz w:val="24"/>
          <w:szCs w:val="24"/>
        </w:rPr>
      </w:pPr>
      <w:bookmarkStart w:id="153" w:name="_Toc351203540"/>
      <w:r>
        <w:rPr>
          <w:rFonts w:hint="eastAsia" w:ascii="宋体" w:hAnsi="宋体" w:eastAsia="宋体" w:cs="宋体"/>
          <w:b w:val="0"/>
          <w:color w:val="000000"/>
          <w:sz w:val="24"/>
          <w:szCs w:val="24"/>
        </w:rPr>
        <w:t>6</w:t>
      </w:r>
      <w:bookmarkStart w:id="154" w:name="_Toc337558765"/>
      <w:r>
        <w:rPr>
          <w:rFonts w:hint="eastAsia" w:ascii="宋体" w:hAnsi="宋体" w:eastAsia="宋体" w:cs="宋体"/>
          <w:b w:val="0"/>
          <w:color w:val="000000"/>
          <w:sz w:val="24"/>
          <w:szCs w:val="24"/>
        </w:rPr>
        <w:t>.2 职业健康</w:t>
      </w:r>
      <w:bookmarkEnd w:id="153"/>
    </w:p>
    <w:bookmarkEnd w:id="154"/>
    <w:p w14:paraId="4B3AA7A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6.2.1 劳动保护</w:t>
      </w:r>
    </w:p>
    <w:p w14:paraId="110C939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1EEC9D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FB6671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3073431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6.2.2 生活条件</w:t>
      </w:r>
    </w:p>
    <w:p w14:paraId="60E77D3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2DC436A">
      <w:pPr>
        <w:pStyle w:val="4"/>
        <w:spacing w:before="120" w:after="120" w:line="240" w:lineRule="auto"/>
        <w:ind w:firstLine="480" w:firstLineChars="200"/>
        <w:rPr>
          <w:rFonts w:hint="eastAsia" w:ascii="宋体" w:hAnsi="宋体" w:eastAsia="宋体" w:cs="宋体"/>
          <w:b w:val="0"/>
          <w:color w:val="000000"/>
          <w:sz w:val="24"/>
          <w:szCs w:val="24"/>
        </w:rPr>
      </w:pPr>
      <w:bookmarkStart w:id="155" w:name="_Toc351203541"/>
      <w:r>
        <w:rPr>
          <w:rFonts w:hint="eastAsia" w:ascii="宋体" w:hAnsi="宋体" w:eastAsia="宋体" w:cs="宋体"/>
          <w:b w:val="0"/>
          <w:color w:val="000000"/>
          <w:sz w:val="24"/>
          <w:szCs w:val="24"/>
        </w:rPr>
        <w:t>6</w:t>
      </w:r>
      <w:bookmarkStart w:id="156" w:name="_Toc337558766"/>
      <w:r>
        <w:rPr>
          <w:rFonts w:hint="eastAsia" w:ascii="宋体" w:hAnsi="宋体" w:eastAsia="宋体" w:cs="宋体"/>
          <w:b w:val="0"/>
          <w:color w:val="000000"/>
          <w:sz w:val="24"/>
          <w:szCs w:val="24"/>
        </w:rPr>
        <w:t>.3 环境保护</w:t>
      </w:r>
      <w:bookmarkEnd w:id="155"/>
    </w:p>
    <w:bookmarkEnd w:id="156"/>
    <w:p w14:paraId="3A0B5EE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9DA2B9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承包人应当承担因其原因引起的环境污染侵权损害赔偿责任，因上述环境污染引起纠纷而导致暂停施工的，由此增加的费用和（或）延误的工期由承包人承担。</w:t>
      </w:r>
    </w:p>
    <w:p w14:paraId="6EA0B54D">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157" w:name="_Toc351203542"/>
      <w:r>
        <w:rPr>
          <w:rFonts w:hint="eastAsia" w:ascii="宋体" w:hAnsi="宋体" w:eastAsia="宋体" w:cs="宋体"/>
          <w:b w:val="0"/>
          <w:bCs/>
          <w:color w:val="000000"/>
          <w:kern w:val="2"/>
          <w:sz w:val="24"/>
          <w:szCs w:val="24"/>
          <w:lang w:val="en-US" w:eastAsia="zh-CN" w:bidi="ar-SA"/>
        </w:rPr>
        <w:t>7</w:t>
      </w:r>
      <w:bookmarkStart w:id="158" w:name="_Toc337558767"/>
      <w:r>
        <w:rPr>
          <w:rFonts w:hint="eastAsia" w:ascii="宋体" w:hAnsi="宋体" w:eastAsia="宋体" w:cs="宋体"/>
          <w:b w:val="0"/>
          <w:bCs/>
          <w:color w:val="000000"/>
          <w:kern w:val="2"/>
          <w:sz w:val="24"/>
          <w:szCs w:val="24"/>
          <w:lang w:val="en-US" w:eastAsia="zh-CN" w:bidi="ar-SA"/>
        </w:rPr>
        <w:t>. 工期和进度</w:t>
      </w:r>
      <w:bookmarkEnd w:id="157"/>
    </w:p>
    <w:bookmarkEnd w:id="158"/>
    <w:p w14:paraId="104134D8">
      <w:pPr>
        <w:pStyle w:val="4"/>
        <w:spacing w:before="120" w:after="120" w:line="240" w:lineRule="auto"/>
        <w:ind w:firstLine="480" w:firstLineChars="200"/>
        <w:rPr>
          <w:rFonts w:hint="eastAsia" w:ascii="宋体" w:hAnsi="宋体" w:eastAsia="宋体" w:cs="宋体"/>
          <w:b w:val="0"/>
          <w:color w:val="000000"/>
          <w:sz w:val="24"/>
          <w:szCs w:val="24"/>
        </w:rPr>
      </w:pPr>
      <w:bookmarkStart w:id="159" w:name="_Toc351203543"/>
      <w:r>
        <w:rPr>
          <w:rFonts w:hint="eastAsia" w:ascii="宋体" w:hAnsi="宋体" w:eastAsia="宋体" w:cs="宋体"/>
          <w:b w:val="0"/>
          <w:color w:val="000000"/>
          <w:sz w:val="24"/>
          <w:szCs w:val="24"/>
        </w:rPr>
        <w:t>7</w:t>
      </w:r>
      <w:bookmarkStart w:id="160" w:name="_Toc337558768"/>
      <w:bookmarkStart w:id="161" w:name="_Toc296346567"/>
      <w:bookmarkStart w:id="162" w:name="_Toc296503066"/>
      <w:r>
        <w:rPr>
          <w:rFonts w:hint="eastAsia" w:ascii="宋体" w:hAnsi="宋体" w:eastAsia="宋体" w:cs="宋体"/>
          <w:b w:val="0"/>
          <w:color w:val="000000"/>
          <w:sz w:val="24"/>
          <w:szCs w:val="24"/>
        </w:rPr>
        <w:t>.1施工组织设计</w:t>
      </w:r>
      <w:bookmarkEnd w:id="159"/>
    </w:p>
    <w:bookmarkEnd w:id="160"/>
    <w:p w14:paraId="3476A70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施工组织设计的内容</w:t>
      </w:r>
    </w:p>
    <w:p w14:paraId="5CC6C5D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施工组织设计应包含以下内容：</w:t>
      </w:r>
    </w:p>
    <w:p w14:paraId="0D9346C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（1）施工方案； </w:t>
      </w:r>
    </w:p>
    <w:p w14:paraId="108735B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（2）施工现场平面布置图；</w:t>
      </w:r>
    </w:p>
    <w:p w14:paraId="1DA0B98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（3）施工进度计划和保证措施； </w:t>
      </w:r>
    </w:p>
    <w:p w14:paraId="6A5860D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（4）劳动力及材料供应计划；</w:t>
      </w:r>
    </w:p>
    <w:p w14:paraId="61BB902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（5）施工机械设备的选用；</w:t>
      </w:r>
    </w:p>
    <w:p w14:paraId="3E8BC40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（6）质量保证体系及措施；</w:t>
      </w:r>
    </w:p>
    <w:p w14:paraId="582ECC4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（7）安全生产、文明施工措施；</w:t>
      </w:r>
    </w:p>
    <w:p w14:paraId="73860CD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（8）环境保护、成本控制措施；</w:t>
      </w:r>
    </w:p>
    <w:p w14:paraId="7C1E8F6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（9）合同当事人约定的其他内容。</w:t>
      </w:r>
    </w:p>
    <w:p w14:paraId="0C4D108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53FD82C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4A9CAA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施工进度计划的编制和修改按照第7.2款〔施工进度计划〕执行。</w:t>
      </w:r>
    </w:p>
    <w:p w14:paraId="6C239E15">
      <w:pPr>
        <w:pStyle w:val="4"/>
        <w:spacing w:before="120" w:after="120" w:line="240" w:lineRule="auto"/>
        <w:ind w:firstLine="480" w:firstLineChars="200"/>
        <w:rPr>
          <w:rFonts w:hint="eastAsia" w:ascii="宋体" w:hAnsi="宋体" w:eastAsia="宋体" w:cs="宋体"/>
          <w:b w:val="0"/>
          <w:color w:val="000000"/>
          <w:sz w:val="24"/>
          <w:szCs w:val="24"/>
        </w:rPr>
      </w:pPr>
      <w:bookmarkStart w:id="163" w:name="_Toc351203544"/>
      <w:r>
        <w:rPr>
          <w:rFonts w:hint="eastAsia" w:ascii="宋体" w:hAnsi="宋体" w:eastAsia="宋体" w:cs="宋体"/>
          <w:b w:val="0"/>
          <w:color w:val="000000"/>
          <w:sz w:val="24"/>
          <w:szCs w:val="24"/>
        </w:rPr>
        <w:t>7</w:t>
      </w:r>
      <w:bookmarkStart w:id="164" w:name="_Toc337558769"/>
      <w:r>
        <w:rPr>
          <w:rFonts w:hint="eastAsia" w:ascii="宋体" w:hAnsi="宋体" w:eastAsia="宋体" w:cs="宋体"/>
          <w:b w:val="0"/>
          <w:color w:val="000000"/>
          <w:sz w:val="24"/>
          <w:szCs w:val="24"/>
        </w:rPr>
        <w:t>.2 施工进度计划</w:t>
      </w:r>
      <w:bookmarkEnd w:id="163"/>
    </w:p>
    <w:bookmarkEnd w:id="164"/>
    <w:p w14:paraId="62F71CB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7.2.1 施工进度计划的编制</w:t>
      </w:r>
    </w:p>
    <w:p w14:paraId="7F4D1BE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173BFB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7.2.2 施工进度计划的修订</w:t>
      </w:r>
    </w:p>
    <w:p w14:paraId="5EC71AD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6C4F2628">
      <w:pPr>
        <w:pStyle w:val="4"/>
        <w:spacing w:before="120" w:after="120" w:line="240" w:lineRule="auto"/>
        <w:ind w:firstLine="480" w:firstLineChars="200"/>
        <w:rPr>
          <w:rFonts w:hint="eastAsia" w:ascii="宋体" w:hAnsi="宋体" w:eastAsia="宋体" w:cs="宋体"/>
          <w:b w:val="0"/>
          <w:color w:val="000000"/>
          <w:sz w:val="24"/>
          <w:szCs w:val="24"/>
        </w:rPr>
      </w:pPr>
      <w:bookmarkStart w:id="165" w:name="_Toc351203545"/>
      <w:r>
        <w:rPr>
          <w:rFonts w:hint="eastAsia" w:ascii="宋体" w:hAnsi="宋体" w:eastAsia="宋体" w:cs="宋体"/>
          <w:b w:val="0"/>
          <w:color w:val="000000"/>
          <w:sz w:val="24"/>
          <w:szCs w:val="24"/>
        </w:rPr>
        <w:t>7</w:t>
      </w:r>
      <w:bookmarkStart w:id="166" w:name="_Toc337558770"/>
      <w:r>
        <w:rPr>
          <w:rFonts w:hint="eastAsia" w:ascii="宋体" w:hAnsi="宋体" w:eastAsia="宋体" w:cs="宋体"/>
          <w:b w:val="0"/>
          <w:color w:val="000000"/>
          <w:sz w:val="24"/>
          <w:szCs w:val="24"/>
        </w:rPr>
        <w:t>.3 开工</w:t>
      </w:r>
      <w:bookmarkEnd w:id="165"/>
    </w:p>
    <w:p w14:paraId="0E1F7E0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7.3.1 开工准备</w:t>
      </w:r>
    </w:p>
    <w:p w14:paraId="17B66C2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8903E0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除专用合同条款另有约定外，合同当事人应按约定完成开工准备工作。</w:t>
      </w:r>
    </w:p>
    <w:p w14:paraId="3FCD11A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7.3.2 开工通知</w:t>
      </w:r>
    </w:p>
    <w:bookmarkEnd w:id="166"/>
    <w:p w14:paraId="1B02478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8813C4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704ADB3E">
      <w:pPr>
        <w:pStyle w:val="4"/>
        <w:spacing w:before="120" w:after="120" w:line="240" w:lineRule="auto"/>
        <w:ind w:firstLine="480" w:firstLineChars="200"/>
        <w:rPr>
          <w:rFonts w:hint="eastAsia" w:ascii="宋体" w:hAnsi="宋体" w:eastAsia="宋体" w:cs="宋体"/>
          <w:b w:val="0"/>
          <w:color w:val="000000"/>
          <w:sz w:val="24"/>
          <w:szCs w:val="24"/>
        </w:rPr>
      </w:pPr>
      <w:bookmarkStart w:id="167" w:name="_Toc351203546"/>
      <w:r>
        <w:rPr>
          <w:rFonts w:hint="eastAsia" w:ascii="宋体" w:hAnsi="宋体" w:eastAsia="宋体" w:cs="宋体"/>
          <w:b w:val="0"/>
          <w:color w:val="000000"/>
          <w:sz w:val="24"/>
          <w:szCs w:val="24"/>
        </w:rPr>
        <w:t>7.4测量放线</w:t>
      </w:r>
      <w:bookmarkEnd w:id="167"/>
    </w:p>
    <w:p w14:paraId="162B2EF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E10F54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108E684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DDBAE3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施工过程中对施工现场内水准点等测量标志物的保护工作由承包人负责。</w:t>
      </w:r>
      <w:bookmarkStart w:id="168" w:name="_Toc351203547"/>
    </w:p>
    <w:p w14:paraId="585D2661">
      <w:pPr>
        <w:pStyle w:val="4"/>
        <w:spacing w:before="120" w:after="120" w:line="240" w:lineRule="auto"/>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7</w:t>
      </w:r>
      <w:bookmarkEnd w:id="161"/>
      <w:bookmarkEnd w:id="162"/>
      <w:bookmarkStart w:id="169" w:name="_Toc296346574"/>
      <w:bookmarkStart w:id="170" w:name="_Toc337558772"/>
      <w:bookmarkStart w:id="171" w:name="_Toc296503073"/>
      <w:r>
        <w:rPr>
          <w:rFonts w:hint="eastAsia" w:ascii="宋体" w:hAnsi="宋体" w:eastAsia="宋体" w:cs="宋体"/>
          <w:b w:val="0"/>
          <w:color w:val="000000"/>
          <w:sz w:val="24"/>
          <w:szCs w:val="24"/>
        </w:rPr>
        <w:t>.5 工期延误</w:t>
      </w:r>
      <w:bookmarkEnd w:id="168"/>
    </w:p>
    <w:bookmarkEnd w:id="169"/>
    <w:bookmarkEnd w:id="170"/>
    <w:bookmarkEnd w:id="171"/>
    <w:p w14:paraId="37E9BEC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7.5.1 因发包人原因导致工期延误</w:t>
      </w:r>
    </w:p>
    <w:p w14:paraId="3C184E5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在合同履行过程中，因下列情况导致工期延误和（或）费用增加的，由发包人承担由此延误的工期和（或）增加的费用，且发包人应支付承包人合理的利润： </w:t>
      </w:r>
    </w:p>
    <w:p w14:paraId="28790E0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（1）发包人未能按合同约定提供图纸或所提供图纸不符合合同约定的；</w:t>
      </w:r>
    </w:p>
    <w:p w14:paraId="16E7516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（2）发包人未能按合同约定提供施工现场、施工条件、基础资料、许可、批准等开工条件的；</w:t>
      </w:r>
    </w:p>
    <w:p w14:paraId="689F2EB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（3）发包人提供的测量基准点、基准线和水准点及其书面资料存在错误或疏漏的；</w:t>
      </w:r>
    </w:p>
    <w:p w14:paraId="474040B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（4）发包人未能在计划开工日期之日起7天内同意下达开工通知的；</w:t>
      </w:r>
    </w:p>
    <w:p w14:paraId="4AB3ECB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（5）发包人未能按合同约定日期支付工程预付款、进度款或竣工结算款的；</w:t>
      </w:r>
    </w:p>
    <w:p w14:paraId="3A1FE6A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（6）监理人未按合同约定发出指示、批准等文件的；</w:t>
      </w:r>
    </w:p>
    <w:p w14:paraId="00BC2B4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（7）专用合同条款中约定的其他情形。</w:t>
      </w:r>
    </w:p>
    <w:p w14:paraId="6ABD12B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EC8F3C6">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7.5.2 因承包人原因导致工期延误</w:t>
      </w:r>
    </w:p>
    <w:p w14:paraId="19FB810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bookmarkStart w:id="172" w:name="_Toc296503076"/>
      <w:bookmarkStart w:id="173" w:name="_Toc296346577"/>
      <w:r>
        <w:rPr>
          <w:rFonts w:hint="eastAsia" w:ascii="宋体" w:hAnsi="宋体" w:eastAsia="宋体" w:cs="宋体"/>
          <w:color w:val="000000"/>
          <w:kern w:val="0"/>
          <w:sz w:val="24"/>
          <w:szCs w:val="24"/>
        </w:rPr>
        <w:t>因</w:t>
      </w:r>
      <w:bookmarkEnd w:id="172"/>
      <w:bookmarkEnd w:id="173"/>
      <w:r>
        <w:rPr>
          <w:rFonts w:hint="eastAsia" w:ascii="宋体" w:hAnsi="宋体" w:eastAsia="宋体" w:cs="宋体"/>
          <w:color w:val="000000"/>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2B83439A">
      <w:pPr>
        <w:pStyle w:val="4"/>
        <w:spacing w:before="120" w:after="120" w:line="240" w:lineRule="auto"/>
        <w:ind w:firstLine="480" w:firstLineChars="200"/>
        <w:rPr>
          <w:rFonts w:hint="eastAsia" w:ascii="宋体" w:hAnsi="宋体" w:eastAsia="宋体" w:cs="宋体"/>
          <w:b w:val="0"/>
          <w:color w:val="000000"/>
          <w:sz w:val="24"/>
          <w:szCs w:val="24"/>
        </w:rPr>
      </w:pPr>
      <w:bookmarkStart w:id="174" w:name="_Toc351203548"/>
      <w:r>
        <w:rPr>
          <w:rFonts w:hint="eastAsia" w:ascii="宋体" w:hAnsi="宋体" w:eastAsia="宋体" w:cs="宋体"/>
          <w:b w:val="0"/>
          <w:color w:val="000000"/>
          <w:sz w:val="24"/>
          <w:szCs w:val="24"/>
        </w:rPr>
        <w:t>7</w:t>
      </w:r>
      <w:bookmarkStart w:id="175" w:name="_Toc337558773"/>
      <w:bookmarkStart w:id="176" w:name="_Toc296503074"/>
      <w:bookmarkStart w:id="177" w:name="_Toc296346575"/>
      <w:bookmarkStart w:id="178" w:name="_Toc296503077"/>
      <w:bookmarkStart w:id="179" w:name="_Toc296346578"/>
      <w:r>
        <w:rPr>
          <w:rFonts w:hint="eastAsia" w:ascii="宋体" w:hAnsi="宋体" w:eastAsia="宋体" w:cs="宋体"/>
          <w:b w:val="0"/>
          <w:color w:val="000000"/>
          <w:sz w:val="24"/>
          <w:szCs w:val="24"/>
        </w:rPr>
        <w:t>.6 不利物质条件</w:t>
      </w:r>
      <w:bookmarkEnd w:id="174"/>
    </w:p>
    <w:bookmarkEnd w:id="175"/>
    <w:bookmarkEnd w:id="176"/>
    <w:bookmarkEnd w:id="177"/>
    <w:p w14:paraId="43674F6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DB2C1F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350C8DEA">
      <w:pPr>
        <w:pStyle w:val="4"/>
        <w:spacing w:before="120" w:after="120" w:line="240" w:lineRule="auto"/>
        <w:ind w:firstLine="480" w:firstLineChars="200"/>
        <w:rPr>
          <w:rFonts w:hint="eastAsia" w:ascii="宋体" w:hAnsi="宋体" w:eastAsia="宋体" w:cs="宋体"/>
          <w:b w:val="0"/>
          <w:color w:val="000000"/>
          <w:sz w:val="24"/>
          <w:szCs w:val="24"/>
        </w:rPr>
      </w:pPr>
      <w:bookmarkStart w:id="180" w:name="_Toc351203549"/>
      <w:r>
        <w:rPr>
          <w:rFonts w:hint="eastAsia" w:ascii="宋体" w:hAnsi="宋体" w:eastAsia="宋体" w:cs="宋体"/>
          <w:b w:val="0"/>
          <w:color w:val="000000"/>
          <w:sz w:val="24"/>
          <w:szCs w:val="24"/>
        </w:rPr>
        <w:t>7</w:t>
      </w:r>
      <w:bookmarkStart w:id="181" w:name="_Toc337558774"/>
      <w:bookmarkStart w:id="182" w:name="_Toc296346576"/>
      <w:bookmarkStart w:id="183" w:name="_Toc296503075"/>
      <w:r>
        <w:rPr>
          <w:rFonts w:hint="eastAsia" w:ascii="宋体" w:hAnsi="宋体" w:eastAsia="宋体" w:cs="宋体"/>
          <w:b w:val="0"/>
          <w:color w:val="000000"/>
          <w:sz w:val="24"/>
          <w:szCs w:val="24"/>
        </w:rPr>
        <w:t>.7 异常恶劣的气候条件</w:t>
      </w:r>
      <w:bookmarkEnd w:id="180"/>
    </w:p>
    <w:bookmarkEnd w:id="181"/>
    <w:bookmarkEnd w:id="182"/>
    <w:bookmarkEnd w:id="183"/>
    <w:p w14:paraId="6DF7A94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6DA929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4" w:name="_Toc351203550"/>
    </w:p>
    <w:p w14:paraId="5ACDAC76">
      <w:pPr>
        <w:autoSpaceDE w:val="0"/>
        <w:autoSpaceDN w:val="0"/>
        <w:adjustRightInd w:val="0"/>
        <w:spacing w:line="240" w:lineRule="auto"/>
        <w:ind w:firstLine="480" w:firstLineChars="200"/>
        <w:jc w:val="left"/>
        <w:outlineLvl w:val="0"/>
        <w:rPr>
          <w:rFonts w:hint="eastAsia" w:ascii="宋体" w:hAnsi="宋体" w:eastAsia="宋体" w:cs="宋体"/>
          <w:bCs/>
          <w:color w:val="000000"/>
          <w:sz w:val="24"/>
          <w:szCs w:val="24"/>
        </w:rPr>
      </w:pPr>
      <w:r>
        <w:rPr>
          <w:rFonts w:hint="eastAsia" w:ascii="宋体" w:hAnsi="宋体" w:eastAsia="宋体" w:cs="宋体"/>
          <w:bCs/>
          <w:color w:val="000000"/>
          <w:sz w:val="24"/>
          <w:szCs w:val="24"/>
        </w:rPr>
        <w:t>7</w:t>
      </w:r>
      <w:bookmarkStart w:id="185" w:name="_Toc337558775"/>
      <w:r>
        <w:rPr>
          <w:rFonts w:hint="eastAsia" w:ascii="宋体" w:hAnsi="宋体" w:eastAsia="宋体" w:cs="宋体"/>
          <w:bCs/>
          <w:color w:val="000000"/>
          <w:sz w:val="24"/>
          <w:szCs w:val="24"/>
        </w:rPr>
        <w:t>.8 暂停施工</w:t>
      </w:r>
      <w:bookmarkEnd w:id="184"/>
    </w:p>
    <w:bookmarkEnd w:id="178"/>
    <w:bookmarkEnd w:id="179"/>
    <w:bookmarkEnd w:id="185"/>
    <w:p w14:paraId="7EDE5F0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7.8.1发包人原因引起的暂停施工</w:t>
      </w:r>
    </w:p>
    <w:p w14:paraId="659FDDB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因发包人原因引起暂停施工的，监理人经发包人同意后，应及时下达暂停施工指示。情况紧急且监理人未及时下达暂停施工指示的，按照第7.8.4项〔紧急情况下的暂停施工〕执行。</w:t>
      </w:r>
    </w:p>
    <w:p w14:paraId="79055C9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因发包人原因引起的暂停施工，发包人应承担由此增加的费用和（或）延误的工期，</w:t>
      </w:r>
      <w:r>
        <w:rPr>
          <w:rFonts w:hint="eastAsia" w:ascii="宋体" w:hAnsi="宋体" w:eastAsia="宋体" w:cs="宋体"/>
          <w:kern w:val="0"/>
          <w:sz w:val="24"/>
          <w:szCs w:val="24"/>
        </w:rPr>
        <w:t>并支付承包人</w:t>
      </w:r>
      <w:r>
        <w:rPr>
          <w:rFonts w:hint="eastAsia" w:ascii="宋体" w:hAnsi="宋体" w:eastAsia="宋体" w:cs="宋体"/>
          <w:color w:val="000000"/>
          <w:kern w:val="0"/>
          <w:sz w:val="24"/>
          <w:szCs w:val="24"/>
        </w:rPr>
        <w:t>合理的利润。</w:t>
      </w:r>
    </w:p>
    <w:p w14:paraId="0CD3EFC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7.8.2 承包人原因引起的暂停施工</w:t>
      </w:r>
    </w:p>
    <w:p w14:paraId="42CF3AC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4409A9F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7.8.3 指示暂停施工</w:t>
      </w:r>
    </w:p>
    <w:p w14:paraId="1DB9EFB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监理人认为有必要时，并经发包人批准后，可向承包人作出暂停施工的指示，承包人应按监理人指示暂停施工。</w:t>
      </w:r>
    </w:p>
    <w:p w14:paraId="6F151BB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7.8.4 紧急情况下的暂停施工</w:t>
      </w:r>
    </w:p>
    <w:p w14:paraId="434E5E6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21BDE9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7.8.5 暂停施工后的复工</w:t>
      </w:r>
    </w:p>
    <w:p w14:paraId="2EF1958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58B530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承包人无故拖延和拒绝复工的，承包人承担由此增加的费用和（或）延误的工期；因发包人原因无法按时复工的，按照第7.5.1项〔因发包人原因导致工期延误〕约定办理。</w:t>
      </w:r>
    </w:p>
    <w:p w14:paraId="66EE19D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7.8.6 暂停施工持续56天以上</w:t>
      </w:r>
    </w:p>
    <w:p w14:paraId="430C2DB7">
      <w:pPr>
        <w:spacing w:line="24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1E932D1">
      <w:pPr>
        <w:spacing w:line="24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70E93A1">
      <w:pPr>
        <w:spacing w:line="240" w:lineRule="auto"/>
        <w:ind w:left="16"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7.8.7 暂停施工期间的工程照管</w:t>
      </w:r>
    </w:p>
    <w:p w14:paraId="401B67B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暂停施工期间，承包人应负责妥善照管工程并提供安全保障，由此增加的费用由责任方承担。</w:t>
      </w:r>
    </w:p>
    <w:p w14:paraId="2E2AFAA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7.8.8 暂停施工的措施</w:t>
      </w:r>
    </w:p>
    <w:p w14:paraId="3B5B9A0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暂停施工期间，发包人和承包人均应采取必要的措施确保工程质量及安全，防止因暂停施工扩大损失。</w:t>
      </w:r>
    </w:p>
    <w:p w14:paraId="0AF13C64">
      <w:pPr>
        <w:pStyle w:val="4"/>
        <w:spacing w:before="120" w:after="120" w:line="240" w:lineRule="auto"/>
        <w:ind w:firstLine="480" w:firstLineChars="200"/>
        <w:rPr>
          <w:rFonts w:hint="eastAsia" w:ascii="宋体" w:hAnsi="宋体" w:eastAsia="宋体" w:cs="宋体"/>
          <w:b w:val="0"/>
          <w:color w:val="000000"/>
          <w:sz w:val="24"/>
          <w:szCs w:val="24"/>
        </w:rPr>
      </w:pPr>
      <w:bookmarkStart w:id="186" w:name="_Toc351203551"/>
      <w:r>
        <w:rPr>
          <w:rFonts w:hint="eastAsia" w:ascii="宋体" w:hAnsi="宋体" w:eastAsia="宋体" w:cs="宋体"/>
          <w:b w:val="0"/>
          <w:color w:val="000000"/>
          <w:sz w:val="24"/>
          <w:szCs w:val="24"/>
        </w:rPr>
        <w:t>7.9提前竣工</w:t>
      </w:r>
      <w:bookmarkEnd w:id="186"/>
    </w:p>
    <w:p w14:paraId="599D1E9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57C3C8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7.9.2 发包人要求承包人提前竣工，或承包人提出提前竣工的建议能够给发包人带来效益的，合同当事人可以在专用合同条款中约定提前竣工的奖励。</w:t>
      </w:r>
    </w:p>
    <w:p w14:paraId="6DBA9201">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187" w:name="_Toc351203552"/>
      <w:r>
        <w:rPr>
          <w:rFonts w:hint="eastAsia" w:ascii="宋体" w:hAnsi="宋体" w:eastAsia="宋体" w:cs="宋体"/>
          <w:b w:val="0"/>
          <w:bCs/>
          <w:color w:val="000000"/>
          <w:kern w:val="2"/>
          <w:sz w:val="24"/>
          <w:szCs w:val="24"/>
          <w:lang w:val="en-US" w:eastAsia="zh-CN" w:bidi="ar-SA"/>
        </w:rPr>
        <w:t>8</w:t>
      </w:r>
      <w:bookmarkStart w:id="188" w:name="_Toc296346559"/>
      <w:bookmarkStart w:id="189" w:name="_Toc337558776"/>
      <w:bookmarkStart w:id="190" w:name="_Toc296503058"/>
      <w:r>
        <w:rPr>
          <w:rFonts w:hint="eastAsia" w:ascii="宋体" w:hAnsi="宋体" w:eastAsia="宋体" w:cs="宋体"/>
          <w:b w:val="0"/>
          <w:bCs/>
          <w:color w:val="000000"/>
          <w:kern w:val="2"/>
          <w:sz w:val="24"/>
          <w:szCs w:val="24"/>
          <w:lang w:val="en-US" w:eastAsia="zh-CN" w:bidi="ar-SA"/>
        </w:rPr>
        <w:t>. 材料与设备</w:t>
      </w:r>
      <w:bookmarkEnd w:id="187"/>
    </w:p>
    <w:bookmarkEnd w:id="188"/>
    <w:bookmarkEnd w:id="189"/>
    <w:bookmarkEnd w:id="190"/>
    <w:p w14:paraId="37315148">
      <w:pPr>
        <w:pStyle w:val="4"/>
        <w:spacing w:before="120" w:after="120" w:line="240" w:lineRule="auto"/>
        <w:ind w:firstLine="480" w:firstLineChars="200"/>
        <w:rPr>
          <w:rFonts w:hint="eastAsia" w:ascii="宋体" w:hAnsi="宋体" w:eastAsia="宋体" w:cs="宋体"/>
          <w:b w:val="0"/>
          <w:color w:val="000000"/>
          <w:sz w:val="24"/>
          <w:szCs w:val="24"/>
        </w:rPr>
      </w:pPr>
      <w:bookmarkStart w:id="191" w:name="_Toc351203553"/>
      <w:r>
        <w:rPr>
          <w:rFonts w:hint="eastAsia" w:ascii="宋体" w:hAnsi="宋体" w:eastAsia="宋体" w:cs="宋体"/>
          <w:b w:val="0"/>
          <w:color w:val="000000"/>
          <w:sz w:val="24"/>
          <w:szCs w:val="24"/>
        </w:rPr>
        <w:t>8</w:t>
      </w:r>
      <w:bookmarkStart w:id="192" w:name="_Toc296503059"/>
      <w:bookmarkStart w:id="193" w:name="_Toc337558777"/>
      <w:bookmarkStart w:id="194" w:name="_Toc296346560"/>
      <w:bookmarkStart w:id="195" w:name="_Toc468936960"/>
      <w:r>
        <w:rPr>
          <w:rFonts w:hint="eastAsia" w:ascii="宋体" w:hAnsi="宋体" w:eastAsia="宋体" w:cs="宋体"/>
          <w:b w:val="0"/>
          <w:color w:val="000000"/>
          <w:sz w:val="24"/>
          <w:szCs w:val="24"/>
        </w:rPr>
        <w:t>.1发包人供应材料与工程设备</w:t>
      </w:r>
      <w:bookmarkEnd w:id="191"/>
    </w:p>
    <w:bookmarkEnd w:id="192"/>
    <w:bookmarkEnd w:id="193"/>
    <w:bookmarkEnd w:id="194"/>
    <w:p w14:paraId="79FA8F3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34F3827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4F100007">
      <w:pPr>
        <w:pStyle w:val="4"/>
        <w:spacing w:before="120" w:after="120" w:line="240" w:lineRule="auto"/>
        <w:ind w:firstLine="480" w:firstLineChars="200"/>
        <w:rPr>
          <w:rFonts w:hint="eastAsia" w:ascii="宋体" w:hAnsi="宋体" w:eastAsia="宋体" w:cs="宋体"/>
          <w:color w:val="000000"/>
          <w:sz w:val="24"/>
          <w:szCs w:val="24"/>
        </w:rPr>
      </w:pPr>
      <w:bookmarkStart w:id="196" w:name="_Toc351203554"/>
      <w:r>
        <w:rPr>
          <w:rFonts w:hint="eastAsia" w:ascii="宋体" w:hAnsi="宋体" w:eastAsia="宋体" w:cs="宋体"/>
          <w:b w:val="0"/>
          <w:color w:val="000000"/>
          <w:sz w:val="24"/>
          <w:szCs w:val="24"/>
        </w:rPr>
        <w:t>8</w:t>
      </w:r>
      <w:bookmarkStart w:id="197" w:name="_Toc296346561"/>
      <w:bookmarkStart w:id="198" w:name="_Toc296503060"/>
      <w:bookmarkStart w:id="199" w:name="_Toc337558778"/>
      <w:r>
        <w:rPr>
          <w:rFonts w:hint="eastAsia" w:ascii="宋体" w:hAnsi="宋体" w:eastAsia="宋体" w:cs="宋体"/>
          <w:b w:val="0"/>
          <w:color w:val="000000"/>
          <w:sz w:val="24"/>
          <w:szCs w:val="24"/>
        </w:rPr>
        <w:t>.2承包人采购材料与工程设备</w:t>
      </w:r>
      <w:bookmarkEnd w:id="196"/>
    </w:p>
    <w:bookmarkEnd w:id="197"/>
    <w:bookmarkEnd w:id="198"/>
    <w:bookmarkEnd w:id="199"/>
    <w:p w14:paraId="33B9F86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80589DD">
      <w:pPr>
        <w:pStyle w:val="4"/>
        <w:spacing w:before="120" w:after="120" w:line="240" w:lineRule="auto"/>
        <w:ind w:firstLine="480" w:firstLineChars="200"/>
        <w:rPr>
          <w:rFonts w:hint="eastAsia" w:ascii="宋体" w:hAnsi="宋体" w:eastAsia="宋体" w:cs="宋体"/>
          <w:b w:val="0"/>
          <w:color w:val="000000"/>
          <w:sz w:val="24"/>
          <w:szCs w:val="24"/>
        </w:rPr>
      </w:pPr>
      <w:bookmarkStart w:id="200" w:name="_Toc351203555"/>
      <w:r>
        <w:rPr>
          <w:rFonts w:hint="eastAsia" w:ascii="宋体" w:hAnsi="宋体" w:eastAsia="宋体" w:cs="宋体"/>
          <w:b w:val="0"/>
          <w:color w:val="000000"/>
          <w:sz w:val="24"/>
          <w:szCs w:val="24"/>
        </w:rPr>
        <w:t>8</w:t>
      </w:r>
      <w:bookmarkStart w:id="201" w:name="_Toc296346562"/>
      <w:bookmarkStart w:id="202" w:name="_Toc296503061"/>
      <w:bookmarkStart w:id="203" w:name="_Toc337558779"/>
      <w:r>
        <w:rPr>
          <w:rFonts w:hint="eastAsia" w:ascii="宋体" w:hAnsi="宋体" w:eastAsia="宋体" w:cs="宋体"/>
          <w:b w:val="0"/>
          <w:color w:val="000000"/>
          <w:sz w:val="24"/>
          <w:szCs w:val="24"/>
        </w:rPr>
        <w:t>.3材料与工程设备的接收与拒收</w:t>
      </w:r>
      <w:bookmarkEnd w:id="200"/>
    </w:p>
    <w:bookmarkEnd w:id="201"/>
    <w:bookmarkEnd w:id="202"/>
    <w:bookmarkEnd w:id="203"/>
    <w:p w14:paraId="5C4DB06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0031A5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发包人提供的材料和工程设备的规格、数量或质量不符合合同约定的，或因发包人原因导致交货日期延误或交货地点变更等情况的，按照第16.1款〔发包人违约〕约定办理。</w:t>
      </w:r>
    </w:p>
    <w:p w14:paraId="74D3714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8.3.2 承包人采购的材料和工程设备，应保证产品质量合格，承包人应在材料和工程设备到货前24小时通知监理人检验。承</w:t>
      </w:r>
      <w:bookmarkStart w:id="204" w:name="_Toc250655469"/>
      <w:r>
        <w:rPr>
          <w:rFonts w:hint="eastAsia" w:ascii="宋体" w:hAnsi="宋体" w:eastAsia="宋体" w:cs="宋体"/>
          <w:color w:val="000000"/>
          <w:kern w:val="0"/>
          <w:sz w:val="24"/>
          <w:szCs w:val="24"/>
        </w:rPr>
        <w:t>包人进行永久设备、材料的制造和生产的，应符合相关质量标准，并向监理人提交材料的样本以及有关资料，并应在使用该材料或工程设备之前获得监理人同意。</w:t>
      </w:r>
    </w:p>
    <w:bookmarkEnd w:id="204"/>
    <w:p w14:paraId="6CE79260">
      <w:pPr>
        <w:autoSpaceDE w:val="0"/>
        <w:autoSpaceDN w:val="0"/>
        <w:adjustRightInd w:val="0"/>
        <w:spacing w:line="24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58A984E">
      <w:pPr>
        <w:pStyle w:val="4"/>
        <w:spacing w:before="120" w:after="120" w:line="240" w:lineRule="auto"/>
        <w:ind w:firstLine="480" w:firstLineChars="200"/>
        <w:rPr>
          <w:rFonts w:hint="eastAsia" w:ascii="宋体" w:hAnsi="宋体" w:eastAsia="宋体" w:cs="宋体"/>
          <w:b w:val="0"/>
          <w:color w:val="000000"/>
          <w:sz w:val="24"/>
          <w:szCs w:val="24"/>
        </w:rPr>
      </w:pPr>
      <w:bookmarkStart w:id="205" w:name="_Toc351203556"/>
      <w:r>
        <w:rPr>
          <w:rFonts w:hint="eastAsia" w:ascii="宋体" w:hAnsi="宋体" w:eastAsia="宋体" w:cs="宋体"/>
          <w:b w:val="0"/>
          <w:color w:val="000000"/>
          <w:sz w:val="24"/>
          <w:szCs w:val="24"/>
        </w:rPr>
        <w:t>8</w:t>
      </w:r>
      <w:bookmarkStart w:id="206" w:name="_Toc296346563"/>
      <w:bookmarkStart w:id="207" w:name="_Toc337558780"/>
      <w:bookmarkStart w:id="208" w:name="_Toc296503062"/>
      <w:r>
        <w:rPr>
          <w:rFonts w:hint="eastAsia" w:ascii="宋体" w:hAnsi="宋体" w:eastAsia="宋体" w:cs="宋体"/>
          <w:b w:val="0"/>
          <w:color w:val="000000"/>
          <w:sz w:val="24"/>
          <w:szCs w:val="24"/>
        </w:rPr>
        <w:t>.4材料与工程设备的保管与使用</w:t>
      </w:r>
      <w:bookmarkEnd w:id="205"/>
    </w:p>
    <w:bookmarkEnd w:id="206"/>
    <w:bookmarkEnd w:id="207"/>
    <w:bookmarkEnd w:id="208"/>
    <w:p w14:paraId="5B3EE79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8.4.1 发包人供应</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60E615F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3C384E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发包人供应的材料和工程设备使用前，由承包人负责检验，检验费用由发包人承担，不合格的不得使用。</w:t>
      </w:r>
    </w:p>
    <w:p w14:paraId="418EE54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8.4.2 承包人采购</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1EB2037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8979D4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2F4A70DB">
      <w:pPr>
        <w:pStyle w:val="4"/>
        <w:spacing w:before="120" w:after="120" w:line="240" w:lineRule="auto"/>
        <w:ind w:firstLine="480" w:firstLineChars="200"/>
        <w:rPr>
          <w:rFonts w:hint="eastAsia" w:ascii="宋体" w:hAnsi="宋体" w:eastAsia="宋体" w:cs="宋体"/>
          <w:b w:val="0"/>
          <w:color w:val="000000"/>
          <w:sz w:val="24"/>
          <w:szCs w:val="24"/>
        </w:rPr>
      </w:pPr>
      <w:bookmarkStart w:id="209" w:name="_Toc351203557"/>
      <w:r>
        <w:rPr>
          <w:rFonts w:hint="eastAsia" w:ascii="宋体" w:hAnsi="宋体" w:eastAsia="宋体" w:cs="宋体"/>
          <w:b w:val="0"/>
          <w:color w:val="000000"/>
          <w:sz w:val="24"/>
          <w:szCs w:val="24"/>
        </w:rPr>
        <w:t>8.5禁止使用不合格的材料和工程设备</w:t>
      </w:r>
      <w:bookmarkEnd w:id="209"/>
    </w:p>
    <w:p w14:paraId="46709BC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8.5.1 监理人有权拒绝承包人提供的不合格材料或工程设备，并要求承包人立即进行更换。监理人应在更换后再次进行检查和检验，由此增加的费用和（或）延误的工期由承包人承担。</w:t>
      </w:r>
    </w:p>
    <w:p w14:paraId="35EE936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8.5.2 监理人发现承包人使用了不合格的材料和工程设备，承包人应按照监理人的指示立即改正，并禁止在工程中继续使用不合格的材料和工程设备。</w:t>
      </w:r>
    </w:p>
    <w:p w14:paraId="2D57B24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8.5.3 发包人提供的材料或工程设备不符合合同要求的，承包人有权拒绝，并可要求发包人更换，由此增加的费用和（或）延误的工期由发包人承担，并支付承包人合理的利润。</w:t>
      </w:r>
    </w:p>
    <w:p w14:paraId="477A91AD">
      <w:pPr>
        <w:pStyle w:val="4"/>
        <w:spacing w:before="120" w:after="120" w:line="240" w:lineRule="auto"/>
        <w:ind w:firstLine="480" w:firstLineChars="200"/>
        <w:rPr>
          <w:rFonts w:hint="eastAsia" w:ascii="宋体" w:hAnsi="宋体" w:eastAsia="宋体" w:cs="宋体"/>
          <w:b w:val="0"/>
          <w:color w:val="000000"/>
          <w:sz w:val="24"/>
          <w:szCs w:val="24"/>
        </w:rPr>
      </w:pPr>
      <w:bookmarkStart w:id="210" w:name="_Toc351203558"/>
      <w:r>
        <w:rPr>
          <w:rFonts w:hint="eastAsia" w:ascii="宋体" w:hAnsi="宋体" w:eastAsia="宋体" w:cs="宋体"/>
          <w:b w:val="0"/>
          <w:color w:val="000000"/>
          <w:sz w:val="24"/>
          <w:szCs w:val="24"/>
        </w:rPr>
        <w:t>8.6 样品</w:t>
      </w:r>
      <w:bookmarkEnd w:id="210"/>
    </w:p>
    <w:p w14:paraId="27EC354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1E3D6CF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需要承包人报送样品的材料或工程设备，样品的种类、名称、规格、数量等要求均应在专用合同条款中约定。样品的报送程序如下：</w:t>
      </w:r>
    </w:p>
    <w:p w14:paraId="6249685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5D541F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D3B2A6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（3）经发包人和监理人审批确认的样品应按约定的方法封样，封存的样品作为检验工程相关部分的标准之一。承包人在施工过程中不得使用与样品不符的材料或工程设备。</w:t>
      </w:r>
    </w:p>
    <w:p w14:paraId="6E6FE82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12BDAD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8.6.2 样品的保管</w:t>
      </w:r>
    </w:p>
    <w:p w14:paraId="6B1CA4A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经批准的样品应由监理人负责封存于现场，承包人应在现场为保存样品提供适当和固定的场所并保持适当和良好的存储环境条件。</w:t>
      </w:r>
    </w:p>
    <w:p w14:paraId="017CBD79">
      <w:pPr>
        <w:pStyle w:val="4"/>
        <w:spacing w:before="120" w:after="120" w:line="240" w:lineRule="auto"/>
        <w:ind w:firstLine="480" w:firstLineChars="200"/>
        <w:rPr>
          <w:rFonts w:hint="eastAsia" w:ascii="宋体" w:hAnsi="宋体" w:eastAsia="宋体" w:cs="宋体"/>
          <w:b w:val="0"/>
          <w:color w:val="000000"/>
          <w:sz w:val="24"/>
          <w:szCs w:val="24"/>
        </w:rPr>
      </w:pPr>
      <w:bookmarkStart w:id="211" w:name="_Toc351203559"/>
      <w:r>
        <w:rPr>
          <w:rFonts w:hint="eastAsia" w:ascii="宋体" w:hAnsi="宋体" w:eastAsia="宋体" w:cs="宋体"/>
          <w:b w:val="0"/>
          <w:color w:val="000000"/>
          <w:sz w:val="24"/>
          <w:szCs w:val="24"/>
        </w:rPr>
        <w:t>8.7材料与工程设备的替代</w:t>
      </w:r>
      <w:bookmarkEnd w:id="211"/>
    </w:p>
    <w:p w14:paraId="047FEFB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8.7.1 出现下列情况需要使用替代材料和工程设备的，承包人应按照第8.7.2项约定的程序执行：</w:t>
      </w:r>
    </w:p>
    <w:p w14:paraId="4542BD7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（1）基准日期后生效的法律规定禁止使用的；</w:t>
      </w:r>
    </w:p>
    <w:p w14:paraId="4438C02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（2）发包人要求使用替代品的；</w:t>
      </w:r>
    </w:p>
    <w:p w14:paraId="0309A7D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（3）因其他原因必须使用替代品的。</w:t>
      </w:r>
    </w:p>
    <w:p w14:paraId="77569B6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8.7.2 承包人应在使用替代材料和工程设备28天前书面通知监理人，并附下列文件：</w:t>
      </w:r>
    </w:p>
    <w:p w14:paraId="3291E11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（1）被替代的材料和工程设备的名称、数量、规格、型号、品牌、性能、价格及其他相关资料；</w:t>
      </w:r>
    </w:p>
    <w:p w14:paraId="7AC58D2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（2）替代品的名称、数量、规格、型号、品牌、性能、价格及其他相关资料；</w:t>
      </w:r>
    </w:p>
    <w:p w14:paraId="1DB1413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（3）替代品与被替代产品之间的差异以及使用替代品可能对工程产生的影响；</w:t>
      </w:r>
    </w:p>
    <w:p w14:paraId="6996EF9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（4）替代品与被替代产品的价格差异；</w:t>
      </w:r>
    </w:p>
    <w:p w14:paraId="474AFE2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（5）使用替代品的理由和原因说明；</w:t>
      </w:r>
    </w:p>
    <w:p w14:paraId="152007A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（6）监理人要求的其他文件。</w:t>
      </w:r>
    </w:p>
    <w:p w14:paraId="1FD28AB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监理人应在收到通知后14天内向承包人发出经发包人签认的书面指示；监理人逾期发出书面指示的，视为发包人和监理人同意使用替代品。</w:t>
      </w:r>
    </w:p>
    <w:p w14:paraId="06211E5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C9E3ACF">
      <w:pPr>
        <w:pStyle w:val="4"/>
        <w:spacing w:before="120" w:after="120" w:line="240" w:lineRule="auto"/>
        <w:ind w:firstLine="480" w:firstLineChars="200"/>
        <w:rPr>
          <w:rFonts w:hint="eastAsia" w:ascii="宋体" w:hAnsi="宋体" w:eastAsia="宋体" w:cs="宋体"/>
          <w:b w:val="0"/>
          <w:color w:val="000000"/>
          <w:sz w:val="24"/>
          <w:szCs w:val="24"/>
        </w:rPr>
      </w:pPr>
      <w:bookmarkStart w:id="212" w:name="_Toc351203560"/>
      <w:r>
        <w:rPr>
          <w:rFonts w:hint="eastAsia" w:ascii="宋体" w:hAnsi="宋体" w:eastAsia="宋体" w:cs="宋体"/>
          <w:b w:val="0"/>
          <w:color w:val="000000"/>
          <w:sz w:val="24"/>
          <w:szCs w:val="24"/>
        </w:rPr>
        <w:t>8.8施工设备和临时设施</w:t>
      </w:r>
      <w:bookmarkEnd w:id="212"/>
    </w:p>
    <w:p w14:paraId="41FF99F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8.8.1 承包人提供的施工设备和临时设施</w:t>
      </w:r>
    </w:p>
    <w:p w14:paraId="0C8543C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18BD00F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除专用合同条款另有约定外，承包人应自行承担修建临时设施的费用，需要临时占地的，应由发包人办理申请手续并承担相应费用。</w:t>
      </w:r>
    </w:p>
    <w:p w14:paraId="04C241B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8.8.2发包人提供的施工设备和临时设施</w:t>
      </w:r>
    </w:p>
    <w:p w14:paraId="438454C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发包人提供的施工设备或临时设施在专用合同条款中约定。</w:t>
      </w:r>
    </w:p>
    <w:p w14:paraId="3B979F7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8.8.3要求承包人增加或更换施工设备</w:t>
      </w:r>
    </w:p>
    <w:p w14:paraId="012355A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36087F1D">
      <w:pPr>
        <w:pStyle w:val="4"/>
        <w:spacing w:before="120" w:after="120" w:line="240" w:lineRule="auto"/>
        <w:ind w:firstLine="480" w:firstLineChars="200"/>
        <w:rPr>
          <w:rFonts w:hint="eastAsia" w:ascii="宋体" w:hAnsi="宋体" w:eastAsia="宋体" w:cs="宋体"/>
          <w:b w:val="0"/>
          <w:color w:val="000000"/>
          <w:sz w:val="24"/>
          <w:szCs w:val="24"/>
        </w:rPr>
      </w:pPr>
      <w:bookmarkStart w:id="213" w:name="_Toc351203561"/>
      <w:r>
        <w:rPr>
          <w:rFonts w:hint="eastAsia" w:ascii="宋体" w:hAnsi="宋体" w:eastAsia="宋体" w:cs="宋体"/>
          <w:b w:val="0"/>
          <w:color w:val="000000"/>
          <w:sz w:val="24"/>
          <w:szCs w:val="24"/>
        </w:rPr>
        <w:t>8</w:t>
      </w:r>
      <w:bookmarkStart w:id="214" w:name="_Toc296503063"/>
      <w:bookmarkStart w:id="215" w:name="_Toc296346564"/>
      <w:bookmarkStart w:id="216" w:name="_Toc337558781"/>
      <w:r>
        <w:rPr>
          <w:rFonts w:hint="eastAsia" w:ascii="宋体" w:hAnsi="宋体" w:eastAsia="宋体" w:cs="宋体"/>
          <w:b w:val="0"/>
          <w:color w:val="000000"/>
          <w:sz w:val="24"/>
          <w:szCs w:val="24"/>
        </w:rPr>
        <w:t>.9材料与设备专用</w:t>
      </w:r>
      <w:bookmarkEnd w:id="213"/>
      <w:r>
        <w:rPr>
          <w:rFonts w:hint="eastAsia" w:ascii="宋体" w:hAnsi="宋体" w:eastAsia="宋体" w:cs="宋体"/>
          <w:b w:val="0"/>
          <w:color w:val="000000"/>
          <w:sz w:val="24"/>
          <w:szCs w:val="24"/>
        </w:rPr>
        <w:t>要求</w:t>
      </w:r>
    </w:p>
    <w:bookmarkEnd w:id="214"/>
    <w:bookmarkEnd w:id="215"/>
    <w:bookmarkEnd w:id="216"/>
    <w:p w14:paraId="13ADC12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195"/>
      <w:r>
        <w:rPr>
          <w:rFonts w:hint="eastAsia" w:ascii="宋体" w:hAnsi="宋体" w:eastAsia="宋体" w:cs="宋体"/>
          <w:color w:val="000000"/>
          <w:kern w:val="0"/>
          <w:sz w:val="24"/>
          <w:szCs w:val="24"/>
        </w:rPr>
        <w:t>经发包人批准，承包人可以根据施工进度计划撤走闲置的施工设备和其他物品。</w:t>
      </w:r>
    </w:p>
    <w:p w14:paraId="4BCD6713">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217" w:name="_Toc351203562"/>
      <w:r>
        <w:rPr>
          <w:rFonts w:hint="eastAsia" w:ascii="宋体" w:hAnsi="宋体" w:eastAsia="宋体" w:cs="宋体"/>
          <w:b w:val="0"/>
          <w:bCs/>
          <w:color w:val="000000"/>
          <w:kern w:val="2"/>
          <w:sz w:val="24"/>
          <w:szCs w:val="24"/>
          <w:lang w:val="en-US" w:eastAsia="zh-CN" w:bidi="ar-SA"/>
        </w:rPr>
        <w:t>9</w:t>
      </w:r>
      <w:bookmarkStart w:id="218" w:name="_Toc337558782"/>
      <w:bookmarkStart w:id="219" w:name="_Toc296346584"/>
      <w:bookmarkStart w:id="220" w:name="_Toc296503083"/>
      <w:r>
        <w:rPr>
          <w:rFonts w:hint="eastAsia" w:ascii="宋体" w:hAnsi="宋体" w:eastAsia="宋体" w:cs="宋体"/>
          <w:b w:val="0"/>
          <w:bCs/>
          <w:color w:val="000000"/>
          <w:kern w:val="2"/>
          <w:sz w:val="24"/>
          <w:szCs w:val="24"/>
          <w:lang w:val="en-US" w:eastAsia="zh-CN" w:bidi="ar-SA"/>
        </w:rPr>
        <w:t>. 试验与检验</w:t>
      </w:r>
      <w:bookmarkEnd w:id="217"/>
    </w:p>
    <w:bookmarkEnd w:id="218"/>
    <w:p w14:paraId="6E7010C9">
      <w:pPr>
        <w:pStyle w:val="4"/>
        <w:spacing w:before="120" w:after="120" w:line="240" w:lineRule="auto"/>
        <w:ind w:firstLine="480" w:firstLineChars="200"/>
        <w:rPr>
          <w:rFonts w:hint="eastAsia" w:ascii="宋体" w:hAnsi="宋体" w:eastAsia="宋体" w:cs="宋体"/>
          <w:b w:val="0"/>
          <w:color w:val="000000"/>
          <w:sz w:val="24"/>
          <w:szCs w:val="24"/>
        </w:rPr>
      </w:pPr>
      <w:bookmarkStart w:id="221" w:name="_Toc351203563"/>
      <w:r>
        <w:rPr>
          <w:rFonts w:hint="eastAsia" w:ascii="宋体" w:hAnsi="宋体" w:eastAsia="宋体" w:cs="宋体"/>
          <w:b w:val="0"/>
          <w:color w:val="000000"/>
          <w:sz w:val="24"/>
          <w:szCs w:val="24"/>
        </w:rPr>
        <w:t>9</w:t>
      </w:r>
      <w:bookmarkStart w:id="222" w:name="_Toc337558783"/>
      <w:r>
        <w:rPr>
          <w:rFonts w:hint="eastAsia" w:ascii="宋体" w:hAnsi="宋体" w:eastAsia="宋体" w:cs="宋体"/>
          <w:b w:val="0"/>
          <w:color w:val="000000"/>
          <w:sz w:val="24"/>
          <w:szCs w:val="24"/>
        </w:rPr>
        <w:t>.1试验设备与试验人员</w:t>
      </w:r>
      <w:bookmarkEnd w:id="221"/>
    </w:p>
    <w:bookmarkEnd w:id="222"/>
    <w:p w14:paraId="4C032DE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AFE84B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9.1.2 承包人应按专用合同条款的约定提供试验设备、取样装置、试验场所和试验条件，并向监理人提交相应进场计划表。</w:t>
      </w:r>
    </w:p>
    <w:p w14:paraId="109F4C7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承包人配置的试验设备要符合相应试验规程的要求并经过具有资质的检测单位检测，且在正式使用该试验设备前，需要经过监理人与承包人共同校定。</w:t>
      </w:r>
    </w:p>
    <w:p w14:paraId="7EDF4DC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9.1.3 承包人应向监理人提交试验人员的名单及其岗位、资格等证明资料，试验人员必须能够熟练进行相应的检测试验，承包人对试验人员的试验程序和试验结果的正确性负责。</w:t>
      </w:r>
    </w:p>
    <w:p w14:paraId="4D25BC40">
      <w:pPr>
        <w:pStyle w:val="4"/>
        <w:spacing w:before="120" w:after="120" w:line="240" w:lineRule="auto"/>
        <w:ind w:firstLine="480" w:firstLineChars="200"/>
        <w:rPr>
          <w:rFonts w:hint="eastAsia" w:ascii="宋体" w:hAnsi="宋体" w:eastAsia="宋体" w:cs="宋体"/>
          <w:b w:val="0"/>
          <w:color w:val="000000"/>
          <w:sz w:val="24"/>
          <w:szCs w:val="24"/>
        </w:rPr>
      </w:pPr>
      <w:bookmarkStart w:id="223" w:name="_Toc351203564"/>
      <w:r>
        <w:rPr>
          <w:rFonts w:hint="eastAsia" w:ascii="宋体" w:hAnsi="宋体" w:eastAsia="宋体" w:cs="宋体"/>
          <w:b w:val="0"/>
          <w:color w:val="000000"/>
          <w:sz w:val="24"/>
          <w:szCs w:val="24"/>
        </w:rPr>
        <w:t>9</w:t>
      </w:r>
      <w:bookmarkStart w:id="224" w:name="_Toc337558784"/>
      <w:r>
        <w:rPr>
          <w:rFonts w:hint="eastAsia" w:ascii="宋体" w:hAnsi="宋体" w:eastAsia="宋体" w:cs="宋体"/>
          <w:b w:val="0"/>
          <w:color w:val="000000"/>
          <w:sz w:val="24"/>
          <w:szCs w:val="24"/>
        </w:rPr>
        <w:t>.2取样</w:t>
      </w:r>
      <w:bookmarkEnd w:id="223"/>
    </w:p>
    <w:bookmarkEnd w:id="224"/>
    <w:p w14:paraId="6B119BA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试验属于自检性质的，承包人可以单独取样。试验属于监理人抽检性质的，可由监理人取样，也可由承包人的试验人员在监理人的监督下取样。</w:t>
      </w:r>
    </w:p>
    <w:p w14:paraId="4716A09F">
      <w:pPr>
        <w:pStyle w:val="4"/>
        <w:spacing w:before="120" w:after="120" w:line="240" w:lineRule="auto"/>
        <w:ind w:firstLine="480" w:firstLineChars="200"/>
        <w:rPr>
          <w:rFonts w:hint="eastAsia" w:ascii="宋体" w:hAnsi="宋体" w:eastAsia="宋体" w:cs="宋体"/>
          <w:b w:val="0"/>
          <w:color w:val="000000"/>
          <w:sz w:val="24"/>
          <w:szCs w:val="24"/>
        </w:rPr>
      </w:pPr>
      <w:bookmarkStart w:id="225" w:name="_Toc351203565"/>
      <w:r>
        <w:rPr>
          <w:rFonts w:hint="eastAsia" w:ascii="宋体" w:hAnsi="宋体" w:eastAsia="宋体" w:cs="宋体"/>
          <w:b w:val="0"/>
          <w:color w:val="000000"/>
          <w:sz w:val="24"/>
          <w:szCs w:val="24"/>
        </w:rPr>
        <w:t>9</w:t>
      </w:r>
      <w:bookmarkStart w:id="226" w:name="_Toc337558785"/>
      <w:r>
        <w:rPr>
          <w:rFonts w:hint="eastAsia" w:ascii="宋体" w:hAnsi="宋体" w:eastAsia="宋体" w:cs="宋体"/>
          <w:b w:val="0"/>
          <w:color w:val="000000"/>
          <w:sz w:val="24"/>
          <w:szCs w:val="24"/>
        </w:rPr>
        <w:t>.3材料、工程设备和工程的试验和检验</w:t>
      </w:r>
      <w:bookmarkEnd w:id="225"/>
    </w:p>
    <w:bookmarkEnd w:id="226"/>
    <w:p w14:paraId="71FEB84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9C751E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D45A59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D3D970A">
      <w:pPr>
        <w:pStyle w:val="4"/>
        <w:spacing w:before="120" w:after="120" w:line="240" w:lineRule="auto"/>
        <w:ind w:firstLine="480" w:firstLineChars="200"/>
        <w:rPr>
          <w:rFonts w:hint="eastAsia" w:ascii="宋体" w:hAnsi="宋体" w:eastAsia="宋体" w:cs="宋体"/>
          <w:b w:val="0"/>
          <w:color w:val="000000"/>
          <w:sz w:val="24"/>
          <w:szCs w:val="24"/>
        </w:rPr>
      </w:pPr>
      <w:bookmarkStart w:id="227" w:name="_Toc351203566"/>
      <w:r>
        <w:rPr>
          <w:rFonts w:hint="eastAsia" w:ascii="宋体" w:hAnsi="宋体" w:eastAsia="宋体" w:cs="宋体"/>
          <w:b w:val="0"/>
          <w:color w:val="000000"/>
          <w:sz w:val="24"/>
          <w:szCs w:val="24"/>
        </w:rPr>
        <w:t>9</w:t>
      </w:r>
      <w:bookmarkStart w:id="228" w:name="_Toc337558786"/>
      <w:r>
        <w:rPr>
          <w:rFonts w:hint="eastAsia" w:ascii="宋体" w:hAnsi="宋体" w:eastAsia="宋体" w:cs="宋体"/>
          <w:b w:val="0"/>
          <w:color w:val="000000"/>
          <w:sz w:val="24"/>
          <w:szCs w:val="24"/>
        </w:rPr>
        <w:t>.4现场工艺试验</w:t>
      </w:r>
      <w:bookmarkEnd w:id="227"/>
    </w:p>
    <w:bookmarkEnd w:id="228"/>
    <w:p w14:paraId="431B58C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52C07865">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229" w:name="_Toc351203567"/>
      <w:r>
        <w:rPr>
          <w:rFonts w:hint="eastAsia" w:ascii="宋体" w:hAnsi="宋体" w:eastAsia="宋体" w:cs="宋体"/>
          <w:b w:val="0"/>
          <w:bCs/>
          <w:color w:val="000000"/>
          <w:kern w:val="2"/>
          <w:sz w:val="24"/>
          <w:szCs w:val="24"/>
          <w:lang w:val="en-US" w:eastAsia="zh-CN" w:bidi="ar-SA"/>
        </w:rPr>
        <w:t>1</w:t>
      </w:r>
      <w:bookmarkStart w:id="230" w:name="_Toc337558787"/>
      <w:r>
        <w:rPr>
          <w:rFonts w:hint="eastAsia" w:ascii="宋体" w:hAnsi="宋体" w:eastAsia="宋体" w:cs="宋体"/>
          <w:b w:val="0"/>
          <w:bCs/>
          <w:color w:val="000000"/>
          <w:kern w:val="2"/>
          <w:sz w:val="24"/>
          <w:szCs w:val="24"/>
          <w:lang w:val="en-US" w:eastAsia="zh-CN" w:bidi="ar-SA"/>
        </w:rPr>
        <w:t>0. 变更</w:t>
      </w:r>
      <w:bookmarkEnd w:id="219"/>
      <w:bookmarkEnd w:id="220"/>
      <w:bookmarkEnd w:id="229"/>
    </w:p>
    <w:bookmarkEnd w:id="230"/>
    <w:p w14:paraId="6F7C66EB">
      <w:pPr>
        <w:pStyle w:val="4"/>
        <w:spacing w:before="120" w:after="120" w:line="240" w:lineRule="auto"/>
        <w:ind w:firstLine="480" w:firstLineChars="200"/>
        <w:rPr>
          <w:rFonts w:hint="eastAsia" w:ascii="宋体" w:hAnsi="宋体" w:eastAsia="宋体" w:cs="宋体"/>
          <w:b w:val="0"/>
          <w:color w:val="000000"/>
          <w:sz w:val="24"/>
          <w:szCs w:val="24"/>
        </w:rPr>
      </w:pPr>
      <w:bookmarkStart w:id="231" w:name="_Toc351203568"/>
      <w:r>
        <w:rPr>
          <w:rFonts w:hint="eastAsia" w:ascii="宋体" w:hAnsi="宋体" w:eastAsia="宋体" w:cs="宋体"/>
          <w:b w:val="0"/>
          <w:color w:val="000000"/>
          <w:sz w:val="24"/>
          <w:szCs w:val="24"/>
        </w:rPr>
        <w:t>1</w:t>
      </w:r>
      <w:bookmarkStart w:id="232" w:name="_Toc296346585"/>
      <w:bookmarkStart w:id="233" w:name="_Toc337558788"/>
      <w:bookmarkStart w:id="234" w:name="_Toc296503084"/>
      <w:r>
        <w:rPr>
          <w:rFonts w:hint="eastAsia" w:ascii="宋体" w:hAnsi="宋体" w:eastAsia="宋体" w:cs="宋体"/>
          <w:b w:val="0"/>
          <w:color w:val="000000"/>
          <w:sz w:val="24"/>
          <w:szCs w:val="24"/>
        </w:rPr>
        <w:t>0.1变更的范围</w:t>
      </w:r>
      <w:bookmarkEnd w:id="231"/>
    </w:p>
    <w:bookmarkEnd w:id="232"/>
    <w:bookmarkEnd w:id="233"/>
    <w:bookmarkEnd w:id="234"/>
    <w:p w14:paraId="331BCC4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除专用合同条款另有约定外，合同履行过程中发生以下情形的，应按照本条约定进行变更：</w:t>
      </w:r>
    </w:p>
    <w:p w14:paraId="025A0E2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（1）增加或减少合同中任何工作，或追加额外的工作；</w:t>
      </w:r>
    </w:p>
    <w:p w14:paraId="62C36E9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（2）取消合同中任何工作，但转由他人实施的工作除外；</w:t>
      </w:r>
    </w:p>
    <w:p w14:paraId="6220998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（3）改变合同中任何工作的质量标准或其他特性；</w:t>
      </w:r>
    </w:p>
    <w:p w14:paraId="599F108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（4）改变工程的基线、标高、位置和尺寸；</w:t>
      </w:r>
    </w:p>
    <w:p w14:paraId="40DE8EB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（5）改变工程的时间安排或实施顺序。</w:t>
      </w:r>
    </w:p>
    <w:p w14:paraId="581DB8A9">
      <w:pPr>
        <w:pStyle w:val="4"/>
        <w:spacing w:before="120" w:after="120" w:line="240" w:lineRule="auto"/>
        <w:ind w:firstLine="480" w:firstLineChars="200"/>
        <w:rPr>
          <w:rFonts w:hint="eastAsia" w:ascii="宋体" w:hAnsi="宋体" w:eastAsia="宋体" w:cs="宋体"/>
          <w:b w:val="0"/>
          <w:color w:val="000000"/>
          <w:sz w:val="24"/>
          <w:szCs w:val="24"/>
        </w:rPr>
      </w:pPr>
      <w:bookmarkStart w:id="235" w:name="_Toc351203569"/>
      <w:r>
        <w:rPr>
          <w:rFonts w:hint="eastAsia" w:ascii="宋体" w:hAnsi="宋体" w:eastAsia="宋体" w:cs="宋体"/>
          <w:b w:val="0"/>
          <w:color w:val="000000"/>
          <w:sz w:val="24"/>
          <w:szCs w:val="24"/>
        </w:rPr>
        <w:t>1</w:t>
      </w:r>
      <w:bookmarkStart w:id="236" w:name="_Toc337558789"/>
      <w:bookmarkStart w:id="237" w:name="_Toc296503085"/>
      <w:bookmarkStart w:id="238" w:name="_Toc296346586"/>
      <w:r>
        <w:rPr>
          <w:rFonts w:hint="eastAsia" w:ascii="宋体" w:hAnsi="宋体" w:eastAsia="宋体" w:cs="宋体"/>
          <w:b w:val="0"/>
          <w:color w:val="000000"/>
          <w:sz w:val="24"/>
          <w:szCs w:val="24"/>
        </w:rPr>
        <w:t>0.2变更权</w:t>
      </w:r>
      <w:bookmarkEnd w:id="235"/>
    </w:p>
    <w:bookmarkEnd w:id="236"/>
    <w:bookmarkEnd w:id="237"/>
    <w:bookmarkEnd w:id="238"/>
    <w:p w14:paraId="6225D42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3BA1DC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涉及设计变更的，应由设计人提供变更后的图纸和说明。如变更超过原设计标准或批准的建设规模时，发包人应及时办理规划、设计变更等审批手续。</w:t>
      </w:r>
    </w:p>
    <w:p w14:paraId="14888EEF">
      <w:pPr>
        <w:pStyle w:val="4"/>
        <w:spacing w:before="120" w:after="120" w:line="240" w:lineRule="auto"/>
        <w:ind w:firstLine="480" w:firstLineChars="200"/>
        <w:rPr>
          <w:rFonts w:hint="eastAsia" w:ascii="宋体" w:hAnsi="宋体" w:eastAsia="宋体" w:cs="宋体"/>
          <w:b w:val="0"/>
          <w:color w:val="000000"/>
          <w:sz w:val="24"/>
          <w:szCs w:val="24"/>
        </w:rPr>
      </w:pPr>
      <w:bookmarkStart w:id="239" w:name="_Toc351203570"/>
      <w:r>
        <w:rPr>
          <w:rFonts w:hint="eastAsia" w:ascii="宋体" w:hAnsi="宋体" w:eastAsia="宋体" w:cs="宋体"/>
          <w:b w:val="0"/>
          <w:color w:val="000000"/>
          <w:sz w:val="24"/>
          <w:szCs w:val="24"/>
        </w:rPr>
        <w:t>1</w:t>
      </w:r>
      <w:bookmarkStart w:id="240" w:name="_Toc296503086"/>
      <w:bookmarkStart w:id="241" w:name="_Toc296346587"/>
      <w:bookmarkStart w:id="242" w:name="_Toc337558790"/>
      <w:r>
        <w:rPr>
          <w:rFonts w:hint="eastAsia" w:ascii="宋体" w:hAnsi="宋体" w:eastAsia="宋体" w:cs="宋体"/>
          <w:b w:val="0"/>
          <w:color w:val="000000"/>
          <w:sz w:val="24"/>
          <w:szCs w:val="24"/>
        </w:rPr>
        <w:t>0.3变更程序</w:t>
      </w:r>
      <w:bookmarkEnd w:id="239"/>
    </w:p>
    <w:bookmarkEnd w:id="240"/>
    <w:bookmarkEnd w:id="241"/>
    <w:bookmarkEnd w:id="242"/>
    <w:p w14:paraId="3BB2F83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.3.1 发包人提出变更</w:t>
      </w:r>
    </w:p>
    <w:p w14:paraId="3167F3C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发包人提出变更的，应通过监理人向承包人发出变更指示，变更指示应说明计划变更的工程范围和变更的内容。</w:t>
      </w:r>
    </w:p>
    <w:p w14:paraId="6D7718F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.3.2 监理人提出变更建议</w:t>
      </w:r>
    </w:p>
    <w:p w14:paraId="15BAF7E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9B1D1BD">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10.3.3 变更执行</w:t>
      </w:r>
    </w:p>
    <w:p w14:paraId="6647694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ED15106">
      <w:pPr>
        <w:pStyle w:val="4"/>
        <w:spacing w:before="120" w:after="120" w:line="240" w:lineRule="auto"/>
        <w:ind w:firstLine="480" w:firstLineChars="200"/>
        <w:rPr>
          <w:rFonts w:hint="eastAsia" w:ascii="宋体" w:hAnsi="宋体" w:eastAsia="宋体" w:cs="宋体"/>
          <w:b w:val="0"/>
          <w:color w:val="000000"/>
          <w:sz w:val="24"/>
          <w:szCs w:val="24"/>
        </w:rPr>
      </w:pPr>
      <w:bookmarkStart w:id="243" w:name="_Toc351203571"/>
      <w:r>
        <w:rPr>
          <w:rFonts w:hint="eastAsia" w:ascii="宋体" w:hAnsi="宋体" w:eastAsia="宋体" w:cs="宋体"/>
          <w:b w:val="0"/>
          <w:color w:val="000000"/>
          <w:sz w:val="24"/>
          <w:szCs w:val="24"/>
        </w:rPr>
        <w:t>1</w:t>
      </w:r>
      <w:bookmarkStart w:id="244" w:name="_Toc296503087"/>
      <w:bookmarkStart w:id="245" w:name="_Toc296346588"/>
      <w:bookmarkStart w:id="246" w:name="_Toc337558791"/>
      <w:r>
        <w:rPr>
          <w:rFonts w:hint="eastAsia" w:ascii="宋体" w:hAnsi="宋体" w:eastAsia="宋体" w:cs="宋体"/>
          <w:b w:val="0"/>
          <w:color w:val="000000"/>
          <w:sz w:val="24"/>
          <w:szCs w:val="24"/>
        </w:rPr>
        <w:t>0.4变更估价</w:t>
      </w:r>
      <w:bookmarkEnd w:id="243"/>
    </w:p>
    <w:bookmarkEnd w:id="244"/>
    <w:bookmarkEnd w:id="245"/>
    <w:bookmarkEnd w:id="246"/>
    <w:p w14:paraId="7889133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10.4.1 变更估价原则</w:t>
      </w:r>
    </w:p>
    <w:p w14:paraId="7EF8801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除专用合同条款另有约定外，变更估价按照本款约定处理：</w:t>
      </w:r>
    </w:p>
    <w:p w14:paraId="6207013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（1）已标价工程量清单或预算书有相同项目的，按照相同项目单价认定；</w:t>
      </w:r>
    </w:p>
    <w:p w14:paraId="5276006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（2）已标价工程量清单或预算书中无相同项目，但有类似项目的，参照类似项目的单价认定；</w:t>
      </w:r>
    </w:p>
    <w:p w14:paraId="03DF8E0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AD6672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10.4.2 变更估价程序</w:t>
      </w:r>
    </w:p>
    <w:p w14:paraId="33C0063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67EA0A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因变更引起的价格调整应计入最近一期的进度款中支付。</w:t>
      </w:r>
    </w:p>
    <w:p w14:paraId="0B7778DA">
      <w:pPr>
        <w:pStyle w:val="4"/>
        <w:spacing w:before="120" w:after="120" w:line="240" w:lineRule="auto"/>
        <w:ind w:firstLine="480" w:firstLineChars="200"/>
        <w:rPr>
          <w:rFonts w:hint="eastAsia" w:ascii="宋体" w:hAnsi="宋体" w:eastAsia="宋体" w:cs="宋体"/>
          <w:b w:val="0"/>
          <w:color w:val="000000"/>
          <w:sz w:val="24"/>
          <w:szCs w:val="24"/>
        </w:rPr>
      </w:pPr>
      <w:bookmarkStart w:id="247" w:name="_Toc351203572"/>
      <w:r>
        <w:rPr>
          <w:rFonts w:hint="eastAsia" w:ascii="宋体" w:hAnsi="宋体" w:eastAsia="宋体" w:cs="宋体"/>
          <w:b w:val="0"/>
          <w:color w:val="000000"/>
          <w:sz w:val="24"/>
          <w:szCs w:val="24"/>
        </w:rPr>
        <w:t>1</w:t>
      </w:r>
      <w:bookmarkStart w:id="248" w:name="_Toc337558792"/>
      <w:bookmarkStart w:id="249" w:name="_Toc296346595"/>
      <w:bookmarkStart w:id="250" w:name="_Toc296503094"/>
      <w:r>
        <w:rPr>
          <w:rFonts w:hint="eastAsia" w:ascii="宋体" w:hAnsi="宋体" w:eastAsia="宋体" w:cs="宋体"/>
          <w:b w:val="0"/>
          <w:color w:val="000000"/>
          <w:sz w:val="24"/>
          <w:szCs w:val="24"/>
        </w:rPr>
        <w:t>0.5承包人的合理化建议</w:t>
      </w:r>
      <w:bookmarkEnd w:id="247"/>
    </w:p>
    <w:bookmarkEnd w:id="248"/>
    <w:bookmarkEnd w:id="249"/>
    <w:bookmarkEnd w:id="250"/>
    <w:p w14:paraId="01CCF2E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承包人提出合理化建议的，应向监理人提交合理化建议说明，说明建议的内容和理由，以及实施该建议对合同价格和工期的影响。</w:t>
      </w:r>
    </w:p>
    <w:p w14:paraId="08BBA81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DFC004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合理化建议降低了合同价格或者提高了工程经济效益的，发包人可对承包人给予奖励，奖励的方法和金额在专用合同条款中约定。</w:t>
      </w:r>
    </w:p>
    <w:p w14:paraId="2785B3C8">
      <w:pPr>
        <w:pStyle w:val="4"/>
        <w:spacing w:before="120" w:after="120" w:line="240" w:lineRule="auto"/>
        <w:ind w:firstLine="480" w:firstLineChars="200"/>
        <w:rPr>
          <w:rFonts w:hint="eastAsia" w:ascii="宋体" w:hAnsi="宋体" w:eastAsia="宋体" w:cs="宋体"/>
          <w:color w:val="000000"/>
          <w:sz w:val="24"/>
          <w:szCs w:val="24"/>
        </w:rPr>
      </w:pPr>
      <w:bookmarkStart w:id="251" w:name="_Toc351203573"/>
      <w:r>
        <w:rPr>
          <w:rFonts w:hint="eastAsia" w:ascii="宋体" w:hAnsi="宋体" w:eastAsia="宋体" w:cs="宋体"/>
          <w:b w:val="0"/>
          <w:color w:val="000000"/>
          <w:sz w:val="24"/>
          <w:szCs w:val="24"/>
        </w:rPr>
        <w:t>1</w:t>
      </w:r>
      <w:bookmarkStart w:id="252" w:name="_Toc337558793"/>
      <w:r>
        <w:rPr>
          <w:rFonts w:hint="eastAsia" w:ascii="宋体" w:hAnsi="宋体" w:eastAsia="宋体" w:cs="宋体"/>
          <w:b w:val="0"/>
          <w:color w:val="000000"/>
          <w:sz w:val="24"/>
          <w:szCs w:val="24"/>
        </w:rPr>
        <w:t>0.6变更引起的工期调整</w:t>
      </w:r>
      <w:bookmarkEnd w:id="251"/>
      <w:r>
        <w:rPr>
          <w:rFonts w:hint="eastAsia" w:ascii="宋体" w:hAnsi="宋体" w:eastAsia="宋体" w:cs="宋体"/>
          <w:b w:val="0"/>
          <w:color w:val="000000"/>
          <w:sz w:val="24"/>
          <w:szCs w:val="24"/>
        </w:rPr>
        <w:t xml:space="preserve"> </w:t>
      </w:r>
      <w:bookmarkEnd w:id="252"/>
      <w:r>
        <w:rPr>
          <w:rFonts w:hint="eastAsia" w:ascii="宋体" w:hAnsi="宋体" w:eastAsia="宋体" w:cs="宋体"/>
          <w:b w:val="0"/>
          <w:color w:val="000000"/>
          <w:sz w:val="24"/>
          <w:szCs w:val="24"/>
        </w:rPr>
        <w:t xml:space="preserve"> </w:t>
      </w:r>
      <w:r>
        <w:rPr>
          <w:rFonts w:hint="eastAsia" w:ascii="宋体" w:hAnsi="宋体" w:eastAsia="宋体" w:cs="宋体"/>
          <w:color w:val="000000"/>
          <w:sz w:val="24"/>
          <w:szCs w:val="24"/>
        </w:rPr>
        <w:t xml:space="preserve"> </w:t>
      </w:r>
    </w:p>
    <w:p w14:paraId="4A324A3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因变更引起工期变化的，合同当事人均可要求调整合同工期，由合同当事人按照第4.4款〔商定或确定〕并参考工程所在地的工期定额标准确定增减工期天数。</w:t>
      </w:r>
    </w:p>
    <w:p w14:paraId="149CFC08">
      <w:pPr>
        <w:pStyle w:val="4"/>
        <w:spacing w:before="120" w:after="120" w:line="240" w:lineRule="auto"/>
        <w:ind w:firstLine="480" w:firstLineChars="200"/>
        <w:rPr>
          <w:rFonts w:hint="eastAsia" w:ascii="宋体" w:hAnsi="宋体" w:eastAsia="宋体" w:cs="宋体"/>
          <w:b w:val="0"/>
          <w:color w:val="000000"/>
          <w:sz w:val="24"/>
          <w:szCs w:val="24"/>
        </w:rPr>
      </w:pPr>
      <w:bookmarkStart w:id="253" w:name="_Toc351203574"/>
      <w:r>
        <w:rPr>
          <w:rFonts w:hint="eastAsia" w:ascii="宋体" w:hAnsi="宋体" w:eastAsia="宋体" w:cs="宋体"/>
          <w:b w:val="0"/>
          <w:color w:val="000000"/>
          <w:sz w:val="24"/>
          <w:szCs w:val="24"/>
        </w:rPr>
        <w:t>10.7暂估价</w:t>
      </w:r>
      <w:bookmarkEnd w:id="253"/>
    </w:p>
    <w:p w14:paraId="56C3073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暂估价专业分包工程、服务、材料和工程设备的明细由合同当事人在专用合同条款中约定。</w:t>
      </w:r>
    </w:p>
    <w:p w14:paraId="785C622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10.7.1</w:t>
      </w:r>
      <w:r>
        <w:rPr>
          <w:rFonts w:hint="eastAsia" w:ascii="宋体" w:hAnsi="宋体" w:eastAsia="宋体" w:cs="宋体"/>
          <w:color w:val="000000"/>
          <w:kern w:val="0"/>
          <w:sz w:val="24"/>
          <w:szCs w:val="24"/>
        </w:rPr>
        <w:t xml:space="preserve"> 依法必须招标的暂估价项目</w:t>
      </w:r>
    </w:p>
    <w:p w14:paraId="386B46A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对于依法必须招标的暂估价项目，采取以下第1种方式确定。合同当事人也可以在专用合同条款中选择其他招标方式。</w:t>
      </w:r>
    </w:p>
    <w:p w14:paraId="4296192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第1种方式：对于依法必须招标的暂估价项目，由承包人招标，对该暂估价项目的确认和批准按照以下约定执行：</w:t>
      </w:r>
    </w:p>
    <w:p w14:paraId="2C63A98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E743BF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318230D">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5ADEC6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3F59E73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10.7.2</w:t>
      </w:r>
      <w:r>
        <w:rPr>
          <w:rFonts w:hint="eastAsia" w:ascii="宋体" w:hAnsi="宋体" w:eastAsia="宋体" w:cs="宋体"/>
          <w:color w:val="000000"/>
          <w:kern w:val="0"/>
          <w:sz w:val="24"/>
          <w:szCs w:val="24"/>
        </w:rPr>
        <w:t>不属于依法必须招标的暂估价项目</w:t>
      </w:r>
    </w:p>
    <w:p w14:paraId="1FD7689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除专用合同条款另有约定外，对于不属于依法必须招标的暂估价项目，采取以下第1种方式确定： </w:t>
      </w:r>
    </w:p>
    <w:p w14:paraId="2A98C45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第1种方式：对于不属于依法必须招标的暂估价项目，按本项约定确认和批准：</w:t>
      </w:r>
    </w:p>
    <w:p w14:paraId="5F2BE04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8B487C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（2）发包人认为承包人确定的供应商、分包人无法满足工程质量或合同要求的，发包人可以要求承包人重新确定暂估价项目的供应商、分包人;</w:t>
      </w:r>
    </w:p>
    <w:p w14:paraId="5DC9EFC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（3）承包人应当在签订暂估价合同后7天内，将暂估价合同副本报送发包人留存。</w:t>
      </w:r>
    </w:p>
    <w:p w14:paraId="74C3B87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第2种方式：承包人按照第10.7.1项〔依法必须招标的暂估价项目〕约定的第1种方式确定暂估价项目。</w:t>
      </w:r>
    </w:p>
    <w:p w14:paraId="5911B3D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005F9B9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承包人具备实施暂估价项目的资格和条件的，经发包人和承包人协商一致后，可由承包人自行实施暂估价项目，合同当事人可以在专用合同条款约定具体事项。</w:t>
      </w:r>
    </w:p>
    <w:p w14:paraId="64832D1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897EA0B">
      <w:pPr>
        <w:pStyle w:val="4"/>
        <w:spacing w:before="120" w:after="120" w:line="240" w:lineRule="auto"/>
        <w:ind w:firstLine="480" w:firstLineChars="200"/>
        <w:rPr>
          <w:rFonts w:hint="eastAsia" w:ascii="宋体" w:hAnsi="宋体" w:eastAsia="宋体" w:cs="宋体"/>
          <w:b w:val="0"/>
          <w:color w:val="000000"/>
          <w:sz w:val="24"/>
          <w:szCs w:val="24"/>
        </w:rPr>
      </w:pPr>
      <w:bookmarkStart w:id="254" w:name="_Toc351203575"/>
      <w:r>
        <w:rPr>
          <w:rFonts w:hint="eastAsia" w:ascii="宋体" w:hAnsi="宋体" w:eastAsia="宋体" w:cs="宋体"/>
          <w:b w:val="0"/>
          <w:color w:val="000000"/>
          <w:sz w:val="24"/>
          <w:szCs w:val="24"/>
        </w:rPr>
        <w:t>1</w:t>
      </w:r>
      <w:bookmarkStart w:id="255" w:name="_Toc337558794"/>
      <w:bookmarkStart w:id="256" w:name="_Toc296346591"/>
      <w:bookmarkStart w:id="257" w:name="_Toc322522561"/>
      <w:bookmarkStart w:id="258" w:name="_Toc296503090"/>
      <w:r>
        <w:rPr>
          <w:rFonts w:hint="eastAsia" w:ascii="宋体" w:hAnsi="宋体" w:eastAsia="宋体" w:cs="宋体"/>
          <w:b w:val="0"/>
          <w:color w:val="000000"/>
          <w:sz w:val="24"/>
          <w:szCs w:val="24"/>
        </w:rPr>
        <w:t>0.8暂列金额</w:t>
      </w:r>
      <w:bookmarkEnd w:id="254"/>
    </w:p>
    <w:bookmarkEnd w:id="255"/>
    <w:p w14:paraId="13AD383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暂列金额应按照发包人的要求使用，发包人的要求应通过监理人发出。合同当事人可以在专用合同条款中协商确定有关事项。</w:t>
      </w:r>
    </w:p>
    <w:bookmarkEnd w:id="256"/>
    <w:bookmarkEnd w:id="257"/>
    <w:bookmarkEnd w:id="258"/>
    <w:p w14:paraId="4529D7A4">
      <w:pPr>
        <w:pStyle w:val="4"/>
        <w:spacing w:before="120" w:after="120" w:line="240" w:lineRule="auto"/>
        <w:ind w:firstLine="480" w:firstLineChars="200"/>
        <w:rPr>
          <w:rFonts w:hint="eastAsia" w:ascii="宋体" w:hAnsi="宋体" w:eastAsia="宋体" w:cs="宋体"/>
          <w:b w:val="0"/>
          <w:color w:val="000000"/>
          <w:sz w:val="24"/>
          <w:szCs w:val="24"/>
        </w:rPr>
      </w:pPr>
      <w:bookmarkStart w:id="259" w:name="_Toc351203576"/>
      <w:r>
        <w:rPr>
          <w:rFonts w:hint="eastAsia" w:ascii="宋体" w:hAnsi="宋体" w:eastAsia="宋体" w:cs="宋体"/>
          <w:b w:val="0"/>
          <w:color w:val="000000"/>
          <w:sz w:val="24"/>
          <w:szCs w:val="24"/>
        </w:rPr>
        <w:t>1</w:t>
      </w:r>
      <w:bookmarkStart w:id="260" w:name="_Toc337558796"/>
      <w:bookmarkStart w:id="261" w:name="_Toc296346592"/>
      <w:bookmarkStart w:id="262" w:name="_Toc296503091"/>
      <w:r>
        <w:rPr>
          <w:rFonts w:hint="eastAsia" w:ascii="宋体" w:hAnsi="宋体" w:eastAsia="宋体" w:cs="宋体"/>
          <w:b w:val="0"/>
          <w:color w:val="000000"/>
          <w:sz w:val="24"/>
          <w:szCs w:val="24"/>
        </w:rPr>
        <w:t>0.9计日工</w:t>
      </w:r>
      <w:bookmarkEnd w:id="259"/>
      <w:r>
        <w:rPr>
          <w:rFonts w:hint="eastAsia" w:ascii="宋体" w:hAnsi="宋体" w:eastAsia="宋体" w:cs="宋体"/>
          <w:b w:val="0"/>
          <w:color w:val="000000"/>
          <w:sz w:val="24"/>
          <w:szCs w:val="24"/>
        </w:rPr>
        <w:t xml:space="preserve"> </w:t>
      </w:r>
      <w:bookmarkEnd w:id="260"/>
      <w:bookmarkEnd w:id="261"/>
      <w:bookmarkEnd w:id="262"/>
    </w:p>
    <w:p w14:paraId="2018649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712CE08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采用计日工计价的任何一项工作，承包人应在该项工作实施过程中，每天提交以下报表和有关凭证报送监理人审查：</w:t>
      </w:r>
    </w:p>
    <w:p w14:paraId="36D0CA9A">
      <w:pPr>
        <w:spacing w:line="24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（1）工作名称、内容和数量；</w:t>
      </w:r>
    </w:p>
    <w:p w14:paraId="1CEC6A05">
      <w:pPr>
        <w:spacing w:line="24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（2）投入该工作的所有人员的姓名、专业、工种、级别和耗用工时；</w:t>
      </w:r>
    </w:p>
    <w:p w14:paraId="525B0B93">
      <w:pPr>
        <w:spacing w:line="24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（3）投入该工作的材料类别和数量；</w:t>
      </w:r>
    </w:p>
    <w:p w14:paraId="482FC519">
      <w:pPr>
        <w:spacing w:line="24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（4）投入该工作的施工设备型号、台数和耗用台时；</w:t>
      </w:r>
    </w:p>
    <w:p w14:paraId="0B210A91">
      <w:pPr>
        <w:spacing w:line="24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（5）其他有关资料和凭证。</w:t>
      </w:r>
    </w:p>
    <w:p w14:paraId="21538DA5">
      <w:pPr>
        <w:spacing w:line="24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计日工由承包人汇总后，列入最近一期进度付款申请单，由监理人审查并经发包人批准后列入进度付款。</w:t>
      </w:r>
    </w:p>
    <w:p w14:paraId="4A6F8F97">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263" w:name="_Toc351203577"/>
      <w:r>
        <w:rPr>
          <w:rFonts w:hint="eastAsia" w:ascii="宋体" w:hAnsi="宋体" w:eastAsia="宋体" w:cs="宋体"/>
          <w:b w:val="0"/>
          <w:bCs/>
          <w:color w:val="000000"/>
          <w:kern w:val="2"/>
          <w:sz w:val="24"/>
          <w:szCs w:val="24"/>
          <w:lang w:val="en-US" w:eastAsia="zh-CN" w:bidi="ar-SA"/>
        </w:rPr>
        <w:t>11. 价格调整</w:t>
      </w:r>
      <w:bookmarkEnd w:id="263"/>
    </w:p>
    <w:p w14:paraId="761B3484">
      <w:pPr>
        <w:pStyle w:val="4"/>
        <w:spacing w:before="120" w:after="120" w:line="240" w:lineRule="auto"/>
        <w:ind w:firstLine="480" w:firstLineChars="200"/>
        <w:rPr>
          <w:rFonts w:hint="eastAsia" w:ascii="宋体" w:hAnsi="宋体" w:eastAsia="宋体" w:cs="宋体"/>
          <w:b w:val="0"/>
          <w:color w:val="000000"/>
          <w:sz w:val="24"/>
          <w:szCs w:val="24"/>
        </w:rPr>
      </w:pPr>
      <w:bookmarkStart w:id="264" w:name="_Toc351203578"/>
      <w:bookmarkStart w:id="265" w:name="_Toc337558797"/>
      <w:bookmarkStart w:id="266" w:name="_Toc296503092"/>
      <w:bookmarkStart w:id="267" w:name="_Toc296346593"/>
      <w:r>
        <w:rPr>
          <w:rFonts w:hint="eastAsia" w:ascii="宋体" w:hAnsi="宋体" w:eastAsia="宋体" w:cs="宋体"/>
          <w:b w:val="0"/>
          <w:color w:val="000000"/>
          <w:sz w:val="24"/>
          <w:szCs w:val="24"/>
        </w:rPr>
        <w:t>11.1市场价格波动引起的调整</w:t>
      </w:r>
      <w:bookmarkEnd w:id="264"/>
    </w:p>
    <w:bookmarkEnd w:id="265"/>
    <w:bookmarkEnd w:id="266"/>
    <w:bookmarkEnd w:id="267"/>
    <w:p w14:paraId="5D83FAF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76DF6E5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3F455451">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（1）价格调整公式</w:t>
      </w:r>
    </w:p>
    <w:p w14:paraId="52BA19A4">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因人工、材料和设备等价格波动影响合同价格时，根据专用合同条款中约定的数据，按以下公式计算差额并调整合同价格：</w:t>
      </w:r>
    </w:p>
    <w:p w14:paraId="74428DEF">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30"/>
          <w:sz w:val="24"/>
          <w:szCs w:val="24"/>
        </w:rPr>
        <w:object>
          <v:shape id="_x0000_i1025" o:spt="75" type="#_x0000_t75" style="height:43.9pt;width:359.85pt;" o:ole="t" filled="f" stroked="f" coordsize="21600,21600">
            <v:path/>
            <v:fill on="f" focussize="0,0"/>
            <v:stroke on="f"/>
            <v:imagedata r:id="rId8" o:title=""/>
            <o:lock v:ext="edit" grouping="f" rotation="f" text="f" aspectratio="t"/>
            <w10:wrap type="none"/>
            <w10:anchorlock/>
          </v:shape>
          <o:OLEObject Type="Embed" ProgID="Equation.KSEE3" ShapeID="_x0000_i1025" DrawAspect="Content" ObjectID="_1468075725" r:id="rId7">
            <o:LockedField>false</o:LockedField>
          </o:OLEObject>
        </w:object>
      </w:r>
    </w:p>
    <w:p w14:paraId="050A02FE">
      <w:pPr>
        <w:tabs>
          <w:tab w:val="left" w:pos="0"/>
          <w:tab w:val="left" w:pos="360"/>
          <w:tab w:val="left" w:pos="540"/>
        </w:tabs>
        <w:spacing w:line="240" w:lineRule="auto"/>
        <w:ind w:firstLine="640"/>
        <w:rPr>
          <w:rFonts w:hint="eastAsia" w:ascii="宋体" w:hAnsi="宋体" w:eastAsia="宋体" w:cs="宋体"/>
          <w:color w:val="000000"/>
          <w:sz w:val="24"/>
          <w:szCs w:val="24"/>
        </w:rPr>
      </w:pPr>
      <w:r>
        <w:rPr>
          <w:rFonts w:hint="eastAsia" w:ascii="宋体" w:hAnsi="宋体" w:eastAsia="宋体" w:cs="宋体"/>
          <w:color w:val="000000"/>
          <w:sz w:val="24"/>
          <w:szCs w:val="24"/>
        </w:rPr>
        <w:t>公式中：ΔP——需调整的价格差额；</w:t>
      </w:r>
    </w:p>
    <w:p w14:paraId="718394C3">
      <w:pPr>
        <w:tabs>
          <w:tab w:val="left" w:pos="0"/>
          <w:tab w:val="left" w:pos="360"/>
          <w:tab w:val="left" w:pos="540"/>
        </w:tabs>
        <w:spacing w:line="240" w:lineRule="auto"/>
        <w:ind w:firstLine="1440" w:firstLineChars="600"/>
        <w:rPr>
          <w:rFonts w:hint="eastAsia" w:ascii="宋体" w:hAnsi="宋体" w:eastAsia="宋体" w:cs="宋体"/>
          <w:color w:val="000000"/>
          <w:sz w:val="24"/>
          <w:szCs w:val="24"/>
        </w:rPr>
      </w:pPr>
      <w:r>
        <w:rPr>
          <w:rFonts w:hint="eastAsia" w:ascii="宋体" w:hAnsi="宋体" w:eastAsia="宋体" w:cs="宋体"/>
          <w:color w:val="000000"/>
          <w:position w:val="-6"/>
          <w:sz w:val="24"/>
          <w:szCs w:val="24"/>
        </w:rPr>
        <w:object>
          <v:shape id="_x0000_i1026" o:spt="75" type="#_x0000_t75" style="height:17.95pt;width:17.95pt;" o:ole="t" filled="f" stroked="f" coordsize="21600,21600">
            <v:path/>
            <v:fill on="f" focussize="0,0"/>
            <v:stroke on="f"/>
            <v:imagedata r:id="rId10" o:title=""/>
            <o:lock v:ext="edit" grouping="f" rotation="f" text="f" aspectratio="t"/>
            <w10:wrap type="none"/>
            <w10:anchorlock/>
          </v:shape>
          <o:OLEObject Type="Embed" ProgID="Equation.KSEE3" ShapeID="_x0000_i1026" DrawAspect="Content" ObjectID="_1468075726" r:id="rId9">
            <o:LockedField>false</o:LockedField>
          </o:OLEObject>
        </w:object>
      </w:r>
      <w:r>
        <w:rPr>
          <w:rFonts w:hint="eastAsia" w:ascii="宋体" w:hAnsi="宋体" w:eastAsia="宋体" w:cs="宋体"/>
          <w:color w:val="000000"/>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2B45940C">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A——定值权重（即不调部分的权重）；</w:t>
      </w:r>
    </w:p>
    <w:p w14:paraId="16A9974A">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7" o:spt="75" type="#_x0000_t75" style="height:21.05pt;width:101pt;" o:ole="t" filled="f" stroked="f" coordsize="21600,21600">
            <v:path/>
            <v:fill on="f" focussize="0,0"/>
            <v:stroke on="f"/>
            <v:imagedata r:id="rId12" o:title=""/>
            <o:lock v:ext="edit" grouping="f" rotation="f" text="f" aspectratio="t"/>
            <w10:wrap type="none"/>
            <w10:anchorlock/>
          </v:shape>
          <o:OLEObject Type="Embed" ProgID="Equation.KSEE3" ShapeID="_x0000_i1027" DrawAspect="Content" ObjectID="_1468075727" r:id="rId11">
            <o:LockedField>false</o:LockedField>
          </o:OLEObject>
        </w:object>
      </w:r>
      <w:r>
        <w:rPr>
          <w:rFonts w:hint="eastAsia" w:ascii="宋体" w:hAnsi="宋体" w:eastAsia="宋体" w:cs="宋体"/>
          <w:color w:val="000000"/>
          <w:sz w:val="24"/>
          <w:szCs w:val="24"/>
        </w:rPr>
        <w:t>——各可调因子的变值权重（即可调部分的权重），为各可调因子在签约合同价中所占的比例；</w:t>
      </w:r>
    </w:p>
    <w:p w14:paraId="3901BB36">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8" o:spt="75" type="#_x0000_t75" style="height:20.6pt;width:102.05pt;" o:ole="t" filled="f" stroked="f" coordsize="21600,21600">
            <v:path/>
            <v:fill on="f" focussize="0,0"/>
            <v:stroke on="f"/>
            <v:imagedata r:id="rId14" o:title=""/>
            <o:lock v:ext="edit" grouping="f" rotation="f" text="f" aspectratio="t"/>
            <w10:wrap type="none"/>
            <w10:anchorlock/>
          </v:shape>
          <o:OLEObject Type="Embed" ProgID="Equation.KSEE3" ShapeID="_x0000_i1028" DrawAspect="Content" ObjectID="_1468075728" r:id="rId13">
            <o:LockedField>false</o:LockedField>
          </o:OLEObject>
        </w:object>
      </w:r>
      <w:r>
        <w:rPr>
          <w:rFonts w:hint="eastAsia" w:ascii="宋体" w:hAnsi="宋体" w:eastAsia="宋体" w:cs="宋体"/>
          <w:color w:val="000000"/>
          <w:sz w:val="24"/>
          <w:szCs w:val="24"/>
        </w:rPr>
        <w:t>——各可调因子的现行价格指数，指约定的付款证书相关周期最后一天的前42天的各可调因子的价格指数；</w:t>
      </w:r>
    </w:p>
    <w:p w14:paraId="1EB132DC">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9" o:spt="75" type="#_x0000_t75" style="height:20.2pt;width:108pt;" o:ole="t" filled="f" stroked="f" coordsize="21600,21600">
            <v:path/>
            <v:fill on="f" focussize="0,0"/>
            <v:stroke on="f"/>
            <v:imagedata r:id="rId16" o:title=""/>
            <o:lock v:ext="edit" grouping="f" rotation="f" text="f" aspectratio="t"/>
            <w10:wrap type="none"/>
            <w10:anchorlock/>
          </v:shape>
          <o:OLEObject Type="Embed" ProgID="Equation.KSEE3" ShapeID="_x0000_i1029" DrawAspect="Content" ObjectID="_1468075729" r:id="rId15">
            <o:LockedField>false</o:LockedField>
          </o:OLEObject>
        </w:object>
      </w:r>
      <w:r>
        <w:rPr>
          <w:rFonts w:hint="eastAsia" w:ascii="宋体" w:hAnsi="宋体" w:eastAsia="宋体" w:cs="宋体"/>
          <w:color w:val="000000"/>
          <w:sz w:val="24"/>
          <w:szCs w:val="24"/>
        </w:rPr>
        <w:t>——各可调因子的基本价格指数，指基准日期的各可调因子的价格指数。</w:t>
      </w:r>
    </w:p>
    <w:p w14:paraId="26A77E47">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2A1C0BC">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（2）暂时确定调整差额</w:t>
      </w:r>
    </w:p>
    <w:p w14:paraId="024697E6">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在计算调整差额时无现行价格指数的，合同当事人同意暂用前次价格指数计算。实际价格指数有调整的，合同当事人进行相应调整。</w:t>
      </w:r>
    </w:p>
    <w:p w14:paraId="003076F5">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（3）权重的调整</w:t>
      </w:r>
    </w:p>
    <w:p w14:paraId="76CE9ACE">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因变更导致合同约定的权重不合理时，按照第4.4款〔商定或确定〕执行。</w:t>
      </w:r>
    </w:p>
    <w:p w14:paraId="7C85CF5B">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（4）因承包人原因工期延误后的价格调整</w:t>
      </w:r>
    </w:p>
    <w:p w14:paraId="0B487F19">
      <w:pPr>
        <w:tabs>
          <w:tab w:val="left" w:pos="0"/>
          <w:tab w:val="left" w:pos="360"/>
          <w:tab w:val="left" w:pos="540"/>
        </w:tabs>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0FAC1139">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3D7054A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CFB724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1C5C58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（2）材料、工程设备价格变化的价款调整按照发包人提供的基准价格，按以下风险范围规定执行:</w:t>
      </w:r>
    </w:p>
    <w:p w14:paraId="5CF8114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E2397C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3B9E4D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③承包人在已标价工程量清单或预算书中载明材料单价等于基准价格的：除专用合同条款另有约定外，合同履行期间材料单价涨跌幅以基准价格为基础超过±5%时，其超过部分据实调整。</w:t>
      </w:r>
    </w:p>
    <w:p w14:paraId="68D45BC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311CB40">
      <w:pPr>
        <w:spacing w:line="240" w:lineRule="auto"/>
        <w:ind w:firstLine="480" w:firstLineChars="200"/>
        <w:rPr>
          <w:rFonts w:hint="eastAsia" w:ascii="宋体" w:hAnsi="宋体" w:eastAsia="宋体" w:cs="宋体"/>
          <w:color w:val="000000"/>
          <w:sz w:val="24"/>
          <w:szCs w:val="24"/>
        </w:rPr>
      </w:pPr>
      <w:bookmarkStart w:id="268" w:name="OLE_LINK3"/>
      <w:r>
        <w:rPr>
          <w:rFonts w:hint="eastAsia" w:ascii="宋体" w:hAnsi="宋体" w:eastAsia="宋体" w:cs="宋体"/>
          <w:color w:val="000000"/>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51FEF5A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（3）施工机械台班单价或施工机械使用费发生变化超过省级或行业建设主管部门或其授权的工程造价管理机构规定的范围时，按规定调整合同价格。</w:t>
      </w:r>
    </w:p>
    <w:p w14:paraId="03DF0EB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第3种方式：专用合同条款约定的其他方式。</w:t>
      </w:r>
    </w:p>
    <w:p w14:paraId="50124FF5">
      <w:pPr>
        <w:pStyle w:val="4"/>
        <w:spacing w:before="120" w:after="120" w:line="240" w:lineRule="auto"/>
        <w:ind w:firstLine="480" w:firstLineChars="200"/>
        <w:rPr>
          <w:rFonts w:hint="eastAsia" w:ascii="宋体" w:hAnsi="宋体" w:eastAsia="宋体" w:cs="宋体"/>
          <w:b w:val="0"/>
          <w:color w:val="000000"/>
          <w:sz w:val="24"/>
          <w:szCs w:val="24"/>
        </w:rPr>
      </w:pPr>
      <w:bookmarkStart w:id="269" w:name="_Toc351203579"/>
      <w:bookmarkStart w:id="270" w:name="_Toc337558798"/>
      <w:bookmarkStart w:id="271" w:name="_Toc296346594"/>
      <w:bookmarkStart w:id="272" w:name="_Toc296503093"/>
      <w:r>
        <w:rPr>
          <w:rFonts w:hint="eastAsia" w:ascii="宋体" w:hAnsi="宋体" w:eastAsia="宋体" w:cs="宋体"/>
          <w:b w:val="0"/>
          <w:color w:val="000000"/>
          <w:sz w:val="24"/>
          <w:szCs w:val="24"/>
        </w:rPr>
        <w:t>11.2法律变化引起的调整</w:t>
      </w:r>
      <w:bookmarkEnd w:id="269"/>
    </w:p>
    <w:bookmarkEnd w:id="270"/>
    <w:bookmarkEnd w:id="271"/>
    <w:bookmarkEnd w:id="272"/>
    <w:p w14:paraId="746C13B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3CA36C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因法律变化引起的合同价格和工期调整，合同当事人无法达成一致的，由总监理工程师按第4.4款〔商定或确定〕的约定处理。</w:t>
      </w:r>
    </w:p>
    <w:p w14:paraId="569647F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因承包人原因造成工期延误，在工期延误期间出现法律变化的，由此增加的费用和（或）延误的工期由承包人承担。</w:t>
      </w:r>
    </w:p>
    <w:p w14:paraId="039DAD3C">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273" w:name="_Toc351203580"/>
      <w:bookmarkStart w:id="274" w:name="_Toc337558799"/>
      <w:bookmarkStart w:id="275" w:name="_Toc296346597"/>
      <w:bookmarkStart w:id="276" w:name="_Toc296503096"/>
      <w:r>
        <w:rPr>
          <w:rFonts w:hint="eastAsia" w:ascii="宋体" w:hAnsi="宋体" w:eastAsia="宋体" w:cs="宋体"/>
          <w:b w:val="0"/>
          <w:bCs/>
          <w:color w:val="000000"/>
          <w:kern w:val="2"/>
          <w:sz w:val="24"/>
          <w:szCs w:val="24"/>
          <w:lang w:val="en-US" w:eastAsia="zh-CN" w:bidi="ar-SA"/>
        </w:rPr>
        <w:t>12. 合同价格、计量与支付</w:t>
      </w:r>
      <w:bookmarkEnd w:id="273"/>
    </w:p>
    <w:bookmarkEnd w:id="274"/>
    <w:p w14:paraId="498B6128">
      <w:pPr>
        <w:pStyle w:val="4"/>
        <w:spacing w:before="120" w:after="120" w:line="240" w:lineRule="auto"/>
        <w:ind w:firstLine="480" w:firstLineChars="200"/>
        <w:rPr>
          <w:rFonts w:hint="eastAsia" w:ascii="宋体" w:hAnsi="宋体" w:eastAsia="宋体" w:cs="宋体"/>
          <w:b w:val="0"/>
          <w:color w:val="000000"/>
          <w:sz w:val="24"/>
          <w:szCs w:val="24"/>
        </w:rPr>
      </w:pPr>
      <w:bookmarkStart w:id="277" w:name="_Toc351203581"/>
      <w:bookmarkStart w:id="278" w:name="_Toc337558800"/>
      <w:r>
        <w:rPr>
          <w:rFonts w:hint="eastAsia" w:ascii="宋体" w:hAnsi="宋体" w:eastAsia="宋体" w:cs="宋体"/>
          <w:b w:val="0"/>
          <w:color w:val="000000"/>
          <w:sz w:val="24"/>
          <w:szCs w:val="24"/>
        </w:rPr>
        <w:t>12.1 合同价</w:t>
      </w:r>
      <w:bookmarkEnd w:id="275"/>
      <w:bookmarkEnd w:id="276"/>
      <w:r>
        <w:rPr>
          <w:rFonts w:hint="eastAsia" w:ascii="宋体" w:hAnsi="宋体" w:eastAsia="宋体" w:cs="宋体"/>
          <w:b w:val="0"/>
          <w:color w:val="000000"/>
          <w:sz w:val="24"/>
          <w:szCs w:val="24"/>
        </w:rPr>
        <w:t>格形式</w:t>
      </w:r>
      <w:bookmarkEnd w:id="277"/>
    </w:p>
    <w:bookmarkEnd w:id="278"/>
    <w:p w14:paraId="307452F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发包人和承包人应在合同协议书中选择下列一种合同价格形式： </w:t>
      </w:r>
    </w:p>
    <w:p w14:paraId="701BCFE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w:t>
      </w:r>
    </w:p>
    <w:p w14:paraId="34EA54F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单价合同是指合同当事人约定以工程量清单及其综合单价进行合同价格计算、调整和确认的建设工程施工合同，</w:t>
      </w:r>
      <w:r>
        <w:rPr>
          <w:rFonts w:hint="eastAsia" w:ascii="宋体" w:hAnsi="宋体" w:eastAsia="宋体" w:cs="宋体"/>
          <w:sz w:val="24"/>
          <w:szCs w:val="24"/>
        </w:rPr>
        <w:t>在约定的范围内合同单价不作调整</w:t>
      </w:r>
      <w:r>
        <w:rPr>
          <w:rFonts w:hint="eastAsia" w:ascii="宋体" w:hAnsi="宋体" w:eastAsia="宋体" w:cs="宋体"/>
          <w:color w:val="000000"/>
          <w:kern w:val="0"/>
          <w:sz w:val="24"/>
          <w:szCs w:val="24"/>
        </w:rPr>
        <w:t>。合同当事人应在专用合同条款中约定综合单价包含的风险范围和风险费用的计算方法</w:t>
      </w:r>
      <w:r>
        <w:rPr>
          <w:rFonts w:hint="eastAsia" w:ascii="宋体" w:hAnsi="宋体" w:eastAsia="宋体" w:cs="宋体"/>
          <w:sz w:val="24"/>
          <w:szCs w:val="24"/>
        </w:rPr>
        <w:t>，</w:t>
      </w:r>
      <w:r>
        <w:rPr>
          <w:rFonts w:hint="eastAsia" w:ascii="宋体" w:hAnsi="宋体" w:eastAsia="宋体" w:cs="宋体"/>
          <w:color w:val="000000"/>
          <w:kern w:val="0"/>
          <w:sz w:val="24"/>
          <w:szCs w:val="24"/>
        </w:rPr>
        <w:t>并约定风险范围以外的合同价格的调整方法，其中因市场价格波动引起的调整按第11.1款〔市场价格波动引起的调整〕约定执行。</w:t>
      </w:r>
    </w:p>
    <w:p w14:paraId="68A26E8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w:t>
      </w:r>
    </w:p>
    <w:p w14:paraId="70684DE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总价合同是指合同当事人约定以施工图、已标价工程量清单或预算书及有关条件进行合同价格计算、调整和确认的建设工程施工合同，</w:t>
      </w:r>
      <w:r>
        <w:rPr>
          <w:rFonts w:hint="eastAsia" w:ascii="宋体" w:hAnsi="宋体" w:eastAsia="宋体" w:cs="宋体"/>
          <w:sz w:val="24"/>
          <w:szCs w:val="24"/>
        </w:rPr>
        <w:t>在约定的范围内合同总价不作调整</w:t>
      </w:r>
      <w:r>
        <w:rPr>
          <w:rFonts w:hint="eastAsia" w:ascii="宋体" w:hAnsi="宋体" w:eastAsia="宋体" w:cs="宋体"/>
          <w:color w:val="000000"/>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98F6E4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其它价格形式</w:t>
      </w:r>
    </w:p>
    <w:p w14:paraId="2A1D76B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合同当事人可在专用合同条款中约定其他合同价格形式。</w:t>
      </w:r>
    </w:p>
    <w:p w14:paraId="151F5AF3">
      <w:pPr>
        <w:pStyle w:val="4"/>
        <w:spacing w:before="120" w:after="120" w:line="240" w:lineRule="auto"/>
        <w:ind w:firstLine="480" w:firstLineChars="200"/>
        <w:rPr>
          <w:rFonts w:hint="eastAsia" w:ascii="宋体" w:hAnsi="宋体" w:eastAsia="宋体" w:cs="宋体"/>
          <w:b w:val="0"/>
          <w:color w:val="000000"/>
          <w:sz w:val="24"/>
          <w:szCs w:val="24"/>
        </w:rPr>
      </w:pPr>
      <w:bookmarkStart w:id="279" w:name="_Toc296346598"/>
      <w:bookmarkStart w:id="280" w:name="_Toc296503097"/>
      <w:bookmarkStart w:id="281" w:name="_Toc351203582"/>
      <w:bookmarkStart w:id="282" w:name="_Toc337558801"/>
      <w:r>
        <w:rPr>
          <w:rFonts w:hint="eastAsia" w:ascii="宋体" w:hAnsi="宋体" w:eastAsia="宋体" w:cs="宋体"/>
          <w:b w:val="0"/>
          <w:color w:val="000000"/>
          <w:sz w:val="24"/>
          <w:szCs w:val="24"/>
        </w:rPr>
        <w:t>12.2预</w:t>
      </w:r>
      <w:bookmarkEnd w:id="279"/>
      <w:bookmarkEnd w:id="280"/>
      <w:bookmarkStart w:id="283" w:name="_Toc296346601"/>
      <w:bookmarkStart w:id="284" w:name="_Toc296503100"/>
      <w:r>
        <w:rPr>
          <w:rFonts w:hint="eastAsia" w:ascii="宋体" w:hAnsi="宋体" w:eastAsia="宋体" w:cs="宋体"/>
          <w:b w:val="0"/>
          <w:color w:val="000000"/>
          <w:sz w:val="24"/>
          <w:szCs w:val="24"/>
        </w:rPr>
        <w:t>付款</w:t>
      </w:r>
      <w:bookmarkEnd w:id="281"/>
    </w:p>
    <w:bookmarkEnd w:id="282"/>
    <w:bookmarkEnd w:id="283"/>
    <w:bookmarkEnd w:id="284"/>
    <w:p w14:paraId="31C736D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12.2.</w:t>
      </w:r>
      <w:r>
        <w:rPr>
          <w:rFonts w:hint="eastAsia" w:ascii="宋体" w:hAnsi="宋体" w:eastAsia="宋体" w:cs="宋体"/>
          <w:color w:val="000000"/>
          <w:kern w:val="0"/>
          <w:sz w:val="24"/>
          <w:szCs w:val="24"/>
        </w:rPr>
        <w:t>1预付款的支付</w:t>
      </w:r>
    </w:p>
    <w:p w14:paraId="4FAA4A1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6CD1206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除专用合同条款另有约定外，预付款在进度付款中同比例扣回。</w:t>
      </w:r>
      <w:bookmarkEnd w:id="268"/>
      <w:r>
        <w:rPr>
          <w:rFonts w:hint="eastAsia" w:ascii="宋体" w:hAnsi="宋体" w:eastAsia="宋体" w:cs="宋体"/>
          <w:color w:val="000000"/>
          <w:kern w:val="0"/>
          <w:sz w:val="24"/>
          <w:szCs w:val="24"/>
        </w:rPr>
        <w:t>在颁发工程接收证书前，提前解除合同的，尚未扣完的预付款应与合同价款一并结算。</w:t>
      </w:r>
    </w:p>
    <w:p w14:paraId="08C4F19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78B9BAF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6EF4551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FB9F88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发包人在工程款中逐期扣回预付款后，预付款担保额度应相应减少，但剩余的预付款担保金额不得低于未被扣回的预付款金额。</w:t>
      </w:r>
    </w:p>
    <w:p w14:paraId="4C52595F">
      <w:pPr>
        <w:pStyle w:val="4"/>
        <w:spacing w:before="120" w:after="120" w:line="240" w:lineRule="auto"/>
        <w:ind w:firstLine="480" w:firstLineChars="200"/>
        <w:rPr>
          <w:rFonts w:hint="eastAsia" w:ascii="宋体" w:hAnsi="宋体" w:eastAsia="宋体" w:cs="宋体"/>
          <w:b w:val="0"/>
          <w:color w:val="000000"/>
          <w:sz w:val="24"/>
          <w:szCs w:val="24"/>
        </w:rPr>
      </w:pPr>
      <w:bookmarkStart w:id="285" w:name="_Toc351203583"/>
      <w:bookmarkStart w:id="286" w:name="_Toc337558802"/>
      <w:r>
        <w:rPr>
          <w:rFonts w:hint="eastAsia" w:ascii="宋体" w:hAnsi="宋体" w:eastAsia="宋体" w:cs="宋体"/>
          <w:b w:val="0"/>
          <w:color w:val="000000"/>
          <w:sz w:val="24"/>
          <w:szCs w:val="24"/>
        </w:rPr>
        <w:t>12.3计量</w:t>
      </w:r>
      <w:bookmarkEnd w:id="285"/>
    </w:p>
    <w:bookmarkEnd w:id="286"/>
    <w:p w14:paraId="17E88ED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12.3.1 计量原则</w:t>
      </w:r>
    </w:p>
    <w:p w14:paraId="4E5E9DD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工程量计量按照合同约定的工程量计算规则、图纸及变更指示等进行计量。工程量计算规则应以相关的国家标准、行业标准等为依据，由合同当事人在专用合同条款中约定。</w:t>
      </w:r>
    </w:p>
    <w:p w14:paraId="0AE7830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12.3.2 计量周期</w:t>
      </w:r>
    </w:p>
    <w:p w14:paraId="3AFB5D6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除专用合同条款另有约定外，工程量的计量按月进行。</w:t>
      </w:r>
    </w:p>
    <w:p w14:paraId="4293560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12.3.3 单价合同的计量</w:t>
      </w:r>
    </w:p>
    <w:p w14:paraId="799F7D6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除专用合同条款另有约定外，单价合同的计量按照本项约定执行：</w:t>
      </w:r>
    </w:p>
    <w:p w14:paraId="3D76AD8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0298DA6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8A658C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（3）监理人未在收到承包人提交的工程量报表后的7天内完成审核的，承包人报送的工程量报告中的工程量视为承包人实际完成的工程量，据此计算工程价款。</w:t>
      </w:r>
    </w:p>
    <w:p w14:paraId="790CF70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12.3.4 总价合同的计量</w:t>
      </w:r>
    </w:p>
    <w:p w14:paraId="5AC6C50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除专用合同条款另有约定外，按月计量支付的总价合同，按照本项约定执行：</w:t>
      </w:r>
    </w:p>
    <w:p w14:paraId="662C703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018C5F6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4C180C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（3）监理人未在收到承包人提交的工程量报表后的7天内完成复核的，承包人提交的工程量报告中的工程量视为承包人实际完成的工程量。</w:t>
      </w:r>
    </w:p>
    <w:p w14:paraId="5048E8E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12.3.5 总价合同采用支付分解表计量支付的，可以按照第12.3.4项〔总价合同的计量〕约定进行计量，但合同价款按照支付分解表进行支付。</w:t>
      </w:r>
    </w:p>
    <w:p w14:paraId="37A521F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12.3.6 其他价格形式合同的计量</w:t>
      </w:r>
    </w:p>
    <w:p w14:paraId="3CE21B3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合同当事人可在专用合同条款中约定其他价格形式合同的计量方式和程序。</w:t>
      </w:r>
    </w:p>
    <w:p w14:paraId="49CB7BE9">
      <w:pPr>
        <w:pStyle w:val="4"/>
        <w:spacing w:before="120" w:after="120" w:line="240" w:lineRule="auto"/>
        <w:ind w:firstLine="480" w:firstLineChars="200"/>
        <w:rPr>
          <w:rFonts w:hint="eastAsia" w:ascii="宋体" w:hAnsi="宋体" w:eastAsia="宋体" w:cs="宋体"/>
          <w:b w:val="0"/>
          <w:color w:val="000000"/>
          <w:sz w:val="24"/>
          <w:szCs w:val="24"/>
        </w:rPr>
      </w:pPr>
      <w:bookmarkStart w:id="287" w:name="_Toc296346602"/>
      <w:bookmarkStart w:id="288" w:name="_Toc296503101"/>
      <w:bookmarkStart w:id="289" w:name="_Toc351203584"/>
      <w:bookmarkStart w:id="290" w:name="_Toc337558803"/>
      <w:r>
        <w:rPr>
          <w:rFonts w:hint="eastAsia" w:ascii="宋体" w:hAnsi="宋体" w:eastAsia="宋体" w:cs="宋体"/>
          <w:b w:val="0"/>
          <w:color w:val="000000"/>
          <w:sz w:val="24"/>
          <w:szCs w:val="24"/>
        </w:rPr>
        <w:t>12.4工程进度款支</w:t>
      </w:r>
      <w:bookmarkEnd w:id="287"/>
      <w:bookmarkEnd w:id="288"/>
      <w:r>
        <w:rPr>
          <w:rFonts w:hint="eastAsia" w:ascii="宋体" w:hAnsi="宋体" w:eastAsia="宋体" w:cs="宋体"/>
          <w:b w:val="0"/>
          <w:color w:val="000000"/>
          <w:sz w:val="24"/>
          <w:szCs w:val="24"/>
        </w:rPr>
        <w:t>付</w:t>
      </w:r>
      <w:bookmarkEnd w:id="289"/>
    </w:p>
    <w:bookmarkEnd w:id="290"/>
    <w:p w14:paraId="20840F94">
      <w:pPr>
        <w:autoSpaceDE w:val="0"/>
        <w:autoSpaceDN w:val="0"/>
        <w:adjustRightInd w:val="0"/>
        <w:spacing w:line="24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.1 付款周期</w:t>
      </w:r>
    </w:p>
    <w:p w14:paraId="60E742D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除专用合同条款另有约定外，付款周期应按照第12.3.2项〔计量周期〕的约定与计量周期保持一致。</w:t>
      </w:r>
    </w:p>
    <w:p w14:paraId="7BC9363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.2 进度付款申请单的编制</w:t>
      </w:r>
    </w:p>
    <w:p w14:paraId="2CA8A55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除专用合同条款另有约定外，进度付款申请单应包括下列内容：</w:t>
      </w:r>
    </w:p>
    <w:p w14:paraId="0E6F1D3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（1）截至本次付款周期已完成工作对应的金额；</w:t>
      </w:r>
    </w:p>
    <w:p w14:paraId="71AC012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（2）根据第10条〔变更〕应增加和扣减的变更金额；</w:t>
      </w:r>
    </w:p>
    <w:p w14:paraId="2A01ED3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（3）根据第12.2款〔预付款〕约定应支付的预付款和扣减的返还预付款；</w:t>
      </w:r>
    </w:p>
    <w:p w14:paraId="507FE62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（4）根据第15.3款〔质量保证金〕约定应扣减的质量保证金；</w:t>
      </w:r>
    </w:p>
    <w:p w14:paraId="4055BAF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（5）根据第19条〔索赔〕应增加和扣减的索赔金额；</w:t>
      </w:r>
    </w:p>
    <w:p w14:paraId="48E9EDC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（6）对已签发的进度款支付证书中出现错误的修正，应在本次进度付款中支付或扣除的金额；</w:t>
      </w:r>
    </w:p>
    <w:p w14:paraId="554831F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（7）根据合同约定应增加和扣减的其他金额。</w:t>
      </w:r>
    </w:p>
    <w:p w14:paraId="61CDEAF9">
      <w:pPr>
        <w:autoSpaceDE w:val="0"/>
        <w:autoSpaceDN w:val="0"/>
        <w:adjustRightInd w:val="0"/>
        <w:spacing w:line="24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12.4.3 进度付款申请单的提交</w:t>
      </w:r>
    </w:p>
    <w:p w14:paraId="30BD758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（1）单价合同进度付款申请单的提交</w:t>
      </w:r>
    </w:p>
    <w:p w14:paraId="560D05B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3AE2412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（2）总价合同进度付款申请单的提交</w:t>
      </w:r>
    </w:p>
    <w:p w14:paraId="3C46522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总价合同按月计量支付的，承包人按照第12.3.4项〔总价合同的计量〕约定的时间按月向监理人提交进度付款申请单，并附上已完成工程量报表和有关资料。</w:t>
      </w:r>
    </w:p>
    <w:p w14:paraId="1496485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总价合同按支付分解表支付的，承包人应按照第12.4.6项〔支付分解表〕及第12.4.2项〔进度付款申请单的编制〕的约定向监理人提交进度付款申请单。</w:t>
      </w:r>
    </w:p>
    <w:p w14:paraId="3AFC59E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（3）其他价格形式合同的进度付款申请单的提交</w:t>
      </w:r>
    </w:p>
    <w:p w14:paraId="79BCA3B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合同当事人可在专用合同条款中约定其他价格形式合同的进度付款申请单的编制和提交程序。</w:t>
      </w:r>
    </w:p>
    <w:p w14:paraId="34DF6F6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.4 进度款审核和支付</w:t>
      </w:r>
    </w:p>
    <w:p w14:paraId="0A80637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4655A2B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749ABB4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586E3E6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（3）发包人签发进度款支付证书或临时进度款支付证书，不表明发包人已同意、批准或接受了承包人完成的相应部分的工作。</w:t>
      </w:r>
    </w:p>
    <w:p w14:paraId="2DB1E23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12.4.5 进度付款的修正</w:t>
      </w:r>
    </w:p>
    <w:p w14:paraId="29E8611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4A6C785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12.4.6 支付分解表</w:t>
      </w:r>
    </w:p>
    <w:p w14:paraId="3F50656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支付分解表的编制要求</w:t>
      </w:r>
    </w:p>
    <w:p w14:paraId="06558E6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（1）支付分解表中所列的每期付款金额，应为第12.4.2项〔进度付款申请单的编制〕第（1）目的估算金额；</w:t>
      </w:r>
    </w:p>
    <w:p w14:paraId="0B6D3C6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（2）实际进度与施工进度计划不一致的，合同当事人可按照第4.4款〔商定或确定〕修改支付分解表；</w:t>
      </w:r>
    </w:p>
    <w:p w14:paraId="58BB30A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（3）不采用支付分解表的，承包人应向发包人和监理人提交按季度编制的支付估算分解表，用于支付参考。</w:t>
      </w:r>
    </w:p>
    <w:p w14:paraId="794B3A7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总价合同支付分解表的编制与审批</w:t>
      </w:r>
    </w:p>
    <w:p w14:paraId="5D919EF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56416D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49C9EE8C">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（3）发包人逾期未完成支付分解表审批的，也未及时要求承包人进行修正和提供补充资料的，则承包人提交的支付分解表视为已经获得发包人批准。</w:t>
      </w:r>
    </w:p>
    <w:p w14:paraId="325A67D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单价合同的总价项目支付分解表的编制与审批</w:t>
      </w:r>
    </w:p>
    <w:p w14:paraId="4F6CB14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974F860">
      <w:pPr>
        <w:pStyle w:val="4"/>
        <w:spacing w:before="120" w:after="120" w:line="240" w:lineRule="auto"/>
        <w:ind w:firstLine="480" w:firstLineChars="200"/>
        <w:rPr>
          <w:rFonts w:hint="eastAsia" w:ascii="宋体" w:hAnsi="宋体" w:eastAsia="宋体" w:cs="宋体"/>
          <w:b w:val="0"/>
          <w:color w:val="000000"/>
          <w:sz w:val="24"/>
          <w:szCs w:val="24"/>
        </w:rPr>
      </w:pPr>
      <w:bookmarkStart w:id="291" w:name="_Toc351203585"/>
      <w:r>
        <w:rPr>
          <w:rFonts w:hint="eastAsia" w:ascii="宋体" w:hAnsi="宋体" w:eastAsia="宋体" w:cs="宋体"/>
          <w:b w:val="0"/>
          <w:color w:val="000000"/>
          <w:sz w:val="24"/>
          <w:szCs w:val="24"/>
        </w:rPr>
        <w:t>12.5支付账户</w:t>
      </w:r>
      <w:bookmarkEnd w:id="291"/>
    </w:p>
    <w:p w14:paraId="4272762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发包人应将合同价款支付至合同协议书中约定的承包人账户。</w:t>
      </w:r>
    </w:p>
    <w:p w14:paraId="5DA26760">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292" w:name="_Toc351203586"/>
      <w:bookmarkStart w:id="293" w:name="_Toc337558804"/>
      <w:bookmarkStart w:id="294" w:name="_Toc296346607"/>
      <w:bookmarkStart w:id="295" w:name="_Toc296503106"/>
      <w:bookmarkStart w:id="296" w:name="_Toc322522574"/>
      <w:r>
        <w:rPr>
          <w:rFonts w:hint="eastAsia" w:ascii="宋体" w:hAnsi="宋体" w:eastAsia="宋体" w:cs="宋体"/>
          <w:b w:val="0"/>
          <w:bCs/>
          <w:color w:val="000000"/>
          <w:kern w:val="2"/>
          <w:sz w:val="24"/>
          <w:szCs w:val="24"/>
          <w:lang w:val="en-US" w:eastAsia="zh-CN" w:bidi="ar-SA"/>
        </w:rPr>
        <w:t>13. 验收和工程试车</w:t>
      </w:r>
      <w:bookmarkEnd w:id="292"/>
    </w:p>
    <w:bookmarkEnd w:id="293"/>
    <w:bookmarkEnd w:id="294"/>
    <w:bookmarkEnd w:id="295"/>
    <w:bookmarkEnd w:id="296"/>
    <w:p w14:paraId="0A968B96">
      <w:pPr>
        <w:pStyle w:val="4"/>
        <w:spacing w:before="120" w:after="120" w:line="240" w:lineRule="auto"/>
        <w:ind w:firstLine="480" w:firstLineChars="200"/>
        <w:rPr>
          <w:rFonts w:hint="eastAsia" w:ascii="宋体" w:hAnsi="宋体" w:eastAsia="宋体" w:cs="宋体"/>
          <w:b w:val="0"/>
          <w:color w:val="000000"/>
          <w:sz w:val="24"/>
          <w:szCs w:val="24"/>
        </w:rPr>
      </w:pPr>
      <w:bookmarkStart w:id="297" w:name="_Toc351203587"/>
      <w:bookmarkStart w:id="298" w:name="_Toc337558805"/>
      <w:bookmarkStart w:id="299" w:name="_Toc296503110"/>
      <w:bookmarkStart w:id="300" w:name="_Toc296346611"/>
      <w:r>
        <w:rPr>
          <w:rFonts w:hint="eastAsia" w:ascii="宋体" w:hAnsi="宋体" w:eastAsia="宋体" w:cs="宋体"/>
          <w:b w:val="0"/>
          <w:color w:val="000000"/>
          <w:sz w:val="24"/>
          <w:szCs w:val="24"/>
        </w:rPr>
        <w:t>13.1分部分项工程验收</w:t>
      </w:r>
      <w:bookmarkEnd w:id="297"/>
    </w:p>
    <w:bookmarkEnd w:id="298"/>
    <w:p w14:paraId="6225940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13.1.1 分部分项工程质量应符合国家有关工程施工验收规范、标准及合同约定，承包人应按照施工组织设计的要求完成分部分项工程施工。</w:t>
      </w:r>
    </w:p>
    <w:p w14:paraId="0081E57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4"/>
          <w:szCs w:val="24"/>
        </w:rPr>
        <w:t>分部分项工程未经验收的，不得进入下一道工序施工。</w:t>
      </w:r>
    </w:p>
    <w:p w14:paraId="5CFD1AE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分部分项工程的验收资料应当作为竣工资料的组成部分。</w:t>
      </w:r>
    </w:p>
    <w:p w14:paraId="6A226F92">
      <w:pPr>
        <w:pStyle w:val="4"/>
        <w:spacing w:before="120" w:after="120" w:line="240" w:lineRule="auto"/>
        <w:ind w:firstLine="480" w:firstLineChars="200"/>
        <w:rPr>
          <w:rFonts w:hint="eastAsia" w:ascii="宋体" w:hAnsi="宋体" w:eastAsia="宋体" w:cs="宋体"/>
          <w:b w:val="0"/>
          <w:color w:val="000000"/>
          <w:sz w:val="24"/>
          <w:szCs w:val="24"/>
        </w:rPr>
      </w:pPr>
      <w:bookmarkStart w:id="301" w:name="_Toc351203588"/>
      <w:bookmarkStart w:id="302" w:name="_Toc337558806"/>
      <w:r>
        <w:rPr>
          <w:rFonts w:hint="eastAsia" w:ascii="宋体" w:hAnsi="宋体" w:eastAsia="宋体" w:cs="宋体"/>
          <w:b w:val="0"/>
          <w:color w:val="000000"/>
          <w:sz w:val="24"/>
          <w:szCs w:val="24"/>
        </w:rPr>
        <w:t>13.2竣工验收</w:t>
      </w:r>
      <w:bookmarkEnd w:id="301"/>
    </w:p>
    <w:bookmarkEnd w:id="299"/>
    <w:bookmarkEnd w:id="300"/>
    <w:bookmarkEnd w:id="302"/>
    <w:p w14:paraId="22E3433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13.2.1竣工验收条件</w:t>
      </w:r>
    </w:p>
    <w:p w14:paraId="4FBDB56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工程具备以下条件的，承包人可以申请竣工验收：</w:t>
      </w:r>
    </w:p>
    <w:p w14:paraId="336AB10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（1）除发包人同意的甩项工作和缺陷修补工作外，合同范围内的全部工程以及有关工作，包括合同要求的试验、试运行以及检验均已完成，并符合合同要求；</w:t>
      </w:r>
    </w:p>
    <w:p w14:paraId="46C1EEE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（2）已按合同约定编制了甩项工作和缺陷修补工作清单以及相应的施工计划；</w:t>
      </w:r>
    </w:p>
    <w:p w14:paraId="5770062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（3）已按合同约定的内容和份数备齐竣工资料。</w:t>
      </w:r>
    </w:p>
    <w:p w14:paraId="0C0261F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13.2.2竣工验收程序</w:t>
      </w:r>
    </w:p>
    <w:p w14:paraId="4ACB635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除专用合同条款另有约定外，承包人申请竣工验收的，应当按照以下程序进行：</w:t>
      </w:r>
    </w:p>
    <w:p w14:paraId="5E722D2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7305974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0061F9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12D1E70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C8852E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964F33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0F97BA2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13.2.3竣工日期</w:t>
      </w:r>
    </w:p>
    <w:p w14:paraId="5382E47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3" w:name="#go14"/>
      <w:bookmarkEnd w:id="303"/>
      <w:r>
        <w:rPr>
          <w:rFonts w:hint="eastAsia" w:ascii="宋体" w:hAnsi="宋体" w:eastAsia="宋体" w:cs="宋体"/>
          <w:color w:val="000000"/>
          <w:kern w:val="0"/>
          <w:sz w:val="24"/>
          <w:szCs w:val="24"/>
        </w:rPr>
        <w:t>收申请报告的日期为实际竣工日期；工程未经竣工验收，发包人擅自使用的，以转移占有工程之日为实际竣工日期。</w:t>
      </w:r>
    </w:p>
    <w:p w14:paraId="3DE6CDA5">
      <w:pPr>
        <w:spacing w:line="24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13.2.4 拒绝接收全部或部分工程</w:t>
      </w:r>
    </w:p>
    <w:p w14:paraId="34747D5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1F67E8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13.2.5 移交、接收全部与部分工程</w:t>
      </w:r>
    </w:p>
    <w:p w14:paraId="0334038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除专用合同条款另有约定外，合同当事人应当在颁发工程接收证书后7天内完成工程的移交。</w:t>
      </w:r>
    </w:p>
    <w:p w14:paraId="0C0FD7E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7E299F9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4D936EA0">
      <w:pPr>
        <w:pStyle w:val="4"/>
        <w:spacing w:before="120" w:after="120" w:line="240" w:lineRule="auto"/>
        <w:ind w:firstLine="480" w:firstLineChars="200"/>
        <w:rPr>
          <w:rFonts w:hint="eastAsia" w:ascii="宋体" w:hAnsi="宋体" w:eastAsia="宋体" w:cs="宋体"/>
          <w:b w:val="0"/>
          <w:color w:val="000000"/>
          <w:sz w:val="24"/>
          <w:szCs w:val="24"/>
        </w:rPr>
      </w:pPr>
      <w:bookmarkStart w:id="304" w:name="_Toc351203589"/>
      <w:bookmarkStart w:id="305" w:name="_Toc296346612"/>
      <w:bookmarkStart w:id="306" w:name="_Toc337558807"/>
      <w:bookmarkStart w:id="307" w:name="_Toc296503111"/>
      <w:r>
        <w:rPr>
          <w:rFonts w:hint="eastAsia" w:ascii="宋体" w:hAnsi="宋体" w:eastAsia="宋体" w:cs="宋体"/>
          <w:b w:val="0"/>
          <w:color w:val="000000"/>
          <w:sz w:val="24"/>
          <w:szCs w:val="24"/>
        </w:rPr>
        <w:t>13.3工程试车</w:t>
      </w:r>
      <w:bookmarkEnd w:id="304"/>
    </w:p>
    <w:bookmarkEnd w:id="305"/>
    <w:bookmarkEnd w:id="306"/>
    <w:bookmarkEnd w:id="307"/>
    <w:p w14:paraId="2F44041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13.3.1试车程序</w:t>
      </w:r>
    </w:p>
    <w:p w14:paraId="2F82B7C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工程需要试车的，除专用合同条款另有约定外，试车内容应与承包人承包范围相一致，试车费用由承包人承担。工程试车应按如下程序进行：</w:t>
      </w:r>
    </w:p>
    <w:p w14:paraId="2D86491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9931D0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61C464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D235A8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13.3.2 试车中的责任</w:t>
      </w:r>
    </w:p>
    <w:p w14:paraId="325A703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42D0F5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8B65AF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141C47B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5E8C462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2768C16">
      <w:pPr>
        <w:pStyle w:val="4"/>
        <w:spacing w:before="120" w:after="120" w:line="240" w:lineRule="auto"/>
        <w:rPr>
          <w:rFonts w:hint="eastAsia" w:ascii="宋体" w:hAnsi="宋体" w:eastAsia="宋体" w:cs="宋体"/>
          <w:b w:val="0"/>
          <w:color w:val="000000"/>
          <w:sz w:val="24"/>
          <w:szCs w:val="24"/>
        </w:rPr>
      </w:pPr>
      <w:bookmarkStart w:id="308" w:name="_Toc337558808"/>
      <w:r>
        <w:rPr>
          <w:rFonts w:hint="eastAsia" w:ascii="宋体" w:hAnsi="宋体" w:eastAsia="宋体" w:cs="宋体"/>
          <w:b w:val="0"/>
          <w:color w:val="000000"/>
          <w:sz w:val="24"/>
          <w:szCs w:val="24"/>
        </w:rPr>
        <w:t xml:space="preserve">    </w:t>
      </w:r>
      <w:bookmarkStart w:id="309" w:name="_Toc351203590"/>
      <w:r>
        <w:rPr>
          <w:rFonts w:hint="eastAsia" w:ascii="宋体" w:hAnsi="宋体" w:eastAsia="宋体" w:cs="宋体"/>
          <w:b w:val="0"/>
          <w:color w:val="000000"/>
          <w:sz w:val="24"/>
          <w:szCs w:val="24"/>
        </w:rPr>
        <w:t>13.4提前交付单位工程的验收</w:t>
      </w:r>
      <w:bookmarkEnd w:id="309"/>
    </w:p>
    <w:bookmarkEnd w:id="308"/>
    <w:p w14:paraId="48CEC52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13.4.1 发包人需要在工程竣工前使用单位工程的，或承包人提出提前交付已经竣工的单位工程且经发包人同意的，可进行单位工程验收，验收的程序按照第13.2款〔竣工验收〕的约定进行。</w:t>
      </w:r>
    </w:p>
    <w:p w14:paraId="23EF856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59622EC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13.4.2 发包人要求在工程竣工前交付单位工程，由此导致承包人费用增加和（或）工期延误的，由发包人承担由此增加的费用和（或）延误的工期，并支付承包人合理的利润。</w:t>
      </w:r>
    </w:p>
    <w:p w14:paraId="1CA1DA7B">
      <w:pPr>
        <w:pStyle w:val="4"/>
        <w:spacing w:before="120" w:after="120" w:line="240" w:lineRule="auto"/>
        <w:ind w:firstLine="480" w:firstLineChars="200"/>
        <w:rPr>
          <w:rFonts w:hint="eastAsia" w:ascii="宋体" w:hAnsi="宋体" w:eastAsia="宋体" w:cs="宋体"/>
          <w:b w:val="0"/>
          <w:color w:val="000000"/>
          <w:sz w:val="24"/>
          <w:szCs w:val="24"/>
        </w:rPr>
      </w:pPr>
      <w:bookmarkStart w:id="310" w:name="_Toc351203591"/>
      <w:r>
        <w:rPr>
          <w:rFonts w:hint="eastAsia" w:ascii="宋体" w:hAnsi="宋体" w:eastAsia="宋体" w:cs="宋体"/>
          <w:b w:val="0"/>
          <w:color w:val="000000"/>
          <w:sz w:val="24"/>
          <w:szCs w:val="24"/>
        </w:rPr>
        <w:t>13.5 施工期运行</w:t>
      </w:r>
      <w:bookmarkEnd w:id="310"/>
    </w:p>
    <w:p w14:paraId="02C3AC5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B2B8E9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13.5.2 在施工期运行中发现工程或工程设备损坏或存在缺陷的，由承包人按第15.2款〔缺陷责任期〕约定进行修复。</w:t>
      </w:r>
    </w:p>
    <w:p w14:paraId="2DB5E894">
      <w:pPr>
        <w:pStyle w:val="4"/>
        <w:spacing w:before="120" w:after="120" w:line="240" w:lineRule="auto"/>
        <w:ind w:firstLine="480" w:firstLineChars="200"/>
        <w:rPr>
          <w:rFonts w:hint="eastAsia" w:ascii="宋体" w:hAnsi="宋体" w:eastAsia="宋体" w:cs="宋体"/>
          <w:b w:val="0"/>
          <w:color w:val="000000"/>
          <w:sz w:val="24"/>
          <w:szCs w:val="24"/>
        </w:rPr>
      </w:pPr>
      <w:bookmarkStart w:id="311" w:name="_Toc296346613"/>
      <w:bookmarkStart w:id="312" w:name="_Toc296503112"/>
      <w:bookmarkStart w:id="313" w:name="_Toc351203592"/>
      <w:bookmarkStart w:id="314" w:name="_Toc337558809"/>
      <w:r>
        <w:rPr>
          <w:rFonts w:hint="eastAsia" w:ascii="宋体" w:hAnsi="宋体" w:eastAsia="宋体" w:cs="宋体"/>
          <w:b w:val="0"/>
          <w:color w:val="000000"/>
          <w:sz w:val="24"/>
          <w:szCs w:val="24"/>
        </w:rPr>
        <w:t>13.6 竣工退</w:t>
      </w:r>
      <w:bookmarkEnd w:id="311"/>
      <w:bookmarkEnd w:id="312"/>
      <w:r>
        <w:rPr>
          <w:rFonts w:hint="eastAsia" w:ascii="宋体" w:hAnsi="宋体" w:eastAsia="宋体" w:cs="宋体"/>
          <w:b w:val="0"/>
          <w:color w:val="000000"/>
          <w:sz w:val="24"/>
          <w:szCs w:val="24"/>
        </w:rPr>
        <w:t>场</w:t>
      </w:r>
      <w:bookmarkEnd w:id="313"/>
    </w:p>
    <w:bookmarkEnd w:id="314"/>
    <w:p w14:paraId="1C52C9B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1CE18DB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颁发工程接收证书后，承包人应按以下要求对施工现场进行清理：</w:t>
      </w:r>
    </w:p>
    <w:p w14:paraId="5935B5D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（1）施工现场内残留的垃圾已全部清除出场；</w:t>
      </w:r>
    </w:p>
    <w:p w14:paraId="5EEF249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（2）临时工程已拆除，场地已进行清理、平整或复原；</w:t>
      </w:r>
    </w:p>
    <w:p w14:paraId="6326A82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（3）按合同约定应撤离的人员、承包人施工设备和剩余的材料，包括废弃的施工设备和材料，已按计划撤离施工现场；</w:t>
      </w:r>
    </w:p>
    <w:p w14:paraId="10EACB6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（4）施工现场周边及其附近道路、河道的施工堆积物，已全部清理；</w:t>
      </w:r>
    </w:p>
    <w:p w14:paraId="4974754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（5）施工现场其他场地清理工作已全部完成。</w:t>
      </w:r>
    </w:p>
    <w:p w14:paraId="00BB4DA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9EDC80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13.6.2 地表还原</w:t>
      </w:r>
    </w:p>
    <w:p w14:paraId="2D1F46E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0DCBE5F5">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315" w:name="_Toc351203593"/>
      <w:bookmarkStart w:id="316" w:name="_Toc337558810"/>
      <w:bookmarkStart w:id="317" w:name="_Toc296503113"/>
      <w:bookmarkStart w:id="318" w:name="_Toc296346614"/>
      <w:r>
        <w:rPr>
          <w:rFonts w:hint="eastAsia" w:ascii="宋体" w:hAnsi="宋体" w:eastAsia="宋体" w:cs="宋体"/>
          <w:b w:val="0"/>
          <w:bCs/>
          <w:color w:val="000000"/>
          <w:kern w:val="2"/>
          <w:sz w:val="24"/>
          <w:szCs w:val="24"/>
          <w:lang w:val="en-US" w:eastAsia="zh-CN" w:bidi="ar-SA"/>
        </w:rPr>
        <w:t>14. 竣工结算</w:t>
      </w:r>
      <w:bookmarkEnd w:id="315"/>
    </w:p>
    <w:bookmarkEnd w:id="316"/>
    <w:p w14:paraId="0056934C">
      <w:pPr>
        <w:pStyle w:val="4"/>
        <w:spacing w:before="120" w:after="120" w:line="240" w:lineRule="auto"/>
        <w:ind w:firstLine="480" w:firstLineChars="200"/>
        <w:rPr>
          <w:rFonts w:hint="eastAsia" w:ascii="宋体" w:hAnsi="宋体" w:eastAsia="宋体" w:cs="宋体"/>
          <w:b w:val="0"/>
          <w:color w:val="000000"/>
          <w:sz w:val="24"/>
          <w:szCs w:val="24"/>
        </w:rPr>
      </w:pPr>
      <w:bookmarkStart w:id="319" w:name="_Toc351203594"/>
      <w:bookmarkStart w:id="320" w:name="_Toc337558811"/>
      <w:r>
        <w:rPr>
          <w:rFonts w:hint="eastAsia" w:ascii="宋体" w:hAnsi="宋体" w:eastAsia="宋体" w:cs="宋体"/>
          <w:b w:val="0"/>
          <w:color w:val="000000"/>
          <w:sz w:val="24"/>
          <w:szCs w:val="24"/>
        </w:rPr>
        <w:t>14.1 竣工结算申请</w:t>
      </w:r>
      <w:bookmarkEnd w:id="319"/>
    </w:p>
    <w:bookmarkEnd w:id="320"/>
    <w:p w14:paraId="3023AE4B">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除专用合同条款另有约定外，</w:t>
      </w:r>
      <w:r>
        <w:rPr>
          <w:rFonts w:hint="eastAsia" w:ascii="宋体" w:hAnsi="宋体" w:eastAsia="宋体" w:cs="宋体"/>
          <w:color w:val="000000"/>
          <w:sz w:val="24"/>
          <w:szCs w:val="24"/>
        </w:rPr>
        <w:t>承包人应在工程竣工验收合格后28天内向发包人和监理人提交竣工结算申请单，并提交完整的结算资料，有关竣工结算申请单的资料清单和份数等要求由合同当事人在专用合同条款中约定。</w:t>
      </w:r>
    </w:p>
    <w:p w14:paraId="07398A9B">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除专用合同条款另有约定外，竣工结算申请单应包括以下内容：</w:t>
      </w:r>
    </w:p>
    <w:p w14:paraId="39BDA1F0">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（1）竣工结算合同价格；</w:t>
      </w:r>
    </w:p>
    <w:p w14:paraId="383F3F5A">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（2）发包人已支付承包人的款项；</w:t>
      </w:r>
    </w:p>
    <w:p w14:paraId="35417BD4">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（3）应扣留的质量保证金。已缴纳履约保证金的或提供其他工程质量担保方式的除外； </w:t>
      </w:r>
    </w:p>
    <w:p w14:paraId="7E1B079E">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（4）发包人应支付承包人的合同价款。</w:t>
      </w:r>
    </w:p>
    <w:p w14:paraId="7C93185C">
      <w:pPr>
        <w:pStyle w:val="4"/>
        <w:spacing w:before="120" w:after="120" w:line="240" w:lineRule="auto"/>
        <w:ind w:firstLine="480" w:firstLineChars="200"/>
        <w:rPr>
          <w:rFonts w:hint="eastAsia" w:ascii="宋体" w:hAnsi="宋体" w:eastAsia="宋体" w:cs="宋体"/>
          <w:b w:val="0"/>
          <w:color w:val="000000"/>
          <w:sz w:val="24"/>
          <w:szCs w:val="24"/>
        </w:rPr>
      </w:pPr>
      <w:bookmarkStart w:id="321" w:name="_Toc351203595"/>
      <w:bookmarkStart w:id="322" w:name="_Toc337558812"/>
      <w:r>
        <w:rPr>
          <w:rFonts w:hint="eastAsia" w:ascii="宋体" w:hAnsi="宋体" w:eastAsia="宋体" w:cs="宋体"/>
          <w:b w:val="0"/>
          <w:color w:val="000000"/>
          <w:sz w:val="24"/>
          <w:szCs w:val="24"/>
        </w:rPr>
        <w:t>14.2 竣工结算审核</w:t>
      </w:r>
      <w:bookmarkEnd w:id="321"/>
    </w:p>
    <w:bookmarkEnd w:id="322"/>
    <w:p w14:paraId="479C9A3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4"/>
          <w:szCs w:val="24"/>
        </w:rPr>
        <w:t>发包人对竣工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申请单有异议的，有权要求承包人进行修正和提供补充资料，承包人应提交修正后的竣工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w:t>
      </w:r>
    </w:p>
    <w:p w14:paraId="335575C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F9C902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8BC55F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A5F6E6C">
      <w:pPr>
        <w:pStyle w:val="4"/>
        <w:spacing w:before="120" w:after="120" w:line="240" w:lineRule="auto"/>
        <w:ind w:firstLine="480" w:firstLineChars="200"/>
        <w:rPr>
          <w:rFonts w:hint="eastAsia" w:ascii="宋体" w:hAnsi="宋体" w:eastAsia="宋体" w:cs="宋体"/>
          <w:b w:val="0"/>
          <w:color w:val="000000"/>
          <w:sz w:val="24"/>
          <w:szCs w:val="24"/>
        </w:rPr>
      </w:pPr>
      <w:bookmarkStart w:id="323" w:name="_Toc351203596"/>
      <w:bookmarkStart w:id="324" w:name="_Toc337558813"/>
      <w:r>
        <w:rPr>
          <w:rFonts w:hint="eastAsia" w:ascii="宋体" w:hAnsi="宋体" w:eastAsia="宋体" w:cs="宋体"/>
          <w:b w:val="0"/>
          <w:color w:val="000000"/>
          <w:sz w:val="24"/>
          <w:szCs w:val="24"/>
        </w:rPr>
        <w:t>14.3 甩项竣工协议</w:t>
      </w:r>
      <w:bookmarkEnd w:id="323"/>
    </w:p>
    <w:bookmarkEnd w:id="324"/>
    <w:p w14:paraId="3247EECA">
      <w:pPr>
        <w:autoSpaceDE w:val="0"/>
        <w:autoSpaceDN w:val="0"/>
        <w:adjustRightInd w:val="0"/>
        <w:spacing w:line="240" w:lineRule="auto"/>
        <w:ind w:firstLine="470" w:firstLineChars="196"/>
        <w:jc w:val="left"/>
        <w:rPr>
          <w:rFonts w:hint="eastAsia" w:ascii="宋体" w:hAnsi="宋体" w:eastAsia="宋体" w:cs="宋体"/>
          <w:color w:val="000000"/>
          <w:kern w:val="0"/>
          <w:sz w:val="24"/>
          <w:szCs w:val="24"/>
        </w:rPr>
      </w:pPr>
      <w:r>
        <w:rPr>
          <w:rFonts w:hint="eastAsia" w:ascii="宋体" w:hAnsi="宋体" w:eastAsia="宋体" w:cs="宋体"/>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12DF538C">
      <w:pPr>
        <w:pStyle w:val="4"/>
        <w:spacing w:before="120" w:after="120" w:line="240" w:lineRule="auto"/>
        <w:ind w:firstLine="480" w:firstLineChars="200"/>
        <w:rPr>
          <w:rFonts w:hint="eastAsia" w:ascii="宋体" w:hAnsi="宋体" w:eastAsia="宋体" w:cs="宋体"/>
          <w:b w:val="0"/>
          <w:color w:val="000000"/>
          <w:sz w:val="24"/>
          <w:szCs w:val="24"/>
        </w:rPr>
      </w:pPr>
      <w:bookmarkStart w:id="325" w:name="_Toc351203597"/>
      <w:bookmarkStart w:id="326" w:name="_Toc337558814"/>
      <w:r>
        <w:rPr>
          <w:rFonts w:hint="eastAsia" w:ascii="宋体" w:hAnsi="宋体" w:eastAsia="宋体" w:cs="宋体"/>
          <w:b w:val="0"/>
          <w:color w:val="000000"/>
          <w:sz w:val="24"/>
          <w:szCs w:val="24"/>
        </w:rPr>
        <w:t>14.4 最终结清</w:t>
      </w:r>
      <w:bookmarkEnd w:id="325"/>
    </w:p>
    <w:bookmarkEnd w:id="326"/>
    <w:p w14:paraId="2FADC95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3CD574F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（1）除专用合同条款另有约定外，承包人应在缺陷责任期终止证书颁发后7天内，按专用合同条款约定的份数向发包人提交最终结清申请单，并提供相关证明材料。</w:t>
      </w:r>
    </w:p>
    <w:p w14:paraId="437A0D5D">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w:t>
      </w:r>
      <w:r>
        <w:rPr>
          <w:rFonts w:hint="eastAsia" w:ascii="宋体" w:hAnsi="宋体" w:eastAsia="宋体" w:cs="宋体"/>
          <w:color w:val="000000"/>
          <w:kern w:val="0"/>
          <w:sz w:val="24"/>
          <w:szCs w:val="24"/>
        </w:rPr>
        <w:t>最终结清申请单</w:t>
      </w:r>
      <w:r>
        <w:rPr>
          <w:rFonts w:hint="eastAsia" w:ascii="宋体" w:hAnsi="宋体" w:eastAsia="宋体" w:cs="宋体"/>
          <w:color w:val="000000"/>
          <w:sz w:val="24"/>
          <w:szCs w:val="24"/>
        </w:rPr>
        <w:t>应列明质量保证金、应扣除的质量保证金、缺陷责任期内发生的增减费用。</w:t>
      </w:r>
    </w:p>
    <w:p w14:paraId="4749E6F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（2）发包人对最终结清申请单内容有异议的，有权要求承包人进行修正和提供补充资料，承包人应向发包人提交修正后的最终结清申请单。</w:t>
      </w:r>
    </w:p>
    <w:p w14:paraId="74DEBF8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14.4.2 最终结清证书和支付</w:t>
      </w:r>
    </w:p>
    <w:p w14:paraId="1740A65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D70DC3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479B289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（3）承包人对发包人颁发的最终结清证书有异议的，按第20条〔争议解决〕的约定办理。</w:t>
      </w:r>
    </w:p>
    <w:p w14:paraId="03D84ADD">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327" w:name="_Toc351203598"/>
      <w:bookmarkStart w:id="328" w:name="_Toc337558815"/>
      <w:r>
        <w:rPr>
          <w:rFonts w:hint="eastAsia" w:ascii="宋体" w:hAnsi="宋体" w:eastAsia="宋体" w:cs="宋体"/>
          <w:b w:val="0"/>
          <w:bCs/>
          <w:color w:val="000000"/>
          <w:kern w:val="2"/>
          <w:sz w:val="24"/>
          <w:szCs w:val="24"/>
          <w:lang w:val="en-US" w:eastAsia="zh-CN" w:bidi="ar-SA"/>
        </w:rPr>
        <w:t>15. 缺陷责任与保修</w:t>
      </w:r>
      <w:bookmarkEnd w:id="327"/>
    </w:p>
    <w:bookmarkEnd w:id="317"/>
    <w:bookmarkEnd w:id="318"/>
    <w:bookmarkEnd w:id="328"/>
    <w:p w14:paraId="13088F08">
      <w:pPr>
        <w:pStyle w:val="4"/>
        <w:spacing w:before="120" w:after="120" w:line="240" w:lineRule="auto"/>
        <w:ind w:firstLine="480" w:firstLineChars="200"/>
        <w:rPr>
          <w:rFonts w:hint="eastAsia" w:ascii="宋体" w:hAnsi="宋体" w:eastAsia="宋体" w:cs="宋体"/>
          <w:b w:val="0"/>
          <w:color w:val="000000"/>
          <w:sz w:val="24"/>
          <w:szCs w:val="24"/>
        </w:rPr>
      </w:pPr>
      <w:bookmarkStart w:id="329" w:name="_Toc351203599"/>
      <w:bookmarkStart w:id="330" w:name="_Toc337558816"/>
      <w:bookmarkStart w:id="331" w:name="_Toc296503114"/>
      <w:bookmarkStart w:id="332" w:name="_Toc296346615"/>
      <w:r>
        <w:rPr>
          <w:rFonts w:hint="eastAsia" w:ascii="宋体" w:hAnsi="宋体" w:eastAsia="宋体" w:cs="宋体"/>
          <w:b w:val="0"/>
          <w:color w:val="000000"/>
          <w:sz w:val="24"/>
          <w:szCs w:val="24"/>
        </w:rPr>
        <w:t>15.1 工程保修的原则</w:t>
      </w:r>
      <w:bookmarkEnd w:id="329"/>
    </w:p>
    <w:bookmarkEnd w:id="330"/>
    <w:p w14:paraId="69CBA95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3C29263F">
      <w:pPr>
        <w:pStyle w:val="4"/>
        <w:spacing w:before="120" w:after="120" w:line="240" w:lineRule="auto"/>
        <w:ind w:firstLine="480" w:firstLineChars="200"/>
        <w:rPr>
          <w:rFonts w:hint="eastAsia" w:ascii="宋体" w:hAnsi="宋体" w:eastAsia="宋体" w:cs="宋体"/>
          <w:b w:val="0"/>
          <w:color w:val="000000"/>
          <w:sz w:val="24"/>
          <w:szCs w:val="24"/>
        </w:rPr>
      </w:pPr>
      <w:bookmarkStart w:id="333" w:name="_Toc351203600"/>
      <w:bookmarkStart w:id="334" w:name="_Toc337558817"/>
      <w:r>
        <w:rPr>
          <w:rFonts w:hint="eastAsia" w:ascii="宋体" w:hAnsi="宋体" w:eastAsia="宋体" w:cs="宋体"/>
          <w:b w:val="0"/>
          <w:color w:val="000000"/>
          <w:sz w:val="24"/>
          <w:szCs w:val="24"/>
        </w:rPr>
        <w:t>15.2 缺陷责任期</w:t>
      </w:r>
      <w:bookmarkEnd w:id="331"/>
      <w:bookmarkEnd w:id="332"/>
      <w:bookmarkEnd w:id="333"/>
    </w:p>
    <w:bookmarkEnd w:id="334"/>
    <w:p w14:paraId="2E0C207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15.2.1 缺陷责任期从工程通过竣工验收之日起计算，合同当事人应在专用合同条款约定缺陷责任期的具体期限，但该期限最长不超过24个月。</w:t>
      </w:r>
    </w:p>
    <w:p w14:paraId="40FD418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7D83950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4"/>
          <w:szCs w:val="24"/>
        </w:rPr>
        <w:t>包人延长缺陷责任期，</w:t>
      </w:r>
      <w:r>
        <w:rPr>
          <w:rFonts w:hint="eastAsia" w:ascii="宋体" w:hAnsi="宋体" w:eastAsia="宋体" w:cs="宋体"/>
          <w:color w:val="000000"/>
          <w:kern w:val="0"/>
          <w:sz w:val="24"/>
          <w:szCs w:val="24"/>
        </w:rPr>
        <w:t>并应在原缺陷责任期届满前发出延长通知</w:t>
      </w:r>
      <w:r>
        <w:rPr>
          <w:rFonts w:hint="eastAsia" w:ascii="宋体" w:hAnsi="宋体" w:eastAsia="宋体" w:cs="宋体"/>
          <w:color w:val="000000"/>
          <w:kern w:val="0"/>
          <w:sz w:val="24"/>
          <w:szCs w:val="24"/>
          <w:lang w:eastAsia="zh-CN"/>
        </w:rPr>
        <w:t>。</w:t>
      </w:r>
      <w:r>
        <w:rPr>
          <w:rFonts w:hint="eastAsia" w:ascii="宋体" w:hAnsi="宋体" w:eastAsia="宋体" w:cs="宋体"/>
          <w:bCs/>
          <w:color w:val="000000"/>
          <w:sz w:val="24"/>
          <w:szCs w:val="24"/>
        </w:rPr>
        <w:t>但缺陷责任期</w:t>
      </w:r>
      <w:r>
        <w:rPr>
          <w:rFonts w:hint="eastAsia" w:ascii="宋体" w:hAnsi="宋体" w:eastAsia="宋体" w:cs="宋体"/>
          <w:bCs/>
          <w:color w:val="000000"/>
          <w:sz w:val="24"/>
          <w:szCs w:val="24"/>
          <w:lang w:eastAsia="zh-CN"/>
        </w:rPr>
        <w:t>（含延长部分）</w:t>
      </w:r>
      <w:r>
        <w:rPr>
          <w:rFonts w:hint="eastAsia" w:ascii="宋体" w:hAnsi="宋体" w:eastAsia="宋体" w:cs="宋体"/>
          <w:bCs/>
          <w:color w:val="000000"/>
          <w:sz w:val="24"/>
          <w:szCs w:val="24"/>
        </w:rPr>
        <w:t>最长</w:t>
      </w:r>
      <w:r>
        <w:rPr>
          <w:rFonts w:hint="eastAsia" w:ascii="宋体" w:hAnsi="宋体" w:eastAsia="宋体" w:cs="宋体"/>
          <w:color w:val="000000"/>
          <w:kern w:val="0"/>
          <w:sz w:val="24"/>
          <w:szCs w:val="24"/>
        </w:rPr>
        <w:t>不能超过24个月。</w:t>
      </w:r>
    </w:p>
    <w:p w14:paraId="2D4F3F6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由他人原因造成的缺陷，发包人负责组织维修，承包人不承担费用，且发包人不得从保证金中扣除费用。</w:t>
      </w:r>
    </w:p>
    <w:p w14:paraId="1EEF243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15.2.3 任何一项缺陷或损坏修复后，经检查证明其影响了工程或工程设备的使用性能，承包人应重新进行合同约定的试验和试运行，试验和试运行的全部费用应由责任方承担。</w:t>
      </w:r>
    </w:p>
    <w:p w14:paraId="65D6D77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B3DF8BB">
      <w:pPr>
        <w:pStyle w:val="4"/>
        <w:spacing w:before="120" w:after="120" w:line="240" w:lineRule="auto"/>
        <w:ind w:firstLine="480" w:firstLineChars="200"/>
        <w:rPr>
          <w:rFonts w:hint="eastAsia" w:ascii="宋体" w:hAnsi="宋体" w:eastAsia="宋体" w:cs="宋体"/>
          <w:b w:val="0"/>
          <w:color w:val="000000"/>
          <w:sz w:val="24"/>
          <w:szCs w:val="24"/>
        </w:rPr>
      </w:pPr>
      <w:bookmarkStart w:id="335" w:name="_Toc351203601"/>
      <w:bookmarkStart w:id="336" w:name="_Toc337558818"/>
      <w:bookmarkStart w:id="337" w:name="_Toc296503115"/>
      <w:bookmarkStart w:id="338" w:name="_Toc296346616"/>
      <w:r>
        <w:rPr>
          <w:rFonts w:hint="eastAsia" w:ascii="宋体" w:hAnsi="宋体" w:eastAsia="宋体" w:cs="宋体"/>
          <w:b w:val="0"/>
          <w:color w:val="000000"/>
          <w:sz w:val="24"/>
          <w:szCs w:val="24"/>
        </w:rPr>
        <w:t>15.3 质量保证金</w:t>
      </w:r>
      <w:bookmarkEnd w:id="335"/>
    </w:p>
    <w:bookmarkEnd w:id="336"/>
    <w:p w14:paraId="15C717B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经合同当事人协商一致扣留质量保证金的，应在专用合同条款中予以明确。</w:t>
      </w:r>
    </w:p>
    <w:p w14:paraId="690576CC">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在工程项目竣工前，承包人已经提供履约担保的，发包人不得同时预留工程质量保证金。</w:t>
      </w:r>
    </w:p>
    <w:p w14:paraId="51E343B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p>
    <w:p w14:paraId="133CB41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15.3.1 承包人提供质量保证金的方式</w:t>
      </w:r>
    </w:p>
    <w:p w14:paraId="01DA645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承包人提供质量保证金有以下三种方式：</w:t>
      </w:r>
    </w:p>
    <w:p w14:paraId="46FAE48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（1）质量保证金保函； </w:t>
      </w:r>
    </w:p>
    <w:p w14:paraId="3C72992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（2）相应比例的工程款；</w:t>
      </w:r>
    </w:p>
    <w:p w14:paraId="0AC72DC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（3）双方约定的其他方式。</w:t>
      </w:r>
    </w:p>
    <w:p w14:paraId="503B58F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除专用合同条款另有约定外，质量保证金原则上采用上述第（1）种方式。</w:t>
      </w:r>
    </w:p>
    <w:p w14:paraId="0B8691C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15.3.2 质量保证金的扣留</w:t>
      </w:r>
    </w:p>
    <w:p w14:paraId="70A9458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质量保证金的扣留有以下三种方式：</w:t>
      </w:r>
    </w:p>
    <w:p w14:paraId="775DF13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14778B0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w:t>
      </w:r>
      <w:bookmarkStart w:id="339" w:name="#go6"/>
      <w:bookmarkEnd w:id="339"/>
      <w:r>
        <w:rPr>
          <w:rFonts w:hint="eastAsia" w:ascii="宋体" w:hAnsi="宋体" w:eastAsia="宋体" w:cs="宋体"/>
          <w:color w:val="000000"/>
          <w:kern w:val="0"/>
          <w:sz w:val="24"/>
          <w:szCs w:val="24"/>
        </w:rPr>
        <w:t>程竣工结算时一次性扣留质量保证金；</w:t>
      </w:r>
    </w:p>
    <w:p w14:paraId="51BE668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（3）双方约定的其他扣留方式。</w:t>
      </w:r>
    </w:p>
    <w:p w14:paraId="73E4FA6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除专用合同条款另有约定外，质量保证金的扣留原则上采用上述第（1）种方式。</w:t>
      </w:r>
    </w:p>
    <w:p w14:paraId="0775314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w:t>
      </w:r>
      <w:bookmarkStart w:id="340" w:name="#go4"/>
      <w:bookmarkEnd w:id="340"/>
      <w:r>
        <w:rPr>
          <w:rFonts w:hint="eastAsia" w:ascii="宋体" w:hAnsi="宋体" w:eastAsia="宋体" w:cs="宋体"/>
          <w:color w:val="000000"/>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1759548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发包人在退还质量保证金的同时按照中国人民银行发布的同期同类贷款基准利率支付利息。</w:t>
      </w:r>
    </w:p>
    <w:p w14:paraId="3D92DAB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15.3.3 </w:t>
      </w:r>
      <w:r>
        <w:rPr>
          <w:rFonts w:hint="eastAsia" w:ascii="宋体" w:hAnsi="宋体" w:eastAsia="宋体" w:cs="宋体"/>
          <w:color w:val="000000"/>
          <w:sz w:val="24"/>
          <w:szCs w:val="24"/>
        </w:rPr>
        <w:t>质量保证金</w:t>
      </w:r>
      <w:r>
        <w:rPr>
          <w:rFonts w:hint="eastAsia" w:ascii="宋体" w:hAnsi="宋体" w:eastAsia="宋体" w:cs="宋体"/>
          <w:color w:val="000000"/>
          <w:kern w:val="0"/>
          <w:sz w:val="24"/>
          <w:szCs w:val="24"/>
        </w:rPr>
        <w:t>的退还</w:t>
      </w:r>
    </w:p>
    <w:p w14:paraId="2A3E255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缺陷责任期内，承包人认真履行合同约定的责任，到期后，承包人可向发包人申请返还保证金。</w:t>
      </w:r>
    </w:p>
    <w:p w14:paraId="3493D3A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5CC3E3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发包人和承包人对保证金预留、返还以及工程维修质量、费用有争议的，按本合同第20条约定的争议和纠纷解决程序处理。</w:t>
      </w:r>
    </w:p>
    <w:p w14:paraId="69391CEA">
      <w:pPr>
        <w:pStyle w:val="4"/>
        <w:spacing w:before="120" w:after="120" w:line="240" w:lineRule="auto"/>
        <w:ind w:firstLine="480" w:firstLineChars="200"/>
        <w:rPr>
          <w:rFonts w:hint="eastAsia" w:ascii="宋体" w:hAnsi="宋体" w:eastAsia="宋体" w:cs="宋体"/>
          <w:b w:val="0"/>
          <w:color w:val="000000"/>
          <w:sz w:val="24"/>
          <w:szCs w:val="24"/>
        </w:rPr>
      </w:pPr>
      <w:bookmarkStart w:id="341" w:name="_Toc351203602"/>
      <w:bookmarkStart w:id="342" w:name="_Toc337558819"/>
      <w:r>
        <w:rPr>
          <w:rFonts w:hint="eastAsia" w:ascii="宋体" w:hAnsi="宋体" w:eastAsia="宋体" w:cs="宋体"/>
          <w:b w:val="0"/>
          <w:color w:val="000000"/>
          <w:sz w:val="24"/>
          <w:szCs w:val="24"/>
        </w:rPr>
        <w:t>15.4 保修</w:t>
      </w:r>
      <w:bookmarkEnd w:id="341"/>
    </w:p>
    <w:bookmarkEnd w:id="337"/>
    <w:bookmarkEnd w:id="338"/>
    <w:bookmarkEnd w:id="342"/>
    <w:p w14:paraId="1D4790B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15.4.1保修责任</w:t>
      </w:r>
    </w:p>
    <w:p w14:paraId="02FA6F0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5F42AD7">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发包人未经竣工验收擅自使用工程的，保修期自</w:t>
      </w:r>
      <w:r>
        <w:rPr>
          <w:rFonts w:hint="eastAsia" w:ascii="宋体" w:hAnsi="宋体" w:eastAsia="宋体" w:cs="宋体"/>
          <w:color w:val="000000"/>
          <w:kern w:val="0"/>
          <w:sz w:val="24"/>
          <w:szCs w:val="24"/>
        </w:rPr>
        <w:t>转移占有之日起算</w:t>
      </w:r>
      <w:r>
        <w:rPr>
          <w:rFonts w:hint="eastAsia" w:ascii="宋体" w:hAnsi="宋体" w:eastAsia="宋体" w:cs="宋体"/>
          <w:color w:val="000000"/>
          <w:sz w:val="24"/>
          <w:szCs w:val="24"/>
        </w:rPr>
        <w:t>。</w:t>
      </w:r>
    </w:p>
    <w:p w14:paraId="0D68836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15.4.2 修复费用</w:t>
      </w:r>
    </w:p>
    <w:p w14:paraId="4572C3E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保修期内，修复的费用按照以下约定处理：</w:t>
      </w:r>
    </w:p>
    <w:p w14:paraId="202FBAE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（1）保修期内，因承包人原因造成工程的缺陷、损坏，承包人应负责修复，并承担修复的费用以及因工程的缺陷、损坏造成的人身伤害和财产损失；</w:t>
      </w:r>
    </w:p>
    <w:p w14:paraId="36E3AB3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（2）保修期内，因发包人使用不当造成工程的缺陷、损坏，可以委托承包人修复，但发包人应承担修复的费用，并支付承包人合理利润；</w:t>
      </w:r>
    </w:p>
    <w:p w14:paraId="1810D84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（3）因其他原因造成工程的缺陷、损坏，可以委托承包人修复，发包人应承担修复的费用，并支付承包人合理的利润，因工程的缺陷、损坏造成的人身伤害和财产损失由责任方承担。</w:t>
      </w:r>
    </w:p>
    <w:p w14:paraId="5717CAD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15.4.3 修复通知</w:t>
      </w:r>
    </w:p>
    <w:p w14:paraId="03F8F67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73B8A45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15.4.4 未能修复</w:t>
      </w:r>
    </w:p>
    <w:p w14:paraId="467BB42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B9275C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15.4.5 承包人出入权</w:t>
      </w:r>
    </w:p>
    <w:p w14:paraId="05078B4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926FAFC">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343" w:name="_Toc351203603"/>
      <w:bookmarkStart w:id="344" w:name="_Toc337558820"/>
      <w:r>
        <w:rPr>
          <w:rFonts w:hint="eastAsia" w:ascii="宋体" w:hAnsi="宋体" w:eastAsia="宋体" w:cs="宋体"/>
          <w:b w:val="0"/>
          <w:bCs/>
          <w:color w:val="000000"/>
          <w:kern w:val="2"/>
          <w:sz w:val="24"/>
          <w:szCs w:val="24"/>
          <w:lang w:val="en-US" w:eastAsia="zh-CN" w:bidi="ar-SA"/>
        </w:rPr>
        <w:t>16. 违约</w:t>
      </w:r>
      <w:bookmarkEnd w:id="343"/>
    </w:p>
    <w:bookmarkEnd w:id="344"/>
    <w:p w14:paraId="69A36487">
      <w:pPr>
        <w:pStyle w:val="4"/>
        <w:spacing w:before="120" w:after="120" w:line="240" w:lineRule="auto"/>
        <w:ind w:firstLine="480" w:firstLineChars="200"/>
        <w:rPr>
          <w:rFonts w:hint="eastAsia" w:ascii="宋体" w:hAnsi="宋体" w:eastAsia="宋体" w:cs="宋体"/>
          <w:b w:val="0"/>
          <w:color w:val="000000"/>
          <w:sz w:val="24"/>
          <w:szCs w:val="24"/>
        </w:rPr>
      </w:pPr>
      <w:bookmarkStart w:id="345" w:name="_Toc296503129"/>
      <w:bookmarkStart w:id="346" w:name="_Toc296346630"/>
      <w:bookmarkStart w:id="347" w:name="_Toc351203604"/>
      <w:bookmarkStart w:id="348" w:name="_Toc337558821"/>
      <w:r>
        <w:rPr>
          <w:rFonts w:hint="eastAsia" w:ascii="宋体" w:hAnsi="宋体" w:eastAsia="宋体" w:cs="宋体"/>
          <w:b w:val="0"/>
          <w:color w:val="000000"/>
          <w:sz w:val="24"/>
          <w:szCs w:val="24"/>
        </w:rPr>
        <w:t>16.1 发</w:t>
      </w:r>
      <w:bookmarkEnd w:id="345"/>
      <w:bookmarkEnd w:id="346"/>
      <w:r>
        <w:rPr>
          <w:rFonts w:hint="eastAsia" w:ascii="宋体" w:hAnsi="宋体" w:eastAsia="宋体" w:cs="宋体"/>
          <w:b w:val="0"/>
          <w:color w:val="000000"/>
          <w:sz w:val="24"/>
          <w:szCs w:val="24"/>
        </w:rPr>
        <w:t>包人违约</w:t>
      </w:r>
      <w:bookmarkEnd w:id="347"/>
    </w:p>
    <w:bookmarkEnd w:id="348"/>
    <w:p w14:paraId="5C6E7F7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16.1.1 发包人违约的情形</w:t>
      </w:r>
    </w:p>
    <w:p w14:paraId="2DE1A6B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在合同履行过程中发生的下列情形，属于发包人违约：</w:t>
      </w:r>
    </w:p>
    <w:p w14:paraId="3DD3848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（1）因发包人原因未能在计划开工日期前7天内下达开工通知的；</w:t>
      </w:r>
    </w:p>
    <w:p w14:paraId="61CC2BA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w:t>
      </w:r>
    </w:p>
    <w:p w14:paraId="1DA5AAA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w:t>
      </w:r>
    </w:p>
    <w:p w14:paraId="7252D38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w:t>
      </w:r>
    </w:p>
    <w:p w14:paraId="78F38C1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w:t>
      </w:r>
    </w:p>
    <w:p w14:paraId="2A40D20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w:t>
      </w:r>
    </w:p>
    <w:p w14:paraId="4C59368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（7）发包人明确表示或者以其行为表明不履行合同主要义务的；</w:t>
      </w:r>
    </w:p>
    <w:p w14:paraId="7871A4A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（8）发包人未能按照合同约定履行其他义务的。</w:t>
      </w:r>
    </w:p>
    <w:p w14:paraId="242D42E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6742B3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16.1.2 发包人违约的责任</w:t>
      </w:r>
    </w:p>
    <w:p w14:paraId="7F0D056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021601D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16.1.3 因发包人违约解除合同</w:t>
      </w:r>
    </w:p>
    <w:p w14:paraId="54C6575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64666BD">
      <w:pPr>
        <w:autoSpaceDE w:val="0"/>
        <w:autoSpaceDN w:val="0"/>
        <w:adjustRightInd w:val="0"/>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16.1.4 因发包人违约解除合同后的付款</w:t>
      </w:r>
    </w:p>
    <w:p w14:paraId="604553D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承包人按照本款约定解除合同的，发包人应在解除合同后28天内支付下列款项，并解除履约担保：</w:t>
      </w:r>
    </w:p>
    <w:p w14:paraId="70895A0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（1）合同解除前所完成工作的价款；</w:t>
      </w:r>
    </w:p>
    <w:p w14:paraId="3414619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（2）承包人为工程施工订购并已付款的材料、工程设备和其他物品的价款；</w:t>
      </w:r>
    </w:p>
    <w:p w14:paraId="4E58C47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（3）承包人撤离施工现场以及遣散承包人人员的款项；</w:t>
      </w:r>
    </w:p>
    <w:p w14:paraId="2634B98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（4）按照合同约定在合同解除前应支付的违约金；</w:t>
      </w:r>
    </w:p>
    <w:p w14:paraId="22F8B82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（5）按照合同约定应当支付给承包人的其他款项；</w:t>
      </w:r>
    </w:p>
    <w:p w14:paraId="249192B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（6）按照合同约定应退还的质量保证金；</w:t>
      </w:r>
    </w:p>
    <w:p w14:paraId="74F6E7A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（7）因解除合同给承包人造成的损失。</w:t>
      </w:r>
    </w:p>
    <w:p w14:paraId="06DF6D3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合同当事人未能就解除合同后的结清达成一致的，按照第20条〔争议解决〕的约定处理。</w:t>
      </w:r>
    </w:p>
    <w:p w14:paraId="3D29632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承包人应妥善做好已完工程和与工程有关的已购材料、工程设备的保护和移交工作，并将施工设备和人员撤出施工现场，发包人应为承包人撤出提供必要条件。</w:t>
      </w:r>
    </w:p>
    <w:p w14:paraId="444AAEC3">
      <w:pPr>
        <w:pStyle w:val="4"/>
        <w:spacing w:before="120" w:after="120" w:line="240" w:lineRule="auto"/>
        <w:ind w:firstLine="480" w:firstLineChars="200"/>
        <w:rPr>
          <w:rFonts w:hint="eastAsia" w:ascii="宋体" w:hAnsi="宋体" w:eastAsia="宋体" w:cs="宋体"/>
          <w:b w:val="0"/>
          <w:color w:val="000000"/>
          <w:sz w:val="24"/>
          <w:szCs w:val="24"/>
        </w:rPr>
      </w:pPr>
      <w:bookmarkStart w:id="349" w:name="_Toc351203605"/>
      <w:bookmarkStart w:id="350" w:name="_Toc296503131"/>
      <w:bookmarkStart w:id="351" w:name="_Toc296346632"/>
      <w:bookmarkStart w:id="352" w:name="_Toc337558822"/>
      <w:r>
        <w:rPr>
          <w:rFonts w:hint="eastAsia" w:ascii="宋体" w:hAnsi="宋体" w:eastAsia="宋体" w:cs="宋体"/>
          <w:b w:val="0"/>
          <w:color w:val="000000"/>
          <w:sz w:val="24"/>
          <w:szCs w:val="24"/>
        </w:rPr>
        <w:t>16.2 承包人违约</w:t>
      </w:r>
      <w:bookmarkEnd w:id="349"/>
    </w:p>
    <w:bookmarkEnd w:id="350"/>
    <w:bookmarkEnd w:id="351"/>
    <w:bookmarkEnd w:id="352"/>
    <w:p w14:paraId="20240AE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0417B58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在合同履行过程中发生的下列情形，属于承包人违约：</w:t>
      </w:r>
    </w:p>
    <w:p w14:paraId="0897B9B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（1）承包人违反合同约定进行转包或违法分包的；</w:t>
      </w:r>
    </w:p>
    <w:p w14:paraId="1D23CB1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（2）承包人违反合同约定采购和使用不合格的材料和工程设备的；</w:t>
      </w:r>
    </w:p>
    <w:p w14:paraId="0C7F38D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（3）因承包人原因导致工程质量不符合合同要求的； </w:t>
      </w:r>
    </w:p>
    <w:p w14:paraId="3BBA74F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（4）承包人违反第8.9款〔材料与设备专用要求〕的约定，未经批准，私自将已按照合同约定进入施工现场的材料或设备撤离施工现场的；</w:t>
      </w:r>
    </w:p>
    <w:p w14:paraId="2DD881E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（5）承包人未能按施工进度计划及时完成合同约定的工作，造成工期延误的；</w:t>
      </w:r>
    </w:p>
    <w:p w14:paraId="307BE49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（6）承包人在缺陷责任期及保修期内，未能在合理期限对工程缺陷进行修复，或拒绝按发包人要求进行修复的；</w:t>
      </w:r>
    </w:p>
    <w:p w14:paraId="6AB6F2C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（7）承包人明确表示或者以其行为表明不履行合同主要义务的；</w:t>
      </w:r>
    </w:p>
    <w:p w14:paraId="6A757C3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（8）承包人未能按照合同约定履行其他义务的。</w:t>
      </w:r>
    </w:p>
    <w:p w14:paraId="7A954BF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承包人发生除本项第（7）目约定以外的其他违约情况时，监理人可向承包人发出整改通知，要求其在指定的期限内改正。</w:t>
      </w:r>
    </w:p>
    <w:p w14:paraId="6DF705A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 承包人违约的责任</w:t>
      </w:r>
    </w:p>
    <w:p w14:paraId="15823FF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承包人应承担因其违约行为而增加的费用和（或）延误的工期。此外，合同当事人可在专用合同条款中另行约定承包人违约责任的承担方式和计算方法。</w:t>
      </w:r>
    </w:p>
    <w:p w14:paraId="2E908F0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16.2.3 因承包人违约解除合同</w:t>
      </w:r>
    </w:p>
    <w:p w14:paraId="23AF836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7F95F4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16.2.4因承包人违约解除合同后的处理</w:t>
      </w:r>
    </w:p>
    <w:p w14:paraId="6E20C7E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因承包人原因导致合同解除的，则合同当事人应在合同解除后28天内完成估价、付款和清算，并按以下约定执行：</w:t>
      </w:r>
    </w:p>
    <w:p w14:paraId="51312E9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（1）合同解除后，按第4.4款〔商定或确定〕商定或确定承包人实际完成工作对应的合同价款，以及承包人已提供的材料、工程设备、施工设备和临时工程等的价值；</w:t>
      </w:r>
    </w:p>
    <w:p w14:paraId="04FD119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（2）合同解除后，承包人应支付的违约金；</w:t>
      </w:r>
    </w:p>
    <w:p w14:paraId="2471C74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（3）合同解除后，因解除合同给发包人造成的损失；</w:t>
      </w:r>
    </w:p>
    <w:p w14:paraId="10F16AC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（4）合同解除后，承包人应按照发包人要求和监理人的指示完成现场的清理和撤离；</w:t>
      </w:r>
    </w:p>
    <w:p w14:paraId="3D8FE53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（5）发包人和承包人应在合同解除后进行清算，出具最终结清付款证书，结清全部款项。</w:t>
      </w:r>
    </w:p>
    <w:p w14:paraId="7E17D207">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1A7C3FEC">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16.2.5采购合同权益转让</w:t>
      </w:r>
    </w:p>
    <w:p w14:paraId="0AEA39C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6C9145D1">
      <w:pPr>
        <w:pStyle w:val="4"/>
        <w:spacing w:before="120" w:after="120" w:line="240" w:lineRule="auto"/>
        <w:ind w:firstLine="480" w:firstLineChars="200"/>
        <w:rPr>
          <w:rFonts w:hint="eastAsia" w:ascii="宋体" w:hAnsi="宋体" w:eastAsia="宋体" w:cs="宋体"/>
          <w:b w:val="0"/>
          <w:color w:val="000000"/>
          <w:sz w:val="24"/>
          <w:szCs w:val="24"/>
        </w:rPr>
      </w:pPr>
      <w:bookmarkStart w:id="353" w:name="_Toc351203606"/>
      <w:r>
        <w:rPr>
          <w:rFonts w:hint="eastAsia" w:ascii="宋体" w:hAnsi="宋体" w:eastAsia="宋体" w:cs="宋体"/>
          <w:b w:val="0"/>
          <w:color w:val="000000"/>
          <w:sz w:val="24"/>
          <w:szCs w:val="24"/>
        </w:rPr>
        <w:t>16.3 第三人造成的违约</w:t>
      </w:r>
      <w:bookmarkEnd w:id="353"/>
    </w:p>
    <w:p w14:paraId="7E97E47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在履行合同过程中，一方当事人因第三人的原因造成违约的，应当向对方当事人承担违约责任。一方当事人和第三人之间的纠纷，依照法律规定或者按照约定解决。</w:t>
      </w:r>
    </w:p>
    <w:p w14:paraId="1BCFD96A">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354" w:name="_Toc351203607"/>
      <w:bookmarkStart w:id="355" w:name="_Toc337558823"/>
      <w:bookmarkStart w:id="356" w:name="_Toc296346617"/>
      <w:bookmarkStart w:id="357" w:name="_Toc296503116"/>
      <w:r>
        <w:rPr>
          <w:rFonts w:hint="eastAsia" w:ascii="宋体" w:hAnsi="宋体" w:eastAsia="宋体" w:cs="宋体"/>
          <w:b w:val="0"/>
          <w:bCs/>
          <w:color w:val="000000"/>
          <w:kern w:val="2"/>
          <w:sz w:val="24"/>
          <w:szCs w:val="24"/>
          <w:lang w:val="en-US" w:eastAsia="zh-CN" w:bidi="ar-SA"/>
        </w:rPr>
        <w:t>17. 不可抗力</w:t>
      </w:r>
      <w:bookmarkEnd w:id="354"/>
      <w:r>
        <w:rPr>
          <w:rFonts w:hint="eastAsia" w:ascii="宋体" w:hAnsi="宋体" w:eastAsia="宋体" w:cs="宋体"/>
          <w:b w:val="0"/>
          <w:bCs/>
          <w:color w:val="000000"/>
          <w:kern w:val="2"/>
          <w:sz w:val="24"/>
          <w:szCs w:val="24"/>
          <w:lang w:val="en-US" w:eastAsia="zh-CN" w:bidi="ar-SA"/>
        </w:rPr>
        <w:t xml:space="preserve"> </w:t>
      </w:r>
      <w:bookmarkEnd w:id="355"/>
      <w:bookmarkEnd w:id="356"/>
      <w:bookmarkEnd w:id="357"/>
    </w:p>
    <w:p w14:paraId="386685ED">
      <w:pPr>
        <w:pStyle w:val="4"/>
        <w:spacing w:before="120" w:after="120" w:line="240" w:lineRule="auto"/>
        <w:ind w:firstLine="480" w:firstLineChars="200"/>
        <w:rPr>
          <w:rFonts w:hint="eastAsia" w:ascii="宋体" w:hAnsi="宋体" w:eastAsia="宋体" w:cs="宋体"/>
          <w:b w:val="0"/>
          <w:color w:val="000000"/>
          <w:sz w:val="24"/>
          <w:szCs w:val="24"/>
        </w:rPr>
      </w:pPr>
      <w:bookmarkStart w:id="358" w:name="_Toc351203608"/>
      <w:bookmarkStart w:id="359" w:name="_Toc296346618"/>
      <w:bookmarkStart w:id="360" w:name="_Toc296503117"/>
      <w:bookmarkStart w:id="361" w:name="_Toc337558824"/>
      <w:r>
        <w:rPr>
          <w:rFonts w:hint="eastAsia" w:ascii="宋体" w:hAnsi="宋体" w:eastAsia="宋体" w:cs="宋体"/>
          <w:b w:val="0"/>
          <w:color w:val="000000"/>
          <w:sz w:val="24"/>
          <w:szCs w:val="24"/>
        </w:rPr>
        <w:t>17.1 不可抗力的确认</w:t>
      </w:r>
      <w:bookmarkEnd w:id="358"/>
    </w:p>
    <w:bookmarkEnd w:id="359"/>
    <w:bookmarkEnd w:id="360"/>
    <w:bookmarkEnd w:id="361"/>
    <w:p w14:paraId="6AE360D8">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6528162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71034DF">
      <w:pPr>
        <w:pStyle w:val="4"/>
        <w:spacing w:before="120" w:after="120" w:line="240" w:lineRule="auto"/>
        <w:ind w:firstLine="480" w:firstLineChars="200"/>
        <w:rPr>
          <w:rFonts w:hint="eastAsia" w:ascii="宋体" w:hAnsi="宋体" w:eastAsia="宋体" w:cs="宋体"/>
          <w:b w:val="0"/>
          <w:color w:val="000000"/>
          <w:sz w:val="24"/>
          <w:szCs w:val="24"/>
        </w:rPr>
      </w:pPr>
      <w:bookmarkStart w:id="362" w:name="_Toc351203609"/>
      <w:bookmarkStart w:id="363" w:name="_Toc296346619"/>
      <w:bookmarkStart w:id="364" w:name="_Toc337558825"/>
      <w:bookmarkStart w:id="365" w:name="_Toc296503118"/>
      <w:r>
        <w:rPr>
          <w:rFonts w:hint="eastAsia" w:ascii="宋体" w:hAnsi="宋体" w:eastAsia="宋体" w:cs="宋体"/>
          <w:b w:val="0"/>
          <w:color w:val="000000"/>
          <w:sz w:val="24"/>
          <w:szCs w:val="24"/>
        </w:rPr>
        <w:t>17.2 不可抗力的通知</w:t>
      </w:r>
      <w:bookmarkEnd w:id="362"/>
    </w:p>
    <w:bookmarkEnd w:id="363"/>
    <w:bookmarkEnd w:id="364"/>
    <w:bookmarkEnd w:id="365"/>
    <w:p w14:paraId="100D883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合同一方当事人遇到不可抗力事件，使其履行合同义务受到阻碍时，应立即通知合同另一方当事人和监理人，书面说明不可抗力和受阻碍的详细情况，并提供必要的证明。</w:t>
      </w:r>
    </w:p>
    <w:p w14:paraId="724CA8B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7F59F070">
      <w:pPr>
        <w:pStyle w:val="4"/>
        <w:spacing w:before="120" w:after="120" w:line="240" w:lineRule="auto"/>
        <w:ind w:firstLine="480" w:firstLineChars="200"/>
        <w:rPr>
          <w:rFonts w:hint="eastAsia" w:ascii="宋体" w:hAnsi="宋体" w:eastAsia="宋体" w:cs="宋体"/>
          <w:b w:val="0"/>
          <w:color w:val="000000"/>
          <w:sz w:val="24"/>
          <w:szCs w:val="24"/>
        </w:rPr>
      </w:pPr>
      <w:bookmarkStart w:id="366" w:name="_Toc351203610"/>
      <w:bookmarkStart w:id="367" w:name="_Toc296346620"/>
      <w:bookmarkStart w:id="368" w:name="_Toc296503119"/>
      <w:bookmarkStart w:id="369" w:name="_Toc337558826"/>
      <w:r>
        <w:rPr>
          <w:rFonts w:hint="eastAsia" w:ascii="宋体" w:hAnsi="宋体" w:eastAsia="宋体" w:cs="宋体"/>
          <w:b w:val="0"/>
          <w:color w:val="000000"/>
          <w:sz w:val="24"/>
          <w:szCs w:val="24"/>
        </w:rPr>
        <w:t>17.3 不可抗力后果的承担</w:t>
      </w:r>
      <w:bookmarkEnd w:id="366"/>
    </w:p>
    <w:bookmarkEnd w:id="367"/>
    <w:bookmarkEnd w:id="368"/>
    <w:bookmarkEnd w:id="369"/>
    <w:p w14:paraId="3B264C2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17.3.1 不可抗力引起的后果及造成的损失由合同当事人按照法律规定及合同约定各自承担。不可抗力发生前已完成的工程应当按照合同约定进行计量支付。</w:t>
      </w:r>
    </w:p>
    <w:p w14:paraId="3339426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17.3.2 不可抗力导致的人员伤亡、财产损失、费用增加和（或）工期延误等后果，由合同当事人按以下原则承担：</w:t>
      </w:r>
    </w:p>
    <w:p w14:paraId="579CAC5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（1）永久工程、已运至施工现场的材料和工程设备的损坏，以及因工程损坏造成的第三人人员伤亡和财产损失由发包人承担；</w:t>
      </w:r>
    </w:p>
    <w:p w14:paraId="0EB6BAA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（2）承包人施工设备的损坏由承包人承担；</w:t>
      </w:r>
    </w:p>
    <w:p w14:paraId="766B1B8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（3）发包人和承包人承担各自人员伤亡和财产的损失；</w:t>
      </w:r>
    </w:p>
    <w:p w14:paraId="2B1E56F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260DC9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（5）因不可抗力引起或将引起工期延误，发包人要求赶工的，由此增加的赶工费用由发包人承担；</w:t>
      </w:r>
    </w:p>
    <w:p w14:paraId="23D860F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（6）承包人在停工期间按照发包人要求照管、清理和修复工程的费用由发包人承担。</w:t>
      </w:r>
    </w:p>
    <w:p w14:paraId="1FAC97E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不可抗力发生后，合同当事人均应采取措施尽量避免和减少损失的扩大，任何一方当事人没有采取有效措施导致损失扩大的，应对扩大的损失承担责任。</w:t>
      </w:r>
    </w:p>
    <w:p w14:paraId="0E3C9FF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因合同一方迟延履行合同义务，在迟延履行期间遭遇不可抗力的，不免除其违约责任。</w:t>
      </w:r>
    </w:p>
    <w:p w14:paraId="79101E77">
      <w:pPr>
        <w:pStyle w:val="4"/>
        <w:spacing w:before="120" w:after="120" w:line="240" w:lineRule="auto"/>
        <w:ind w:firstLine="480" w:firstLineChars="200"/>
        <w:rPr>
          <w:rFonts w:hint="eastAsia" w:ascii="宋体" w:hAnsi="宋体" w:eastAsia="宋体" w:cs="宋体"/>
          <w:b w:val="0"/>
          <w:color w:val="000000"/>
          <w:sz w:val="24"/>
          <w:szCs w:val="24"/>
        </w:rPr>
      </w:pPr>
      <w:bookmarkStart w:id="370" w:name="_Toc351203611"/>
      <w:bookmarkStart w:id="371" w:name="_Toc337558827"/>
      <w:r>
        <w:rPr>
          <w:rFonts w:hint="eastAsia" w:ascii="宋体" w:hAnsi="宋体" w:eastAsia="宋体" w:cs="宋体"/>
          <w:b w:val="0"/>
          <w:color w:val="000000"/>
          <w:sz w:val="24"/>
          <w:szCs w:val="24"/>
        </w:rPr>
        <w:t>17.4 因不可抗力解除合同</w:t>
      </w:r>
      <w:bookmarkEnd w:id="370"/>
    </w:p>
    <w:bookmarkEnd w:id="371"/>
    <w:p w14:paraId="7A0D9D2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06EF8880">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（1）合同解除前承包人已完成工作的价款；</w:t>
      </w:r>
    </w:p>
    <w:p w14:paraId="43898BC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（2）承包人为工程订购的并已交付给承包人，或承包人有责任接受交付的材料、工程设备和其他物品的价款；</w:t>
      </w:r>
    </w:p>
    <w:p w14:paraId="30A1298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（3）发包人要求承包人退货或解除订货合同而产生的费用，或因不能退货或解除合同而产生的损失；</w:t>
      </w:r>
    </w:p>
    <w:p w14:paraId="29311FA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（4）承包人撤离施工现场以及遣散承包人人员的费用；</w:t>
      </w:r>
    </w:p>
    <w:p w14:paraId="1B5ED8B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（5）按照合同约定在合同解除前应支付给承包人的其他款项；</w:t>
      </w:r>
    </w:p>
    <w:p w14:paraId="3A56411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（6）扣减承包人按照合同约定应向发包人支付的款项；</w:t>
      </w:r>
    </w:p>
    <w:p w14:paraId="2936C2D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（7）双方商定或确定的其他款项。</w:t>
      </w:r>
    </w:p>
    <w:p w14:paraId="5E39DF2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除专用合同条款另有约定外，合同解除后，发包人应在商定或确定上述款项后28天内完成上述款项的支付。</w:t>
      </w:r>
    </w:p>
    <w:p w14:paraId="32BD838A">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372" w:name="_Toc351203612"/>
      <w:bookmarkStart w:id="373" w:name="_Toc337558828"/>
      <w:bookmarkStart w:id="374" w:name="_Toc296346621"/>
      <w:bookmarkStart w:id="375" w:name="_Toc296503120"/>
      <w:r>
        <w:rPr>
          <w:rFonts w:hint="eastAsia" w:ascii="宋体" w:hAnsi="宋体" w:eastAsia="宋体" w:cs="宋体"/>
          <w:b w:val="0"/>
          <w:bCs/>
          <w:color w:val="000000"/>
          <w:kern w:val="2"/>
          <w:sz w:val="24"/>
          <w:szCs w:val="24"/>
          <w:lang w:val="en-US" w:eastAsia="zh-CN" w:bidi="ar-SA"/>
        </w:rPr>
        <w:t>18. 保险</w:t>
      </w:r>
      <w:bookmarkEnd w:id="372"/>
    </w:p>
    <w:bookmarkEnd w:id="373"/>
    <w:bookmarkEnd w:id="374"/>
    <w:bookmarkEnd w:id="375"/>
    <w:p w14:paraId="1FCE2BC6">
      <w:pPr>
        <w:pStyle w:val="4"/>
        <w:spacing w:before="120" w:after="120" w:line="240" w:lineRule="auto"/>
        <w:ind w:firstLine="480" w:firstLineChars="200"/>
        <w:rPr>
          <w:rFonts w:hint="eastAsia" w:ascii="宋体" w:hAnsi="宋体" w:eastAsia="宋体" w:cs="宋体"/>
          <w:b w:val="0"/>
          <w:color w:val="000000"/>
          <w:sz w:val="24"/>
          <w:szCs w:val="24"/>
        </w:rPr>
      </w:pPr>
      <w:bookmarkStart w:id="376" w:name="_Toc351203613"/>
      <w:bookmarkStart w:id="377" w:name="_Toc296503121"/>
      <w:bookmarkStart w:id="378" w:name="_Toc296346622"/>
      <w:bookmarkStart w:id="379" w:name="_Toc337558829"/>
      <w:r>
        <w:rPr>
          <w:rFonts w:hint="eastAsia" w:ascii="宋体" w:hAnsi="宋体" w:eastAsia="宋体" w:cs="宋体"/>
          <w:b w:val="0"/>
          <w:color w:val="000000"/>
          <w:sz w:val="24"/>
          <w:szCs w:val="24"/>
        </w:rPr>
        <w:t>18.1 工程保险</w:t>
      </w:r>
      <w:bookmarkEnd w:id="376"/>
    </w:p>
    <w:bookmarkEnd w:id="377"/>
    <w:bookmarkEnd w:id="378"/>
    <w:bookmarkEnd w:id="379"/>
    <w:p w14:paraId="44A0AC7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除专用合同条款另有约定外，发包人应投保建筑工程一切险或安装工程一切险；发包人委托承包人投保的，因投保产生的保险费和其他相关费用由发包人承担。</w:t>
      </w:r>
    </w:p>
    <w:p w14:paraId="42776853">
      <w:pPr>
        <w:pStyle w:val="4"/>
        <w:spacing w:before="120" w:after="120" w:line="240" w:lineRule="auto"/>
        <w:ind w:firstLine="480" w:firstLineChars="200"/>
        <w:rPr>
          <w:rFonts w:hint="eastAsia" w:ascii="宋体" w:hAnsi="宋体" w:eastAsia="宋体" w:cs="宋体"/>
          <w:b w:val="0"/>
          <w:color w:val="000000"/>
          <w:sz w:val="24"/>
          <w:szCs w:val="24"/>
        </w:rPr>
      </w:pPr>
      <w:bookmarkStart w:id="380" w:name="_Toc351203614"/>
      <w:bookmarkStart w:id="381" w:name="_Toc296346623"/>
      <w:bookmarkStart w:id="382" w:name="_Toc337558830"/>
      <w:bookmarkStart w:id="383" w:name="_Toc296503122"/>
      <w:r>
        <w:rPr>
          <w:rFonts w:hint="eastAsia" w:ascii="宋体" w:hAnsi="宋体" w:eastAsia="宋体" w:cs="宋体"/>
          <w:b w:val="0"/>
          <w:color w:val="000000"/>
          <w:sz w:val="24"/>
          <w:szCs w:val="24"/>
        </w:rPr>
        <w:t>18.2 工伤保险</w:t>
      </w:r>
      <w:bookmarkEnd w:id="380"/>
    </w:p>
    <w:bookmarkEnd w:id="381"/>
    <w:bookmarkEnd w:id="382"/>
    <w:bookmarkEnd w:id="383"/>
    <w:p w14:paraId="3935D1D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18.2.1 发包人应依照法律规定参加工伤保险，并为在施工现场的全部员工办理工伤保险，缴纳工伤保险费，并要求监理人及由发包人为履行合同聘请的第三方依法参加工伤保险。</w:t>
      </w:r>
    </w:p>
    <w:p w14:paraId="2A474E9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18.2.2 承包人应依照法律规定参加工伤保险，并为其履行合同的全部员工办理工伤保险，缴纳工伤保险费，并要求分包人及由承包人为履行合同聘请的第三方依法参加工伤保险。</w:t>
      </w:r>
    </w:p>
    <w:p w14:paraId="60B24761">
      <w:pPr>
        <w:pStyle w:val="4"/>
        <w:spacing w:before="120" w:after="120" w:line="240" w:lineRule="auto"/>
        <w:ind w:firstLine="480" w:firstLineChars="200"/>
        <w:rPr>
          <w:rFonts w:hint="eastAsia" w:ascii="宋体" w:hAnsi="宋体" w:eastAsia="宋体" w:cs="宋体"/>
          <w:b w:val="0"/>
          <w:color w:val="000000"/>
          <w:sz w:val="24"/>
          <w:szCs w:val="24"/>
        </w:rPr>
      </w:pPr>
      <w:bookmarkStart w:id="384" w:name="_Toc351203615"/>
      <w:bookmarkStart w:id="385" w:name="_Toc296346626"/>
      <w:bookmarkStart w:id="386" w:name="_Toc296503125"/>
      <w:bookmarkStart w:id="387" w:name="_Toc337558831"/>
      <w:r>
        <w:rPr>
          <w:rFonts w:hint="eastAsia" w:ascii="宋体" w:hAnsi="宋体" w:eastAsia="宋体" w:cs="宋体"/>
          <w:b w:val="0"/>
          <w:color w:val="000000"/>
          <w:sz w:val="24"/>
          <w:szCs w:val="24"/>
        </w:rPr>
        <w:t>18.3其他保险</w:t>
      </w:r>
      <w:bookmarkEnd w:id="384"/>
    </w:p>
    <w:bookmarkEnd w:id="385"/>
    <w:bookmarkEnd w:id="386"/>
    <w:bookmarkEnd w:id="387"/>
    <w:p w14:paraId="28C942D4">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发包人和承包人可以为其施工现场的全部人员办理意外伤害保险并支付保险费，包括其员工及为履行合同聘请的第三方的人员，具体事项由合同当事人在专用合同条款约定。</w:t>
      </w:r>
    </w:p>
    <w:p w14:paraId="2953F730">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除专用合同条款另有约定外，承包人应为其施工设备等办理财产保险。</w:t>
      </w:r>
    </w:p>
    <w:p w14:paraId="6A0F19E5">
      <w:pPr>
        <w:pStyle w:val="4"/>
        <w:spacing w:before="120" w:after="120" w:line="240" w:lineRule="auto"/>
        <w:ind w:firstLine="480" w:firstLineChars="200"/>
        <w:rPr>
          <w:rFonts w:hint="eastAsia" w:ascii="宋体" w:hAnsi="宋体" w:eastAsia="宋体" w:cs="宋体"/>
          <w:b w:val="0"/>
          <w:color w:val="000000"/>
          <w:sz w:val="24"/>
          <w:szCs w:val="24"/>
        </w:rPr>
      </w:pPr>
      <w:bookmarkStart w:id="388" w:name="_Toc351203616"/>
      <w:r>
        <w:rPr>
          <w:rFonts w:hint="eastAsia" w:ascii="宋体" w:hAnsi="宋体" w:eastAsia="宋体" w:cs="宋体"/>
          <w:b w:val="0"/>
          <w:color w:val="000000"/>
          <w:sz w:val="24"/>
          <w:szCs w:val="24"/>
        </w:rPr>
        <w:t>18.4持续保险</w:t>
      </w:r>
      <w:bookmarkEnd w:id="388"/>
    </w:p>
    <w:p w14:paraId="56F65357">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合同当事人应与保险人保持联系，使保险人能够随时了解工程实施中的变动，并确保按保险合同条款要求持续保险。</w:t>
      </w:r>
    </w:p>
    <w:p w14:paraId="49B649AB">
      <w:pPr>
        <w:pStyle w:val="4"/>
        <w:spacing w:before="120" w:after="120" w:line="240" w:lineRule="auto"/>
        <w:ind w:firstLine="480" w:firstLineChars="200"/>
        <w:rPr>
          <w:rFonts w:hint="eastAsia" w:ascii="宋体" w:hAnsi="宋体" w:eastAsia="宋体" w:cs="宋体"/>
          <w:b w:val="0"/>
          <w:color w:val="000000"/>
          <w:sz w:val="24"/>
          <w:szCs w:val="24"/>
        </w:rPr>
      </w:pPr>
      <w:bookmarkStart w:id="389" w:name="_Toc351203617"/>
      <w:bookmarkStart w:id="390" w:name="_Toc337558832"/>
      <w:bookmarkStart w:id="391" w:name="_Toc296346627"/>
      <w:bookmarkStart w:id="392" w:name="_Toc296503126"/>
      <w:r>
        <w:rPr>
          <w:rFonts w:hint="eastAsia" w:ascii="宋体" w:hAnsi="宋体" w:eastAsia="宋体" w:cs="宋体"/>
          <w:b w:val="0"/>
          <w:color w:val="000000"/>
          <w:sz w:val="24"/>
          <w:szCs w:val="24"/>
        </w:rPr>
        <w:t>18.5 保险凭证</w:t>
      </w:r>
      <w:bookmarkEnd w:id="389"/>
    </w:p>
    <w:bookmarkEnd w:id="390"/>
    <w:bookmarkEnd w:id="391"/>
    <w:bookmarkEnd w:id="392"/>
    <w:p w14:paraId="76AAFB6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合同当事人应及时向另一方当事人提交其已投保的各项保险的凭证和保险单复印件。</w:t>
      </w:r>
    </w:p>
    <w:p w14:paraId="55AFFDF6">
      <w:pPr>
        <w:pStyle w:val="4"/>
        <w:spacing w:before="120" w:after="120" w:line="240" w:lineRule="auto"/>
        <w:ind w:firstLine="480" w:firstLineChars="200"/>
        <w:rPr>
          <w:rFonts w:hint="eastAsia" w:ascii="宋体" w:hAnsi="宋体" w:eastAsia="宋体" w:cs="宋体"/>
          <w:b w:val="0"/>
          <w:color w:val="000000"/>
          <w:sz w:val="24"/>
          <w:szCs w:val="24"/>
        </w:rPr>
      </w:pPr>
      <w:bookmarkStart w:id="393" w:name="_Toc351203618"/>
      <w:bookmarkStart w:id="394" w:name="_Toc337558833"/>
      <w:bookmarkStart w:id="395" w:name="_Toc296503127"/>
      <w:bookmarkStart w:id="396" w:name="_Toc296346628"/>
      <w:r>
        <w:rPr>
          <w:rFonts w:hint="eastAsia" w:ascii="宋体" w:hAnsi="宋体" w:eastAsia="宋体" w:cs="宋体"/>
          <w:b w:val="0"/>
          <w:color w:val="000000"/>
          <w:sz w:val="24"/>
          <w:szCs w:val="24"/>
        </w:rPr>
        <w:t>18.6 未按约定投保的补救</w:t>
      </w:r>
      <w:bookmarkEnd w:id="393"/>
    </w:p>
    <w:bookmarkEnd w:id="394"/>
    <w:bookmarkEnd w:id="395"/>
    <w:bookmarkEnd w:id="396"/>
    <w:p w14:paraId="23E8D2B2">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1F0758E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62D31C6F">
      <w:pPr>
        <w:pStyle w:val="4"/>
        <w:spacing w:before="120" w:after="120" w:line="240" w:lineRule="auto"/>
        <w:ind w:firstLine="480" w:firstLineChars="200"/>
        <w:rPr>
          <w:rFonts w:hint="eastAsia" w:ascii="宋体" w:hAnsi="宋体" w:eastAsia="宋体" w:cs="宋体"/>
          <w:b w:val="0"/>
          <w:color w:val="000000"/>
          <w:sz w:val="24"/>
          <w:szCs w:val="24"/>
        </w:rPr>
      </w:pPr>
      <w:bookmarkStart w:id="397" w:name="_Toc351203619"/>
      <w:bookmarkStart w:id="398" w:name="_Toc337558834"/>
      <w:r>
        <w:rPr>
          <w:rFonts w:hint="eastAsia" w:ascii="宋体" w:hAnsi="宋体" w:eastAsia="宋体" w:cs="宋体"/>
          <w:b w:val="0"/>
          <w:color w:val="000000"/>
          <w:sz w:val="24"/>
          <w:szCs w:val="24"/>
        </w:rPr>
        <w:t>18.7 通知义务</w:t>
      </w:r>
      <w:bookmarkEnd w:id="397"/>
    </w:p>
    <w:bookmarkEnd w:id="398"/>
    <w:p w14:paraId="46683C9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35BDECD7">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保险事故发生时，投保人应按照保险合同规定的条件和期限及时向保险人报告。发包人和承包人应当在知道保险事故发生后及时通知对方。</w:t>
      </w:r>
    </w:p>
    <w:p w14:paraId="242F404E">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399" w:name="_Toc351203620"/>
      <w:bookmarkStart w:id="400" w:name="_Toc337558835"/>
      <w:bookmarkStart w:id="401" w:name="_Toc296503140"/>
      <w:bookmarkStart w:id="402" w:name="_Toc296346641"/>
      <w:r>
        <w:rPr>
          <w:rFonts w:hint="eastAsia" w:ascii="宋体" w:hAnsi="宋体" w:eastAsia="宋体" w:cs="宋体"/>
          <w:b w:val="0"/>
          <w:bCs/>
          <w:color w:val="000000"/>
          <w:kern w:val="2"/>
          <w:sz w:val="24"/>
          <w:szCs w:val="24"/>
          <w:lang w:val="en-US" w:eastAsia="zh-CN" w:bidi="ar-SA"/>
        </w:rPr>
        <w:t>19. 索赔</w:t>
      </w:r>
      <w:bookmarkEnd w:id="399"/>
    </w:p>
    <w:bookmarkEnd w:id="400"/>
    <w:bookmarkEnd w:id="401"/>
    <w:bookmarkEnd w:id="402"/>
    <w:p w14:paraId="2C5C0912">
      <w:pPr>
        <w:pStyle w:val="4"/>
        <w:spacing w:before="120" w:after="120" w:line="240" w:lineRule="auto"/>
        <w:ind w:firstLine="480" w:firstLineChars="200"/>
        <w:rPr>
          <w:rFonts w:hint="eastAsia" w:ascii="宋体" w:hAnsi="宋体" w:eastAsia="宋体" w:cs="宋体"/>
          <w:b w:val="0"/>
          <w:color w:val="000000"/>
          <w:sz w:val="24"/>
          <w:szCs w:val="24"/>
        </w:rPr>
      </w:pPr>
      <w:bookmarkStart w:id="403" w:name="_Toc351203621"/>
      <w:bookmarkStart w:id="404" w:name="_Toc296346642"/>
      <w:bookmarkStart w:id="405" w:name="_Toc296503141"/>
      <w:bookmarkStart w:id="406" w:name="_Toc337558836"/>
      <w:r>
        <w:rPr>
          <w:rFonts w:hint="eastAsia" w:ascii="宋体" w:hAnsi="宋体" w:eastAsia="宋体" w:cs="宋体"/>
          <w:b w:val="0"/>
          <w:color w:val="000000"/>
          <w:sz w:val="24"/>
          <w:szCs w:val="24"/>
        </w:rPr>
        <w:t>19.1承包人的索赔</w:t>
      </w:r>
      <w:bookmarkEnd w:id="403"/>
    </w:p>
    <w:bookmarkEnd w:id="404"/>
    <w:bookmarkEnd w:id="405"/>
    <w:bookmarkEnd w:id="406"/>
    <w:p w14:paraId="6FD3EF2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根据合同约定，承包人认为有权得到追加付款和（或）延长工期的，应按以下程序向发包人提出索赔：</w:t>
      </w:r>
    </w:p>
    <w:p w14:paraId="3FBF041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9A1BB0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6DC5040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（3）索赔事件具有持续影响的，承包人应按合理时间间隔继续递交延续索赔通知，说明持续影响的实际情况和记录，列出累计的追加付款金额和（或）工期延长天数；</w:t>
      </w:r>
    </w:p>
    <w:p w14:paraId="34E6405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（4）在索赔事件影响结束后28天内，承包人应向监理人递交最终索赔报告，说明最终要求索赔的追加付款金额和（或）延长的工期，并附必要的记录和证明材料。</w:t>
      </w:r>
    </w:p>
    <w:p w14:paraId="198B1AD6">
      <w:pPr>
        <w:pStyle w:val="4"/>
        <w:spacing w:before="120" w:after="120" w:line="240" w:lineRule="auto"/>
        <w:ind w:firstLine="480" w:firstLineChars="200"/>
        <w:rPr>
          <w:rFonts w:hint="eastAsia" w:ascii="宋体" w:hAnsi="宋体" w:eastAsia="宋体" w:cs="宋体"/>
          <w:b w:val="0"/>
          <w:color w:val="000000"/>
          <w:sz w:val="24"/>
          <w:szCs w:val="24"/>
        </w:rPr>
      </w:pPr>
      <w:bookmarkStart w:id="407" w:name="_Toc351203622"/>
      <w:bookmarkStart w:id="408" w:name="_Toc337558837"/>
      <w:bookmarkStart w:id="409" w:name="_Toc296503142"/>
      <w:bookmarkStart w:id="410" w:name="_Toc296346643"/>
      <w:r>
        <w:rPr>
          <w:rFonts w:hint="eastAsia" w:ascii="宋体" w:hAnsi="宋体" w:eastAsia="宋体" w:cs="宋体"/>
          <w:b w:val="0"/>
          <w:color w:val="000000"/>
          <w:sz w:val="24"/>
          <w:szCs w:val="24"/>
        </w:rPr>
        <w:t>19.2 对承包人索赔的处理</w:t>
      </w:r>
      <w:bookmarkEnd w:id="407"/>
    </w:p>
    <w:bookmarkEnd w:id="408"/>
    <w:bookmarkEnd w:id="409"/>
    <w:bookmarkEnd w:id="410"/>
    <w:p w14:paraId="33574C2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对承包人索赔的处理如下：</w:t>
      </w:r>
    </w:p>
    <w:p w14:paraId="1340883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（1）监理人应在收到索赔报告后14天内完成审查并报送发包人。监理人对索赔报告存在异议的，有权要求承包人提交全部原始记录副本；</w:t>
      </w:r>
    </w:p>
    <w:p w14:paraId="51454B1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305E9D6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（3）承包人接受索赔处理结果的，索赔款项在当期进度款中进行支付；承包人不接受索赔处理结果的，按照第20条〔争议解决〕约定处理。</w:t>
      </w:r>
    </w:p>
    <w:p w14:paraId="637B4083">
      <w:pPr>
        <w:pStyle w:val="4"/>
        <w:spacing w:before="120" w:after="120" w:line="240" w:lineRule="auto"/>
        <w:ind w:firstLine="480" w:firstLineChars="200"/>
        <w:rPr>
          <w:rFonts w:hint="eastAsia" w:ascii="宋体" w:hAnsi="宋体" w:eastAsia="宋体" w:cs="宋体"/>
          <w:b w:val="0"/>
          <w:color w:val="000000"/>
          <w:sz w:val="24"/>
          <w:szCs w:val="24"/>
        </w:rPr>
      </w:pPr>
      <w:bookmarkStart w:id="411" w:name="_Toc351203623"/>
      <w:bookmarkStart w:id="412" w:name="_Toc296346644"/>
      <w:bookmarkStart w:id="413" w:name="_Toc337558838"/>
      <w:bookmarkStart w:id="414" w:name="_Toc296503143"/>
      <w:r>
        <w:rPr>
          <w:rFonts w:hint="eastAsia" w:ascii="宋体" w:hAnsi="宋体" w:eastAsia="宋体" w:cs="宋体"/>
          <w:b w:val="0"/>
          <w:color w:val="000000"/>
          <w:sz w:val="24"/>
          <w:szCs w:val="24"/>
        </w:rPr>
        <w:t>19.3发包人的索赔</w:t>
      </w:r>
      <w:bookmarkEnd w:id="411"/>
    </w:p>
    <w:bookmarkEnd w:id="412"/>
    <w:bookmarkEnd w:id="413"/>
    <w:bookmarkEnd w:id="414"/>
    <w:p w14:paraId="1AB1338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根据合同约定，发包人认为有权得到赔付金额和（或）延长缺陷责任期的，监理人应向承包人发出通知并附有详细的证明。</w:t>
      </w:r>
    </w:p>
    <w:p w14:paraId="7C9F726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1455F9D">
      <w:pPr>
        <w:pStyle w:val="4"/>
        <w:spacing w:before="120" w:after="120" w:line="240" w:lineRule="auto"/>
        <w:ind w:firstLine="480" w:firstLineChars="200"/>
        <w:rPr>
          <w:rFonts w:hint="eastAsia" w:ascii="宋体" w:hAnsi="宋体" w:eastAsia="宋体" w:cs="宋体"/>
          <w:b w:val="0"/>
          <w:color w:val="000000"/>
          <w:sz w:val="24"/>
          <w:szCs w:val="24"/>
        </w:rPr>
      </w:pPr>
      <w:bookmarkStart w:id="415" w:name="_Toc351203624"/>
      <w:bookmarkStart w:id="416" w:name="_Toc296503144"/>
      <w:bookmarkStart w:id="417" w:name="_Toc296346645"/>
      <w:bookmarkStart w:id="418" w:name="_Toc337558839"/>
      <w:r>
        <w:rPr>
          <w:rFonts w:hint="eastAsia" w:ascii="宋体" w:hAnsi="宋体" w:eastAsia="宋体" w:cs="宋体"/>
          <w:b w:val="0"/>
          <w:color w:val="000000"/>
          <w:sz w:val="24"/>
          <w:szCs w:val="24"/>
        </w:rPr>
        <w:t>19.4 对发包人索赔的处理</w:t>
      </w:r>
      <w:bookmarkEnd w:id="415"/>
    </w:p>
    <w:bookmarkEnd w:id="416"/>
    <w:bookmarkEnd w:id="417"/>
    <w:bookmarkEnd w:id="418"/>
    <w:p w14:paraId="6A37C98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对发包人索赔的处理如下：</w:t>
      </w:r>
    </w:p>
    <w:p w14:paraId="344BDF2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（1）承包人收到发包人提交的索赔报告后，应及时审查索赔报告的内容、查验发包人证明材料；</w:t>
      </w:r>
    </w:p>
    <w:p w14:paraId="749A9653">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（2）承包人应在收到索赔报告或有关索赔的进一步证明材料后28天内，将索赔处理结果答复发包人。如果承包人未在上述期限内作出答复的，则视为对发包人索赔要求的认可；</w:t>
      </w:r>
    </w:p>
    <w:p w14:paraId="0C16D5C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（3）承包人接受索赔处理结果的，发包人可从应支付给承包人的合同价款中扣除赔付的金额或延长缺陷责任期；发包人不接受索赔处理结果的，按第20条〔争议解决〕约定处理。</w:t>
      </w:r>
    </w:p>
    <w:p w14:paraId="1DC1438D">
      <w:pPr>
        <w:pStyle w:val="4"/>
        <w:spacing w:before="120" w:after="120" w:line="240" w:lineRule="auto"/>
        <w:ind w:firstLine="480" w:firstLineChars="200"/>
        <w:rPr>
          <w:rFonts w:hint="eastAsia" w:ascii="宋体" w:hAnsi="宋体" w:eastAsia="宋体" w:cs="宋体"/>
          <w:b w:val="0"/>
          <w:color w:val="000000"/>
          <w:sz w:val="24"/>
          <w:szCs w:val="24"/>
        </w:rPr>
      </w:pPr>
      <w:bookmarkStart w:id="419" w:name="_Toc351203625"/>
      <w:r>
        <w:rPr>
          <w:rFonts w:hint="eastAsia" w:ascii="宋体" w:hAnsi="宋体" w:eastAsia="宋体" w:cs="宋体"/>
          <w:b w:val="0"/>
          <w:color w:val="000000"/>
          <w:sz w:val="24"/>
          <w:szCs w:val="24"/>
        </w:rPr>
        <w:t>19.5 提出索赔的期限</w:t>
      </w:r>
      <w:bookmarkEnd w:id="419"/>
    </w:p>
    <w:p w14:paraId="09696357">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（1）承包人按第14.2款〔竣工结算审核〕约定接收竣工付款证书后，应被视为已无权再提出在工程接收证书颁发前所发生的任何索赔。</w:t>
      </w:r>
    </w:p>
    <w:p w14:paraId="3007F3CE">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（2）承包人按第14.4款〔最终结清〕提交的最终结清申请单中，只限于提出工程接收证书颁发后发生的索赔。提出索赔的期限自接受最终结清证书时终止。</w:t>
      </w:r>
    </w:p>
    <w:p w14:paraId="69361142">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420" w:name="_Toc351203626"/>
      <w:r>
        <w:rPr>
          <w:rFonts w:hint="eastAsia" w:ascii="宋体" w:hAnsi="宋体" w:eastAsia="宋体" w:cs="宋体"/>
          <w:b w:val="0"/>
          <w:bCs/>
          <w:color w:val="000000"/>
          <w:kern w:val="2"/>
          <w:sz w:val="24"/>
          <w:szCs w:val="24"/>
          <w:lang w:val="en-US" w:eastAsia="zh-CN" w:bidi="ar-SA"/>
        </w:rPr>
        <w:t>20</w:t>
      </w:r>
      <w:bookmarkStart w:id="421" w:name="_Toc296503146"/>
      <w:bookmarkStart w:id="422" w:name="_Toc337558840"/>
      <w:bookmarkStart w:id="423" w:name="_Toc296346647"/>
      <w:r>
        <w:rPr>
          <w:rFonts w:hint="eastAsia" w:ascii="宋体" w:hAnsi="宋体" w:eastAsia="宋体" w:cs="宋体"/>
          <w:b w:val="0"/>
          <w:bCs/>
          <w:color w:val="000000"/>
          <w:kern w:val="2"/>
          <w:sz w:val="24"/>
          <w:szCs w:val="24"/>
          <w:lang w:val="en-US" w:eastAsia="zh-CN" w:bidi="ar-SA"/>
        </w:rPr>
        <w:t>. 争议解决</w:t>
      </w:r>
      <w:bookmarkEnd w:id="420"/>
    </w:p>
    <w:bookmarkEnd w:id="421"/>
    <w:bookmarkEnd w:id="422"/>
    <w:bookmarkEnd w:id="423"/>
    <w:p w14:paraId="4490F386">
      <w:pPr>
        <w:pStyle w:val="4"/>
        <w:spacing w:before="120" w:after="120" w:line="240" w:lineRule="auto"/>
        <w:ind w:firstLine="480" w:firstLineChars="200"/>
        <w:rPr>
          <w:rFonts w:hint="eastAsia" w:ascii="宋体" w:hAnsi="宋体" w:eastAsia="宋体" w:cs="宋体"/>
          <w:b w:val="0"/>
          <w:color w:val="000000"/>
          <w:sz w:val="24"/>
          <w:szCs w:val="24"/>
        </w:rPr>
      </w:pPr>
      <w:bookmarkStart w:id="424" w:name="_Toc351203627"/>
      <w:bookmarkStart w:id="425" w:name="_Toc296503147"/>
      <w:bookmarkStart w:id="426" w:name="_Toc296346648"/>
      <w:bookmarkStart w:id="427" w:name="_Toc337558841"/>
      <w:r>
        <w:rPr>
          <w:rFonts w:hint="eastAsia" w:ascii="宋体" w:hAnsi="宋体" w:eastAsia="宋体" w:cs="宋体"/>
          <w:b w:val="0"/>
          <w:color w:val="000000"/>
          <w:sz w:val="24"/>
          <w:szCs w:val="24"/>
        </w:rPr>
        <w:t>20.1和解</w:t>
      </w:r>
      <w:bookmarkEnd w:id="424"/>
    </w:p>
    <w:bookmarkEnd w:id="425"/>
    <w:bookmarkEnd w:id="426"/>
    <w:bookmarkEnd w:id="427"/>
    <w:p w14:paraId="4E7A023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合同当事人可以就争议自行和解，自行和解达成协议的经双方签字并盖章后作为合同补充文件，双方均应遵照执行。</w:t>
      </w:r>
    </w:p>
    <w:p w14:paraId="11166A8A">
      <w:pPr>
        <w:pStyle w:val="4"/>
        <w:spacing w:before="120" w:after="120" w:line="240" w:lineRule="auto"/>
        <w:ind w:firstLine="480" w:firstLineChars="200"/>
        <w:rPr>
          <w:rFonts w:hint="eastAsia" w:ascii="宋体" w:hAnsi="宋体" w:eastAsia="宋体" w:cs="宋体"/>
          <w:b w:val="0"/>
          <w:color w:val="000000"/>
          <w:sz w:val="24"/>
          <w:szCs w:val="24"/>
        </w:rPr>
      </w:pPr>
      <w:bookmarkStart w:id="428" w:name="_Toc351203628"/>
      <w:r>
        <w:rPr>
          <w:rFonts w:hint="eastAsia" w:ascii="宋体" w:hAnsi="宋体" w:eastAsia="宋体" w:cs="宋体"/>
          <w:b w:val="0"/>
          <w:color w:val="000000"/>
          <w:sz w:val="24"/>
          <w:szCs w:val="24"/>
        </w:rPr>
        <w:t>20</w:t>
      </w:r>
      <w:bookmarkStart w:id="429" w:name="_Toc337558842"/>
      <w:bookmarkStart w:id="430" w:name="_Toc296346649"/>
      <w:bookmarkStart w:id="431" w:name="_Toc296503148"/>
      <w:r>
        <w:rPr>
          <w:rFonts w:hint="eastAsia" w:ascii="宋体" w:hAnsi="宋体" w:eastAsia="宋体" w:cs="宋体"/>
          <w:b w:val="0"/>
          <w:color w:val="000000"/>
          <w:sz w:val="24"/>
          <w:szCs w:val="24"/>
        </w:rPr>
        <w:t>.2调解</w:t>
      </w:r>
      <w:bookmarkEnd w:id="428"/>
    </w:p>
    <w:bookmarkEnd w:id="429"/>
    <w:bookmarkEnd w:id="430"/>
    <w:bookmarkEnd w:id="431"/>
    <w:p w14:paraId="7BE6630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合同当事人可以就争议请求建设行政主管部门、行业协会或其他第三方进行调解，调解达成协议的，经双方签字并盖章后作为合同补充文件，双方均应遵照执行。</w:t>
      </w:r>
    </w:p>
    <w:p w14:paraId="5F3FCAFC">
      <w:pPr>
        <w:pStyle w:val="4"/>
        <w:spacing w:before="120" w:after="120" w:line="240" w:lineRule="auto"/>
        <w:ind w:firstLine="480" w:firstLineChars="200"/>
        <w:rPr>
          <w:rFonts w:hint="eastAsia" w:ascii="宋体" w:hAnsi="宋体" w:eastAsia="宋体" w:cs="宋体"/>
          <w:b w:val="0"/>
          <w:color w:val="000000"/>
          <w:sz w:val="24"/>
          <w:szCs w:val="24"/>
        </w:rPr>
      </w:pPr>
      <w:bookmarkStart w:id="432" w:name="_Toc351203629"/>
      <w:bookmarkStart w:id="433" w:name="_Toc337558843"/>
      <w:bookmarkStart w:id="434" w:name="_Toc296503149"/>
      <w:bookmarkStart w:id="435" w:name="_Toc296346650"/>
      <w:r>
        <w:rPr>
          <w:rFonts w:hint="eastAsia" w:ascii="宋体" w:hAnsi="宋体" w:eastAsia="宋体" w:cs="宋体"/>
          <w:b w:val="0"/>
          <w:color w:val="000000"/>
          <w:sz w:val="24"/>
          <w:szCs w:val="24"/>
        </w:rPr>
        <w:t>20.3争议评审</w:t>
      </w:r>
      <w:bookmarkEnd w:id="432"/>
    </w:p>
    <w:bookmarkEnd w:id="433"/>
    <w:bookmarkEnd w:id="434"/>
    <w:bookmarkEnd w:id="435"/>
    <w:p w14:paraId="5E41FD1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合同当事人在专用合同条款中约定采取争议评审方式解决争议以及评审规则，并按下列约定执行： </w:t>
      </w:r>
    </w:p>
    <w:p w14:paraId="78CCE9E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20.3.1 争议评审小组的确定</w:t>
      </w:r>
    </w:p>
    <w:p w14:paraId="767A96C6">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3165A86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9E491D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除专用合同条款另有约定外，评审员报酬由发包人和承包人各承担一半。</w:t>
      </w:r>
    </w:p>
    <w:p w14:paraId="6E604E35">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639FB44E">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E285EC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20.3.3 争议评审小组决定的效力</w:t>
      </w:r>
    </w:p>
    <w:p w14:paraId="0FCACBA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争议评审小组作出的书面决定经合同当事人签字确认后，对双方具有约束力，双方应遵照执行。</w:t>
      </w:r>
    </w:p>
    <w:p w14:paraId="0B0B624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任何一方当事人不接受争议评审小组决定或不履行争议评审小组决定的，双方可选择采用其他争议解决方式。</w:t>
      </w:r>
    </w:p>
    <w:p w14:paraId="58FF6C9A">
      <w:pPr>
        <w:pStyle w:val="4"/>
        <w:spacing w:before="120" w:after="120" w:line="240" w:lineRule="auto"/>
        <w:ind w:firstLine="480" w:firstLineChars="200"/>
        <w:rPr>
          <w:rFonts w:hint="eastAsia" w:ascii="宋体" w:hAnsi="宋体" w:eastAsia="宋体" w:cs="宋体"/>
          <w:b w:val="0"/>
          <w:color w:val="000000"/>
          <w:sz w:val="24"/>
          <w:szCs w:val="24"/>
        </w:rPr>
      </w:pPr>
      <w:bookmarkStart w:id="436" w:name="_Toc351203630"/>
      <w:bookmarkStart w:id="437" w:name="_Toc337558844"/>
      <w:bookmarkStart w:id="438" w:name="_Toc296503150"/>
      <w:bookmarkStart w:id="439" w:name="_Toc296346651"/>
      <w:r>
        <w:rPr>
          <w:rFonts w:hint="eastAsia" w:ascii="宋体" w:hAnsi="宋体" w:eastAsia="宋体" w:cs="宋体"/>
          <w:b w:val="0"/>
          <w:color w:val="000000"/>
          <w:sz w:val="24"/>
          <w:szCs w:val="24"/>
        </w:rPr>
        <w:t>20.4仲裁或诉讼</w:t>
      </w:r>
      <w:bookmarkEnd w:id="436"/>
    </w:p>
    <w:bookmarkEnd w:id="437"/>
    <w:bookmarkEnd w:id="438"/>
    <w:bookmarkEnd w:id="439"/>
    <w:p w14:paraId="677212E4">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因合同及合同有关事项产生的争议，合同当事人可以在专用合同条款中约定以下一种方式解决争议：</w:t>
      </w:r>
    </w:p>
    <w:p w14:paraId="5989E5B1">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（1）向约定的仲裁委员会申请仲裁；</w:t>
      </w:r>
    </w:p>
    <w:p w14:paraId="38E76BB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（2）向有管辖权的人民法院起诉。</w:t>
      </w:r>
    </w:p>
    <w:p w14:paraId="34AF3851">
      <w:pPr>
        <w:pStyle w:val="4"/>
        <w:spacing w:before="120" w:after="120" w:line="240" w:lineRule="auto"/>
        <w:ind w:firstLine="480" w:firstLineChars="200"/>
        <w:rPr>
          <w:rFonts w:hint="eastAsia" w:ascii="宋体" w:hAnsi="宋体" w:eastAsia="宋体" w:cs="宋体"/>
          <w:b w:val="0"/>
          <w:color w:val="000000"/>
          <w:sz w:val="24"/>
          <w:szCs w:val="24"/>
        </w:rPr>
      </w:pPr>
      <w:bookmarkStart w:id="440" w:name="_Toc351203631"/>
      <w:bookmarkStart w:id="441" w:name="_Toc296346653"/>
      <w:bookmarkStart w:id="442" w:name="_Toc296503152"/>
      <w:bookmarkStart w:id="443" w:name="_Toc337558845"/>
      <w:r>
        <w:rPr>
          <w:rFonts w:hint="eastAsia" w:ascii="宋体" w:hAnsi="宋体" w:eastAsia="宋体" w:cs="宋体"/>
          <w:b w:val="0"/>
          <w:color w:val="000000"/>
          <w:sz w:val="24"/>
          <w:szCs w:val="24"/>
        </w:rPr>
        <w:t>20.5争议解决条款效力</w:t>
      </w:r>
      <w:bookmarkEnd w:id="440"/>
    </w:p>
    <w:bookmarkEnd w:id="441"/>
    <w:bookmarkEnd w:id="442"/>
    <w:bookmarkEnd w:id="443"/>
    <w:p w14:paraId="6087433D">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合同有关争议解决的条款独立存在，合同的变更、解除、终止、无效或者被撤销均不影响其效力。 </w:t>
      </w:r>
    </w:p>
    <w:p w14:paraId="6B6009AB">
      <w:pPr>
        <w:keepNext/>
        <w:keepLines/>
        <w:widowControl w:val="0"/>
        <w:spacing w:before="260" w:beforeLines="0" w:after="260" w:afterLines="0" w:line="240" w:lineRule="auto"/>
        <w:jc w:val="center"/>
        <w:outlineLvl w:val="2"/>
        <w:rPr>
          <w:rFonts w:hint="eastAsia" w:ascii="宋体" w:hAnsi="宋体" w:eastAsia="宋体" w:cs="宋体"/>
          <w:b/>
          <w:bCs/>
          <w:kern w:val="2"/>
          <w:sz w:val="24"/>
          <w:szCs w:val="24"/>
          <w:lang w:val="en-US" w:eastAsia="zh-CN" w:bidi="ar-SA"/>
        </w:rPr>
      </w:pPr>
      <w:bookmarkStart w:id="444" w:name="_Toc351203632"/>
      <w:r>
        <w:rPr>
          <w:rFonts w:hint="eastAsia" w:ascii="宋体" w:hAnsi="宋体" w:eastAsia="宋体" w:cs="宋体"/>
          <w:b/>
          <w:bCs/>
          <w:kern w:val="2"/>
          <w:sz w:val="24"/>
          <w:szCs w:val="24"/>
          <w:lang w:val="en-US" w:eastAsia="zh-CN" w:bidi="ar-SA"/>
        </w:rPr>
        <w:br w:type="page"/>
      </w:r>
      <w:r>
        <w:rPr>
          <w:rFonts w:hint="eastAsia" w:ascii="宋体" w:hAnsi="宋体" w:eastAsia="宋体" w:cs="宋体"/>
          <w:b/>
          <w:bCs/>
          <w:kern w:val="2"/>
          <w:sz w:val="24"/>
          <w:szCs w:val="24"/>
          <w:lang w:val="en-US" w:eastAsia="zh-CN" w:bidi="ar-SA"/>
        </w:rPr>
        <w:t>第三部分 专用合同条款</w:t>
      </w:r>
      <w:bookmarkEnd w:id="444"/>
    </w:p>
    <w:p w14:paraId="2EB22C7E">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445" w:name="_Toc351203633"/>
      <w:r>
        <w:rPr>
          <w:rFonts w:hint="eastAsia" w:ascii="宋体" w:hAnsi="宋体" w:eastAsia="宋体" w:cs="宋体"/>
          <w:b w:val="0"/>
          <w:bCs/>
          <w:color w:val="000000"/>
          <w:kern w:val="2"/>
          <w:sz w:val="24"/>
          <w:szCs w:val="24"/>
          <w:lang w:val="en-US" w:eastAsia="zh-CN" w:bidi="ar-SA"/>
        </w:rPr>
        <w:t>1</w:t>
      </w:r>
      <w:bookmarkStart w:id="446" w:name="_Toc292559361"/>
      <w:bookmarkStart w:id="447" w:name="_Toc297048342"/>
      <w:bookmarkStart w:id="448" w:name="_Toc297120456"/>
      <w:bookmarkStart w:id="449" w:name="_Toc296944495"/>
      <w:bookmarkStart w:id="450" w:name="_Toc296891196"/>
      <w:bookmarkStart w:id="451" w:name="_Toc296346657"/>
      <w:bookmarkStart w:id="452" w:name="_Toc296347155"/>
      <w:bookmarkStart w:id="453" w:name="_Toc296890984"/>
      <w:bookmarkStart w:id="454" w:name="_Toc292559866"/>
      <w:bookmarkStart w:id="455" w:name="_Toc296503156"/>
      <w:r>
        <w:rPr>
          <w:rFonts w:hint="eastAsia" w:ascii="宋体" w:hAnsi="宋体" w:eastAsia="宋体" w:cs="宋体"/>
          <w:b w:val="0"/>
          <w:bCs/>
          <w:color w:val="000000"/>
          <w:kern w:val="2"/>
          <w:sz w:val="24"/>
          <w:szCs w:val="24"/>
          <w:lang w:val="en-US" w:eastAsia="zh-CN" w:bidi="ar-SA"/>
        </w:rPr>
        <w:t>. 一般约定</w:t>
      </w:r>
      <w:bookmarkEnd w:id="445"/>
    </w:p>
    <w:bookmarkEnd w:id="446"/>
    <w:bookmarkEnd w:id="447"/>
    <w:bookmarkEnd w:id="448"/>
    <w:bookmarkEnd w:id="449"/>
    <w:bookmarkEnd w:id="450"/>
    <w:bookmarkEnd w:id="451"/>
    <w:bookmarkEnd w:id="452"/>
    <w:bookmarkEnd w:id="453"/>
    <w:bookmarkEnd w:id="454"/>
    <w:bookmarkEnd w:id="455"/>
    <w:p w14:paraId="6E04E76F">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 词语定义</w:t>
      </w:r>
    </w:p>
    <w:p w14:paraId="45624998">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5A020EE7">
      <w:pPr>
        <w:spacing w:line="240" w:lineRule="auto"/>
        <w:ind w:left="1650" w:hanging="1320" w:hangingChars="55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招标（磋商）文件、投标响应文件、中标通知书、补充协议等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30C3B0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019EC58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287BD0B9">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6445EB3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25D93AA">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B11235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30B9B26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E8DE1B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18E5756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5AB4383A">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4B1D4EC5">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556C0C9">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1DFAECA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49A181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294CA703">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 xml:space="preserve">           </w:t>
      </w:r>
    </w:p>
    <w:p w14:paraId="01B0F4B1">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646631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永久占地包括：</w:t>
      </w:r>
      <w:r>
        <w:rPr>
          <w:rFonts w:hint="eastAsia" w:ascii="宋体" w:hAnsi="宋体" w:eastAsia="宋体" w:cs="宋体"/>
          <w:color w:val="000000"/>
          <w:sz w:val="24"/>
          <w:szCs w:val="24"/>
          <w:u w:val="single"/>
        </w:rPr>
        <w:t xml:space="preserve">                        </w:t>
      </w:r>
      <w:r>
        <w:rPr>
          <w:rFonts w:hint="eastAsia" w:ascii="宋体" w:hAnsi="宋体" w:eastAsia="宋体" w:cs="宋体"/>
          <w:color w:val="000000"/>
          <w:kern w:val="0"/>
          <w:sz w:val="24"/>
          <w:szCs w:val="24"/>
        </w:rPr>
        <w:t>。</w:t>
      </w:r>
    </w:p>
    <w:p w14:paraId="10A785F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color w:val="000000"/>
          <w:sz w:val="24"/>
          <w:szCs w:val="24"/>
          <w:u w:val="single"/>
        </w:rPr>
        <w:t xml:space="preserve">                       </w:t>
      </w:r>
      <w:r>
        <w:rPr>
          <w:rFonts w:hint="eastAsia" w:ascii="宋体" w:hAnsi="宋体" w:eastAsia="宋体" w:cs="宋体"/>
          <w:color w:val="000000"/>
          <w:kern w:val="0"/>
          <w:sz w:val="24"/>
          <w:szCs w:val="24"/>
        </w:rPr>
        <w:t>。</w:t>
      </w:r>
    </w:p>
    <w:p w14:paraId="561FC938">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14:paraId="5F770008">
      <w:pPr>
        <w:autoSpaceDE w:val="0"/>
        <w:autoSpaceDN w:val="0"/>
        <w:adjustRightInd w:val="0"/>
        <w:spacing w:line="240" w:lineRule="auto"/>
        <w:ind w:left="596" w:leftChars="284"/>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 xml:space="preserve">     </w:t>
      </w:r>
    </w:p>
    <w:p w14:paraId="34333B72">
      <w:pPr>
        <w:autoSpaceDE w:val="0"/>
        <w:autoSpaceDN w:val="0"/>
        <w:adjustRightInd w:val="0"/>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C022D9F">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14:paraId="5EACCABB">
      <w:pPr>
        <w:spacing w:line="24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1.4.1适用于工程的标准规范包括：</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 xml:space="preserve"> </w:t>
      </w:r>
    </w:p>
    <w:p w14:paraId="65DD8993">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025AC1D6">
      <w:pPr>
        <w:spacing w:line="240" w:lineRule="auto"/>
        <w:ind w:firstLine="480" w:firstLineChars="200"/>
        <w:outlineLvl w:val="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rPr>
        <w:t xml:space="preserve">                 </w:t>
      </w:r>
    </w:p>
    <w:p w14:paraId="51DB7AEC">
      <w:pPr>
        <w:spacing w:line="24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F7BACF3">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1164FF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DF8C4B7">
      <w:pPr>
        <w:spacing w:line="24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p>
    <w:p w14:paraId="167094D6">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14:paraId="3B51ED8B">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 合同文件的优先顺序</w:t>
      </w:r>
    </w:p>
    <w:p w14:paraId="1432CF6A">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                                                 </w:t>
      </w:r>
      <w:r>
        <w:rPr>
          <w:rFonts w:hint="eastAsia" w:ascii="宋体" w:hAnsi="宋体" w:eastAsia="宋体" w:cs="宋体"/>
          <w:color w:val="000000"/>
          <w:sz w:val="24"/>
          <w:szCs w:val="24"/>
        </w:rPr>
        <w:t>。</w:t>
      </w:r>
    </w:p>
    <w:p w14:paraId="5826C1D6">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 图纸和承包人文件</w:t>
      </w:r>
      <w:r>
        <w:rPr>
          <w:rFonts w:hint="eastAsia" w:ascii="宋体" w:hAnsi="宋体" w:eastAsia="宋体" w:cs="宋体"/>
          <w:color w:val="000000"/>
          <w:sz w:val="24"/>
          <w:szCs w:val="24"/>
        </w:rPr>
        <w:tab/>
      </w:r>
    </w:p>
    <w:p w14:paraId="5263BA25">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2E632D8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73C508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3E287D4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10BED89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0B451906">
      <w:pPr>
        <w:spacing w:line="240" w:lineRule="auto"/>
        <w:ind w:left="596" w:leftChars="284"/>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          </w:t>
      </w:r>
    </w:p>
    <w:p w14:paraId="3EABADC5">
      <w:pPr>
        <w:spacing w:line="240" w:lineRule="auto"/>
        <w:ind w:left="596" w:leftChars="284"/>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64D8007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515896B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1DBD71A4">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56B9D8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317C10E">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7198649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8FEAFE9">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 联络</w:t>
      </w:r>
    </w:p>
    <w:p w14:paraId="735363B8">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4A89FAB2">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14:paraId="0DFD0D7E">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              </w:t>
      </w:r>
      <w:r>
        <w:rPr>
          <w:rFonts w:hint="eastAsia" w:ascii="宋体" w:hAnsi="宋体" w:eastAsia="宋体" w:cs="宋体"/>
          <w:color w:val="000000"/>
          <w:kern w:val="0"/>
          <w:sz w:val="24"/>
          <w:szCs w:val="24"/>
        </w:rPr>
        <w:t>。</w:t>
      </w:r>
    </w:p>
    <w:p w14:paraId="29165F18">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18598145">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6573200F">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14:paraId="2EB72E00">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监理人指定的接收人为：</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14:paraId="03703E3C">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p>
    <w:p w14:paraId="196EF927">
      <w:pPr>
        <w:spacing w:line="24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1</w:t>
      </w:r>
      <w:bookmarkStart w:id="456" w:name="_Toc300934943"/>
      <w:bookmarkStart w:id="457" w:name="_Toc318581155"/>
      <w:bookmarkStart w:id="458" w:name="_Toc312677986"/>
      <w:bookmarkStart w:id="459" w:name="_Toc303539100"/>
      <w:bookmarkStart w:id="460" w:name="_Toc304295521"/>
      <w:r>
        <w:rPr>
          <w:rFonts w:hint="eastAsia" w:ascii="宋体" w:hAnsi="宋体" w:eastAsia="宋体" w:cs="宋体"/>
          <w:sz w:val="24"/>
          <w:szCs w:val="24"/>
        </w:rPr>
        <w:t>.10.1 出入现场的权利</w:t>
      </w:r>
    </w:p>
    <w:p w14:paraId="2857AB23">
      <w:pPr>
        <w:spacing w:line="240" w:lineRule="auto"/>
        <w:ind w:left="596" w:leftChars="284"/>
        <w:rPr>
          <w:rFonts w:hint="eastAsia" w:ascii="宋体" w:hAnsi="宋体" w:eastAsia="宋体" w:cs="宋体"/>
          <w:color w:val="000000"/>
          <w:sz w:val="24"/>
          <w:szCs w:val="24"/>
          <w:u w:val="single"/>
        </w:rPr>
      </w:pPr>
      <w:r>
        <w:rPr>
          <w:rFonts w:hint="eastAsia" w:ascii="宋体" w:hAnsi="宋体" w:eastAsia="宋体" w:cs="宋体"/>
          <w:sz w:val="24"/>
          <w:szCs w:val="24"/>
        </w:rPr>
        <w:t>关于出入现场的权利的约定：</w:t>
      </w:r>
      <w:r>
        <w:rPr>
          <w:rFonts w:hint="eastAsia" w:ascii="宋体" w:hAnsi="宋体" w:eastAsia="宋体" w:cs="宋体"/>
          <w:color w:val="000000"/>
          <w:sz w:val="24"/>
          <w:szCs w:val="24"/>
          <w:u w:val="single"/>
        </w:rPr>
        <w:t>  </w:t>
      </w:r>
    </w:p>
    <w:p w14:paraId="342C48D6">
      <w:pPr>
        <w:spacing w:line="240" w:lineRule="auto"/>
        <w:rPr>
          <w:rFonts w:hint="eastAsia" w:ascii="宋体" w:hAnsi="宋体" w:eastAsia="宋体" w:cs="宋体"/>
          <w:sz w:val="24"/>
          <w:szCs w:val="24"/>
        </w:rPr>
      </w:pPr>
      <w:r>
        <w:rPr>
          <w:rFonts w:hint="eastAsia" w:ascii="宋体" w:hAnsi="宋体" w:eastAsia="宋体" w:cs="宋体"/>
          <w:color w:val="000000"/>
          <w:sz w:val="24"/>
          <w:szCs w:val="24"/>
          <w:u w:val="single"/>
        </w:rPr>
        <w:t>                             </w:t>
      </w:r>
      <w:r>
        <w:rPr>
          <w:rFonts w:hint="eastAsia" w:ascii="宋体" w:hAnsi="宋体" w:eastAsia="宋体" w:cs="宋体"/>
          <w:sz w:val="24"/>
          <w:szCs w:val="24"/>
        </w:rPr>
        <w:t>。</w:t>
      </w:r>
    </w:p>
    <w:bookmarkEnd w:id="456"/>
    <w:bookmarkEnd w:id="457"/>
    <w:bookmarkEnd w:id="458"/>
    <w:bookmarkEnd w:id="459"/>
    <w:bookmarkEnd w:id="460"/>
    <w:p w14:paraId="702E2C26">
      <w:pPr>
        <w:spacing w:line="240" w:lineRule="auto"/>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1</w:t>
      </w:r>
      <w:bookmarkStart w:id="461" w:name="_Toc300934944"/>
      <w:bookmarkStart w:id="462" w:name="_Toc312677987"/>
      <w:bookmarkStart w:id="463" w:name="_Toc318581156"/>
      <w:bookmarkStart w:id="464" w:name="_Toc304295522"/>
      <w:bookmarkStart w:id="465" w:name="_Toc303539101"/>
      <w:r>
        <w:rPr>
          <w:rFonts w:hint="eastAsia" w:ascii="宋体" w:hAnsi="宋体" w:eastAsia="宋体" w:cs="宋体"/>
          <w:sz w:val="24"/>
          <w:szCs w:val="24"/>
        </w:rPr>
        <w:t>.10.3 场内交通</w:t>
      </w:r>
    </w:p>
    <w:p w14:paraId="04DD4E8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关于场外交通和场内交通的边界的约定：</w:t>
      </w:r>
      <w:r>
        <w:rPr>
          <w:rFonts w:hint="eastAsia" w:ascii="宋体" w:hAnsi="宋体" w:eastAsia="宋体" w:cs="宋体"/>
          <w:color w:val="000000"/>
          <w:sz w:val="24"/>
          <w:szCs w:val="24"/>
          <w:u w:val="single"/>
        </w:rPr>
        <w:t>                                                           </w:t>
      </w:r>
      <w:r>
        <w:rPr>
          <w:rFonts w:hint="eastAsia" w:ascii="宋体" w:hAnsi="宋体" w:eastAsia="宋体" w:cs="宋体"/>
          <w:sz w:val="24"/>
          <w:szCs w:val="24"/>
        </w:rPr>
        <w:t>。</w:t>
      </w:r>
    </w:p>
    <w:p w14:paraId="6D643F37">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                                        </w:t>
      </w:r>
      <w:r>
        <w:rPr>
          <w:rFonts w:hint="eastAsia" w:ascii="宋体" w:hAnsi="宋体" w:eastAsia="宋体" w:cs="宋体"/>
          <w:sz w:val="24"/>
          <w:szCs w:val="24"/>
        </w:rPr>
        <w:t>。</w:t>
      </w:r>
      <w:bookmarkEnd w:id="461"/>
      <w:bookmarkEnd w:id="462"/>
      <w:bookmarkEnd w:id="463"/>
      <w:bookmarkEnd w:id="464"/>
      <w:bookmarkEnd w:id="465"/>
      <w:r>
        <w:rPr>
          <w:rFonts w:hint="eastAsia" w:ascii="宋体" w:hAnsi="宋体" w:eastAsia="宋体" w:cs="宋体"/>
          <w:sz w:val="24"/>
          <w:szCs w:val="24"/>
        </w:rPr>
        <w:t xml:space="preserve">  </w:t>
      </w:r>
      <w:bookmarkStart w:id="466" w:name="_Toc318581157"/>
    </w:p>
    <w:p w14:paraId="15F57ECC">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1.10.4超大件和超重件的运输</w:t>
      </w:r>
    </w:p>
    <w:p w14:paraId="48C960DC">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bookmarkEnd w:id="466"/>
    <w:p w14:paraId="01B5DDBC">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 知识产权</w:t>
      </w:r>
    </w:p>
    <w:p w14:paraId="2CE7C550">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                     </w:t>
      </w:r>
    </w:p>
    <w:p w14:paraId="24CC123E">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14:paraId="2F8C5F7A">
      <w:pPr>
        <w:spacing w:line="24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 xml:space="preserve">             </w:t>
      </w:r>
    </w:p>
    <w:p w14:paraId="5E0F7B0F">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E7921EE">
      <w:pPr>
        <w:spacing w:line="240" w:lineRule="auto"/>
        <w:ind w:left="596" w:leftChars="284"/>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1.11.2 关于承包人为实施工程所编制文件的著作权的归属：</w:t>
      </w:r>
      <w:r>
        <w:rPr>
          <w:rFonts w:hint="eastAsia" w:ascii="宋体" w:hAnsi="宋体" w:eastAsia="宋体" w:cs="宋体"/>
          <w:color w:val="000000"/>
          <w:sz w:val="24"/>
          <w:szCs w:val="24"/>
          <w:u w:val="single"/>
        </w:rPr>
        <w:t xml:space="preserve">    </w:t>
      </w:r>
    </w:p>
    <w:p w14:paraId="61FFCD5C">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657EF0C8">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w:t>
      </w:r>
    </w:p>
    <w:p w14:paraId="4FF9C744">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14:paraId="65444C50">
      <w:pPr>
        <w:spacing w:line="240" w:lineRule="auto"/>
        <w:ind w:firstLine="480" w:firstLineChars="200"/>
        <w:outlineLvl w:val="0"/>
        <w:rPr>
          <w:rFonts w:hint="eastAsia" w:ascii="宋体" w:hAnsi="宋体" w:eastAsia="宋体" w:cs="宋体"/>
          <w:color w:val="000000"/>
          <w:kern w:val="0"/>
          <w:sz w:val="24"/>
          <w:szCs w:val="24"/>
        </w:rPr>
      </w:pPr>
      <w:r>
        <w:rPr>
          <w:rFonts w:hint="eastAsia" w:ascii="宋体" w:hAnsi="宋体" w:eastAsia="宋体" w:cs="宋体"/>
          <w:color w:val="000000"/>
          <w:sz w:val="24"/>
          <w:szCs w:val="24"/>
        </w:rPr>
        <w:t>1.11.4 承包人在施工过程中所采用的专利、专有技术、技术秘密的使用费的承担方式：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56DBED51">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1.13工程量清单错误的修正</w:t>
      </w:r>
    </w:p>
    <w:p w14:paraId="72599E85">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出现工程量清单错误时，是否调整合同价格：</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20BEAEDA">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允许调整合同价格的工程量偏差范围：</w:t>
      </w:r>
      <w:r>
        <w:rPr>
          <w:rFonts w:hint="eastAsia" w:ascii="宋体" w:hAnsi="宋体" w:eastAsia="宋体" w:cs="宋体"/>
          <w:color w:val="000000"/>
          <w:sz w:val="24"/>
          <w:szCs w:val="24"/>
          <w:u w:val="single"/>
        </w:rPr>
        <w:t xml:space="preserve">                  </w:t>
      </w:r>
    </w:p>
    <w:p w14:paraId="2F879A3F">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4971F093">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467" w:name="_Toc351203634"/>
      <w:r>
        <w:rPr>
          <w:rFonts w:hint="eastAsia" w:ascii="宋体" w:hAnsi="宋体" w:eastAsia="宋体" w:cs="宋体"/>
          <w:b w:val="0"/>
          <w:bCs/>
          <w:color w:val="000000"/>
          <w:kern w:val="2"/>
          <w:sz w:val="24"/>
          <w:szCs w:val="24"/>
          <w:lang w:val="en-US" w:eastAsia="zh-CN" w:bidi="ar-SA"/>
        </w:rPr>
        <w:t>2</w:t>
      </w:r>
      <w:bookmarkStart w:id="468" w:name="_Toc296891197"/>
      <w:bookmarkStart w:id="469" w:name="_Toc296890985"/>
      <w:bookmarkStart w:id="470" w:name="_Toc296503157"/>
      <w:bookmarkStart w:id="471" w:name="_Toc296346658"/>
      <w:bookmarkStart w:id="472" w:name="_Toc297120457"/>
      <w:bookmarkStart w:id="473" w:name="_Toc296347156"/>
      <w:bookmarkStart w:id="474" w:name="_Toc292559362"/>
      <w:bookmarkStart w:id="475" w:name="_Toc292559867"/>
      <w:bookmarkStart w:id="476" w:name="_Toc296944496"/>
      <w:bookmarkStart w:id="477" w:name="_Toc297048343"/>
      <w:r>
        <w:rPr>
          <w:rFonts w:hint="eastAsia" w:ascii="宋体" w:hAnsi="宋体" w:eastAsia="宋体" w:cs="宋体"/>
          <w:b w:val="0"/>
          <w:bCs/>
          <w:color w:val="000000"/>
          <w:kern w:val="2"/>
          <w:sz w:val="24"/>
          <w:szCs w:val="24"/>
          <w:lang w:val="en-US" w:eastAsia="zh-CN" w:bidi="ar-SA"/>
        </w:rPr>
        <w:t>. 发包人</w:t>
      </w:r>
      <w:bookmarkEnd w:id="467"/>
    </w:p>
    <w:bookmarkEnd w:id="468"/>
    <w:bookmarkEnd w:id="469"/>
    <w:bookmarkEnd w:id="470"/>
    <w:bookmarkEnd w:id="471"/>
    <w:bookmarkEnd w:id="472"/>
    <w:bookmarkEnd w:id="473"/>
    <w:bookmarkEnd w:id="474"/>
    <w:bookmarkEnd w:id="475"/>
    <w:bookmarkEnd w:id="476"/>
    <w:bookmarkEnd w:id="477"/>
    <w:p w14:paraId="1B3A9E85">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2.2 发包人代表</w:t>
      </w:r>
    </w:p>
    <w:p w14:paraId="656FE14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7629B68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6066B1AF">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5120C60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E3EAA3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2F3A240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76968A6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62A175F">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t>     </w:t>
      </w:r>
    </w:p>
    <w:p w14:paraId="09C6D299">
      <w:pPr>
        <w:spacing w:line="240" w:lineRule="auto"/>
        <w:rPr>
          <w:rFonts w:hint="eastAsia" w:ascii="宋体" w:hAnsi="宋体" w:eastAsia="宋体" w:cs="宋体"/>
          <w:b/>
          <w:color w:val="000000"/>
          <w:sz w:val="24"/>
          <w:szCs w:val="24"/>
        </w:rPr>
      </w:pP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8E3F6BD">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2.4 施工现场、施工条件和基础资料的提供</w:t>
      </w:r>
    </w:p>
    <w:p w14:paraId="6C37235E">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0627CF2D">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14:paraId="5CFA16DF">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70CADE06">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5611DBCA">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2.5 资金来源证明及支付担保</w:t>
      </w:r>
    </w:p>
    <w:p w14:paraId="286853E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0DC49F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1EF8697">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965C661">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478" w:name="_Toc351203635"/>
      <w:r>
        <w:rPr>
          <w:rFonts w:hint="eastAsia" w:ascii="宋体" w:hAnsi="宋体" w:eastAsia="宋体" w:cs="宋体"/>
          <w:b w:val="0"/>
          <w:bCs/>
          <w:color w:val="000000"/>
          <w:kern w:val="2"/>
          <w:sz w:val="24"/>
          <w:szCs w:val="24"/>
          <w:lang w:val="en-US" w:eastAsia="zh-CN" w:bidi="ar-SA"/>
        </w:rPr>
        <w:t>3</w:t>
      </w:r>
      <w:bookmarkStart w:id="479" w:name="_Toc296891198"/>
      <w:bookmarkStart w:id="480" w:name="_Toc296503158"/>
      <w:bookmarkStart w:id="481" w:name="_Toc296944497"/>
      <w:bookmarkStart w:id="482" w:name="_Toc292559363"/>
      <w:bookmarkStart w:id="483" w:name="_Toc296347157"/>
      <w:bookmarkStart w:id="484" w:name="_Toc296890986"/>
      <w:bookmarkStart w:id="485" w:name="_Toc292559868"/>
      <w:bookmarkStart w:id="486" w:name="_Toc297120458"/>
      <w:bookmarkStart w:id="487" w:name="_Toc297048344"/>
      <w:bookmarkStart w:id="488" w:name="_Toc296346659"/>
      <w:r>
        <w:rPr>
          <w:rFonts w:hint="eastAsia" w:ascii="宋体" w:hAnsi="宋体" w:eastAsia="宋体" w:cs="宋体"/>
          <w:b w:val="0"/>
          <w:bCs/>
          <w:color w:val="000000"/>
          <w:kern w:val="2"/>
          <w:sz w:val="24"/>
          <w:szCs w:val="24"/>
          <w:lang w:val="en-US" w:eastAsia="zh-CN" w:bidi="ar-SA"/>
        </w:rPr>
        <w:t>. 承包人</w:t>
      </w:r>
      <w:bookmarkEnd w:id="478"/>
    </w:p>
    <w:bookmarkEnd w:id="479"/>
    <w:bookmarkEnd w:id="480"/>
    <w:bookmarkEnd w:id="481"/>
    <w:bookmarkEnd w:id="482"/>
    <w:bookmarkEnd w:id="483"/>
    <w:bookmarkEnd w:id="484"/>
    <w:bookmarkEnd w:id="485"/>
    <w:bookmarkEnd w:id="486"/>
    <w:bookmarkEnd w:id="487"/>
    <w:bookmarkEnd w:id="488"/>
    <w:p w14:paraId="32797C22">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3.1 承包人的一般义务</w:t>
      </w:r>
    </w:p>
    <w:p w14:paraId="4ADAFAA9">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D66B315">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FA964B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3EF938B">
      <w:pPr>
        <w:spacing w:line="24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903C31">
      <w:pPr>
        <w:spacing w:line="24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EB2B7B1">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3EB21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3779C29">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1BE6D09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6D40709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CD7AE7B">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0A629D4">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23EC64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495FBA14">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858612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751D589F">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4B1BBAE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F10798F">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B325C9A">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15BA28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关于项目经理每月在施工现场的时间要求：</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763635E">
      <w:pPr>
        <w:spacing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 xml:space="preserve">                                                                                     </w:t>
      </w:r>
      <w:r>
        <w:rPr>
          <w:rFonts w:hint="eastAsia" w:ascii="宋体" w:hAnsi="宋体" w:eastAsia="宋体" w:cs="宋体"/>
          <w:color w:val="000000"/>
          <w:sz w:val="24"/>
          <w:szCs w:val="24"/>
        </w:rPr>
        <w:t>。</w:t>
      </w:r>
    </w:p>
    <w:p w14:paraId="440232E7">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项目经理未经批准，擅自离开施工现场的违约责任：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972556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 xml:space="preserve">              </w:t>
      </w:r>
    </w:p>
    <w:p w14:paraId="763CCB20">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5F9CB306">
      <w:pPr>
        <w:spacing w:line="24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3.2.4 承包人无正当理由拒绝更换项目经理的违约责任：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9C558DF">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482BD1DB">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1BCF068C">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3.3.3 承包人无正当理由拒绝撤换主要施工管理人员的违约责任：</w:t>
      </w: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14:paraId="4BA23040">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3.3.4 承包人主要施工管理人员离开施工现场的批准要求：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801E5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3.3.5承包人擅自更换主要施工管理人员的违约责任：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70D8AB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334A698">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489" w:name="_Toc296346660"/>
      <w:bookmarkStart w:id="490" w:name="_Toc296890987"/>
      <w:bookmarkStart w:id="491" w:name="_Toc297120459"/>
      <w:bookmarkStart w:id="492" w:name="_Toc300934945"/>
      <w:bookmarkStart w:id="493" w:name="_Toc312677988"/>
      <w:bookmarkStart w:id="494" w:name="_Toc297216151"/>
      <w:bookmarkStart w:id="495" w:name="_Toc297048345"/>
      <w:bookmarkStart w:id="496" w:name="_Toc292559364"/>
      <w:bookmarkStart w:id="497" w:name="_Toc296944498"/>
      <w:bookmarkStart w:id="498" w:name="_Toc296347158"/>
      <w:bookmarkStart w:id="499" w:name="_Toc304295523"/>
      <w:bookmarkStart w:id="500" w:name="_Toc297123492"/>
      <w:bookmarkStart w:id="501" w:name="_Toc296891199"/>
      <w:bookmarkStart w:id="502" w:name="_Toc303539102"/>
      <w:bookmarkStart w:id="503" w:name="_Toc292559869"/>
      <w:bookmarkStart w:id="504" w:name="_Toc296503159"/>
      <w:r>
        <w:rPr>
          <w:rFonts w:hint="eastAsia" w:ascii="宋体" w:hAnsi="宋体" w:eastAsia="宋体" w:cs="宋体"/>
          <w:color w:val="000000"/>
          <w:sz w:val="24"/>
          <w:szCs w:val="24"/>
        </w:rPr>
        <w:t>.5 分包</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71504111">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bookmarkStart w:id="505" w:name="_Toc296890988"/>
      <w:bookmarkStart w:id="506" w:name="_Toc300934946"/>
      <w:bookmarkStart w:id="507" w:name="_Toc296503160"/>
      <w:bookmarkStart w:id="508" w:name="_Toc297216152"/>
      <w:bookmarkStart w:id="509" w:name="_Toc296891200"/>
      <w:bookmarkStart w:id="510" w:name="_Toc297120460"/>
      <w:bookmarkStart w:id="511" w:name="_Toc297048346"/>
      <w:bookmarkStart w:id="512" w:name="_Toc296347159"/>
      <w:bookmarkStart w:id="513" w:name="_Toc296944499"/>
      <w:bookmarkStart w:id="514" w:name="_Toc296346661"/>
      <w:bookmarkStart w:id="515" w:name="_Toc292559870"/>
      <w:bookmarkStart w:id="516" w:name="_Toc297123493"/>
      <w:bookmarkStart w:id="517" w:name="_Toc303539103"/>
      <w:bookmarkStart w:id="518" w:name="_Toc304295524"/>
      <w:bookmarkStart w:id="519" w:name="_Toc292559365"/>
      <w:bookmarkStart w:id="520" w:name="_Toc312677989"/>
      <w:bookmarkStart w:id="521" w:name="_Toc318581158"/>
      <w:r>
        <w:rPr>
          <w:rFonts w:hint="eastAsia" w:ascii="宋体" w:hAnsi="宋体" w:eastAsia="宋体" w:cs="宋体"/>
          <w:sz w:val="24"/>
          <w:szCs w:val="24"/>
        </w:rPr>
        <w:t>.5.1 分包的一般约定</w:t>
      </w:r>
    </w:p>
    <w:p w14:paraId="341B3138">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984C73D">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color w:val="000000"/>
          <w:sz w:val="24"/>
          <w:szCs w:val="24"/>
          <w:u w:val="single"/>
        </w:rPr>
        <w:t xml:space="preserve">                      </w:t>
      </w:r>
    </w:p>
    <w:p w14:paraId="73AB955B">
      <w:pPr>
        <w:spacing w:line="240" w:lineRule="auto"/>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Start w:id="522" w:name="_Toc303539104"/>
      <w:bookmarkStart w:id="523" w:name="_Toc296347160"/>
      <w:bookmarkStart w:id="524" w:name="_Toc297048347"/>
      <w:bookmarkStart w:id="525" w:name="_Toc297123494"/>
      <w:bookmarkStart w:id="526" w:name="_Toc296944500"/>
      <w:bookmarkStart w:id="527" w:name="_Toc297120461"/>
      <w:bookmarkStart w:id="528" w:name="_Toc297216153"/>
      <w:bookmarkStart w:id="529" w:name="_Toc296346662"/>
      <w:bookmarkStart w:id="530" w:name="_Toc296890989"/>
      <w:bookmarkStart w:id="531" w:name="_Toc296891201"/>
      <w:bookmarkStart w:id="532" w:name="_Toc304295525"/>
      <w:bookmarkStart w:id="533" w:name="_Toc296503161"/>
      <w:bookmarkStart w:id="534" w:name="_Toc300934947"/>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239CFC83">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    3</w:t>
      </w:r>
      <w:bookmarkStart w:id="535" w:name="_Toc318581159"/>
      <w:bookmarkStart w:id="536" w:name="_Toc312677990"/>
      <w:r>
        <w:rPr>
          <w:rFonts w:hint="eastAsia" w:ascii="宋体" w:hAnsi="宋体" w:eastAsia="宋体" w:cs="宋体"/>
          <w:sz w:val="24"/>
          <w:szCs w:val="24"/>
        </w:rPr>
        <w:t>.5.2分包的确定</w:t>
      </w:r>
    </w:p>
    <w:p w14:paraId="142A7D26">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CE5D8F7">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w:t>
      </w:r>
    </w:p>
    <w:p w14:paraId="1531328C">
      <w:pPr>
        <w:spacing w:line="240" w:lineRule="auto"/>
        <w:rPr>
          <w:rFonts w:hint="eastAsia" w:ascii="宋体" w:hAnsi="宋体" w:eastAsia="宋体" w:cs="宋体"/>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C078F9B">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3.5.4 分包合同价款</w:t>
      </w:r>
    </w:p>
    <w:p w14:paraId="045BD59D">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35"/>
    <w:bookmarkEnd w:id="536"/>
    <w:p w14:paraId="2DC79FC4">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p>
    <w:p w14:paraId="122519F7">
      <w:pPr>
        <w:spacing w:before="120" w:after="120" w:line="24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B0B7097">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3.7 履约担保</w:t>
      </w:r>
    </w:p>
    <w:p w14:paraId="7C32C51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DC40AD2">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p>
    <w:p w14:paraId="747D7CD0">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8003F8">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537" w:name="_Toc351203636"/>
      <w:r>
        <w:rPr>
          <w:rFonts w:hint="eastAsia" w:ascii="宋体" w:hAnsi="宋体" w:eastAsia="宋体" w:cs="宋体"/>
          <w:b w:val="0"/>
          <w:bCs/>
          <w:color w:val="000000"/>
          <w:kern w:val="2"/>
          <w:sz w:val="24"/>
          <w:szCs w:val="24"/>
          <w:lang w:val="en-US" w:eastAsia="zh-CN" w:bidi="ar-SA"/>
        </w:rPr>
        <w:t>4</w:t>
      </w:r>
      <w:bookmarkStart w:id="538" w:name="_Toc296347161"/>
      <w:bookmarkStart w:id="539" w:name="_Toc297120462"/>
      <w:bookmarkStart w:id="540" w:name="_Toc296503162"/>
      <w:bookmarkStart w:id="541" w:name="_Toc296944501"/>
      <w:bookmarkStart w:id="542" w:name="_Toc296891202"/>
      <w:bookmarkStart w:id="543" w:name="_Toc296346663"/>
      <w:bookmarkStart w:id="544" w:name="_Toc297048348"/>
      <w:bookmarkStart w:id="545" w:name="_Toc267251413"/>
      <w:bookmarkStart w:id="546" w:name="_Toc296890990"/>
      <w:bookmarkStart w:id="547" w:name="_Toc292559366"/>
      <w:bookmarkStart w:id="548" w:name="_Toc292559871"/>
      <w:r>
        <w:rPr>
          <w:rFonts w:hint="eastAsia" w:ascii="宋体" w:hAnsi="宋体" w:eastAsia="宋体" w:cs="宋体"/>
          <w:b w:val="0"/>
          <w:bCs/>
          <w:color w:val="000000"/>
          <w:kern w:val="2"/>
          <w:sz w:val="24"/>
          <w:szCs w:val="24"/>
          <w:lang w:val="en-US" w:eastAsia="zh-CN" w:bidi="ar-SA"/>
        </w:rPr>
        <w:t>. 监</w:t>
      </w:r>
      <w:bookmarkEnd w:id="538"/>
      <w:bookmarkEnd w:id="539"/>
      <w:bookmarkEnd w:id="540"/>
      <w:bookmarkEnd w:id="541"/>
      <w:bookmarkEnd w:id="542"/>
      <w:bookmarkEnd w:id="543"/>
      <w:bookmarkEnd w:id="544"/>
      <w:bookmarkEnd w:id="545"/>
      <w:bookmarkEnd w:id="546"/>
      <w:bookmarkEnd w:id="547"/>
      <w:bookmarkEnd w:id="548"/>
      <w:r>
        <w:rPr>
          <w:rFonts w:hint="eastAsia" w:ascii="宋体" w:hAnsi="宋体" w:eastAsia="宋体" w:cs="宋体"/>
          <w:b w:val="0"/>
          <w:bCs/>
          <w:color w:val="000000"/>
          <w:kern w:val="2"/>
          <w:sz w:val="24"/>
          <w:szCs w:val="24"/>
          <w:lang w:val="en-US" w:eastAsia="zh-CN" w:bidi="ar-SA"/>
        </w:rPr>
        <w:t>理人</w:t>
      </w:r>
      <w:bookmarkEnd w:id="537"/>
    </w:p>
    <w:p w14:paraId="0D677CAD">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2DFCD64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B1A88F5">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6EF899CB">
      <w:pPr>
        <w:spacing w:line="24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p>
    <w:p w14:paraId="2ADC5FF2">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8715405">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6C9D6C30">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33C02A0F">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EF5199D">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E5F118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6D2CEDF">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69D155E">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CA0F734">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292E5A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B9E7086">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4.4 商定或确定</w:t>
      </w:r>
    </w:p>
    <w:p w14:paraId="07AD5712">
      <w:pPr>
        <w:spacing w:line="240" w:lineRule="auto"/>
        <w:ind w:firstLine="480" w:firstLineChars="200"/>
        <w:rPr>
          <w:rFonts w:hint="eastAsia" w:ascii="宋体" w:hAnsi="宋体" w:eastAsia="宋体" w:cs="宋体"/>
          <w:color w:val="000000"/>
          <w:sz w:val="24"/>
          <w:szCs w:val="24"/>
        </w:rPr>
      </w:pPr>
      <w:bookmarkStart w:id="549" w:name="_Toc267251418"/>
      <w:r>
        <w:rPr>
          <w:rFonts w:hint="eastAsia" w:ascii="宋体" w:hAnsi="宋体" w:eastAsia="宋体" w:cs="宋体"/>
          <w:color w:val="000000"/>
          <w:sz w:val="24"/>
          <w:szCs w:val="24"/>
        </w:rPr>
        <w:t>在发包人和承包人不能通过协商达成一致意见时，发包人授权监理人对以下事项进行确定：</w:t>
      </w:r>
    </w:p>
    <w:p w14:paraId="3710C4AA">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9A255EB">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B13A94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6EF5D6">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550" w:name="_Toc351203637"/>
      <w:r>
        <w:rPr>
          <w:rFonts w:hint="eastAsia" w:ascii="宋体" w:hAnsi="宋体" w:eastAsia="宋体" w:cs="宋体"/>
          <w:b w:val="0"/>
          <w:bCs/>
          <w:color w:val="000000"/>
          <w:kern w:val="2"/>
          <w:sz w:val="24"/>
          <w:szCs w:val="24"/>
          <w:lang w:val="en-US" w:eastAsia="zh-CN" w:bidi="ar-SA"/>
        </w:rPr>
        <w:t>5</w:t>
      </w:r>
      <w:bookmarkEnd w:id="549"/>
      <w:bookmarkStart w:id="551" w:name="_Toc297120463"/>
      <w:bookmarkStart w:id="552" w:name="_Toc292559872"/>
      <w:bookmarkStart w:id="553" w:name="_Toc296944502"/>
      <w:bookmarkStart w:id="554" w:name="_Toc292559367"/>
      <w:bookmarkStart w:id="555" w:name="_Toc296347162"/>
      <w:bookmarkStart w:id="556" w:name="_Toc296346664"/>
      <w:bookmarkStart w:id="557" w:name="_Toc296503163"/>
      <w:bookmarkStart w:id="558" w:name="_Toc296890991"/>
      <w:bookmarkStart w:id="559" w:name="_Toc297048349"/>
      <w:bookmarkStart w:id="560" w:name="_Toc296891203"/>
      <w:r>
        <w:rPr>
          <w:rFonts w:hint="eastAsia" w:ascii="宋体" w:hAnsi="宋体" w:eastAsia="宋体" w:cs="宋体"/>
          <w:b w:val="0"/>
          <w:bCs/>
          <w:color w:val="000000"/>
          <w:kern w:val="2"/>
          <w:sz w:val="24"/>
          <w:szCs w:val="24"/>
          <w:lang w:val="en-US" w:eastAsia="zh-CN" w:bidi="ar-SA"/>
        </w:rPr>
        <w:t>. 工程质量</w:t>
      </w:r>
      <w:bookmarkEnd w:id="550"/>
    </w:p>
    <w:p w14:paraId="0A884075">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5.1 质量要求</w:t>
      </w:r>
    </w:p>
    <w:p w14:paraId="66662218">
      <w:pPr>
        <w:spacing w:line="240" w:lineRule="auto"/>
        <w:jc w:val="left"/>
        <w:rPr>
          <w:rFonts w:hint="eastAsia" w:ascii="宋体" w:hAnsi="宋体" w:eastAsia="宋体" w:cs="宋体"/>
          <w:sz w:val="24"/>
          <w:szCs w:val="24"/>
        </w:rPr>
      </w:pPr>
      <w:r>
        <w:rPr>
          <w:rFonts w:hint="eastAsia" w:ascii="宋体" w:hAnsi="宋体" w:eastAsia="宋体" w:cs="宋体"/>
          <w:sz w:val="24"/>
          <w:szCs w:val="24"/>
        </w:rPr>
        <w:t>5</w:t>
      </w:r>
      <w:bookmarkStart w:id="561" w:name="_Toc312677997"/>
      <w:bookmarkStart w:id="562" w:name="_Toc318581164"/>
      <w:bookmarkStart w:id="563" w:name="_Toc297216155"/>
      <w:bookmarkStart w:id="564" w:name="_Toc297123496"/>
      <w:bookmarkStart w:id="565" w:name="_Toc304295527"/>
      <w:bookmarkStart w:id="566" w:name="_Toc303539106"/>
      <w:bookmarkStart w:id="567" w:name="_Toc300934949"/>
      <w:r>
        <w:rPr>
          <w:rFonts w:hint="eastAsia" w:ascii="宋体" w:hAnsi="宋体" w:eastAsia="宋体" w:cs="宋体"/>
          <w:sz w:val="24"/>
          <w:szCs w:val="24"/>
        </w:rPr>
        <w:t>.1.1 特殊质量标准和要求：</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合格</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868058F">
      <w:pPr>
        <w:spacing w:line="240" w:lineRule="auto"/>
        <w:jc w:val="left"/>
        <w:rPr>
          <w:rFonts w:hint="eastAsia" w:ascii="宋体" w:hAnsi="宋体" w:eastAsia="宋体" w:cs="宋体"/>
          <w:color w:val="000000"/>
          <w:sz w:val="24"/>
          <w:szCs w:val="24"/>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E578487">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5.3 隐蔽工程检查</w:t>
      </w:r>
    </w:p>
    <w:p w14:paraId="29A182EA">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 xml:space="preserve">    </w:t>
      </w:r>
    </w:p>
    <w:p w14:paraId="73CBBA68">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A372B5">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监理人不能按时进行检查时，应提前</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48</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62636954">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4A7C750B">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568" w:name="_Toc351203638"/>
      <w:r>
        <w:rPr>
          <w:rFonts w:hint="eastAsia" w:ascii="宋体" w:hAnsi="宋体" w:eastAsia="宋体" w:cs="宋体"/>
          <w:b w:val="0"/>
          <w:bCs/>
          <w:color w:val="000000"/>
          <w:kern w:val="2"/>
          <w:sz w:val="24"/>
          <w:szCs w:val="24"/>
          <w:lang w:val="en-US" w:eastAsia="zh-CN" w:bidi="ar-SA"/>
        </w:rPr>
        <w:t>6. 安全文明施工与环境保护</w:t>
      </w:r>
      <w:bookmarkEnd w:id="568"/>
    </w:p>
    <w:p w14:paraId="7FC4657B">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6.1安全文明施工</w:t>
      </w:r>
    </w:p>
    <w:p w14:paraId="266FA4C0">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 xml:space="preserve">         </w:t>
      </w:r>
    </w:p>
    <w:p w14:paraId="2F50897B">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22A69F">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rPr>
        <w:t xml:space="preserve">                         </w:t>
      </w:r>
    </w:p>
    <w:p w14:paraId="02456F96">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F02357">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1BE5B4">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6.1.5 文明施工</w:t>
      </w:r>
    </w:p>
    <w:p w14:paraId="493C46EB">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p>
    <w:p w14:paraId="2F9B5B26">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18FF7F">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 xml:space="preserve">     </w:t>
      </w:r>
    </w:p>
    <w:p w14:paraId="4B80AA13">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561"/>
    <w:bookmarkEnd w:id="562"/>
    <w:bookmarkEnd w:id="563"/>
    <w:bookmarkEnd w:id="564"/>
    <w:bookmarkEnd w:id="565"/>
    <w:bookmarkEnd w:id="566"/>
    <w:bookmarkEnd w:id="567"/>
    <w:p w14:paraId="21FEA272">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569" w:name="_Toc351203639"/>
      <w:r>
        <w:rPr>
          <w:rFonts w:hint="eastAsia" w:ascii="宋体" w:hAnsi="宋体" w:eastAsia="宋体" w:cs="宋体"/>
          <w:b w:val="0"/>
          <w:bCs/>
          <w:color w:val="000000"/>
          <w:kern w:val="2"/>
          <w:sz w:val="24"/>
          <w:szCs w:val="24"/>
          <w:lang w:val="en-US" w:eastAsia="zh-CN" w:bidi="ar-SA"/>
        </w:rPr>
        <w:t>7. 工期和进度</w:t>
      </w:r>
      <w:bookmarkEnd w:id="569"/>
    </w:p>
    <w:p w14:paraId="55C670CE">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7.1 施工组织设计</w:t>
      </w:r>
    </w:p>
    <w:p w14:paraId="12570433">
      <w:pPr>
        <w:autoSpaceDE w:val="0"/>
        <w:autoSpaceDN w:val="0"/>
        <w:adjustRightInd w:val="0"/>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7.1.1 </w:t>
      </w:r>
      <w:r>
        <w:rPr>
          <w:rFonts w:hint="eastAsia" w:ascii="宋体" w:hAnsi="宋体" w:eastAsia="宋体" w:cs="宋体"/>
          <w:color w:val="000000"/>
          <w:sz w:val="24"/>
          <w:szCs w:val="24"/>
        </w:rPr>
        <w:t>合</w:t>
      </w:r>
      <w:r>
        <w:rPr>
          <w:rFonts w:hint="eastAsia" w:ascii="宋体" w:hAnsi="宋体" w:eastAsia="宋体" w:cs="宋体"/>
          <w:color w:val="000000"/>
          <w:kern w:val="0"/>
          <w:sz w:val="24"/>
          <w:szCs w:val="24"/>
        </w:rPr>
        <w:t>同当事人约定的施工组织设计应包括的其他内容：</w:t>
      </w:r>
      <w:r>
        <w:rPr>
          <w:rFonts w:hint="eastAsia" w:ascii="宋体" w:hAnsi="宋体" w:eastAsia="宋体" w:cs="宋体"/>
          <w:sz w:val="24"/>
          <w:szCs w:val="24"/>
          <w:u w:val="single"/>
        </w:rPr>
        <w:t xml:space="preserve">   </w:t>
      </w:r>
    </w:p>
    <w:p w14:paraId="328DFD4B">
      <w:pPr>
        <w:autoSpaceDE w:val="0"/>
        <w:autoSpaceDN w:val="0"/>
        <w:adjustRightInd w:val="0"/>
        <w:spacing w:line="240" w:lineRule="auto"/>
        <w:jc w:val="left"/>
        <w:rPr>
          <w:rFonts w:hint="eastAsia" w:ascii="宋体" w:hAnsi="宋体" w:eastAsia="宋体" w:cs="宋体"/>
          <w:color w:val="00000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2EE6F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2ACF6321">
      <w:pPr>
        <w:autoSpaceDE w:val="0"/>
        <w:autoSpaceDN w:val="0"/>
        <w:adjustRightInd w:val="0"/>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sz w:val="24"/>
          <w:szCs w:val="24"/>
          <w:u w:val="single"/>
        </w:rPr>
        <w:t xml:space="preserve">              </w:t>
      </w:r>
    </w:p>
    <w:p w14:paraId="6423540D">
      <w:pPr>
        <w:autoSpaceDE w:val="0"/>
        <w:autoSpaceDN w:val="0"/>
        <w:adjustRightInd w:val="0"/>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A82CA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发包人和监理人在收到详细的施工组织设计后确认或提出修改意见的期限：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555D7C">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70" w:name="_Toc297123514"/>
      <w:bookmarkStart w:id="571" w:name="_Toc303539123"/>
      <w:bookmarkStart w:id="572" w:name="_Toc312678005"/>
      <w:bookmarkStart w:id="573" w:name="_Toc304295541"/>
      <w:bookmarkStart w:id="574" w:name="_Toc297216173"/>
      <w:bookmarkStart w:id="575" w:name="_Toc300934966"/>
      <w:bookmarkStart w:id="576" w:name="_Toc312677479"/>
      <w:r>
        <w:rPr>
          <w:rFonts w:hint="eastAsia" w:ascii="宋体" w:hAnsi="宋体" w:eastAsia="宋体" w:cs="宋体"/>
          <w:color w:val="000000"/>
          <w:sz w:val="24"/>
          <w:szCs w:val="24"/>
        </w:rPr>
        <w:t>.2 施工进度计划</w:t>
      </w:r>
    </w:p>
    <w:p w14:paraId="71A4BDA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2443ED2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A6DFA5">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7.3 开工</w:t>
      </w:r>
    </w:p>
    <w:p w14:paraId="0360470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2E1665EF">
      <w:pPr>
        <w:spacing w:line="240" w:lineRule="auto"/>
        <w:ind w:firstLine="645"/>
        <w:jc w:val="left"/>
        <w:rPr>
          <w:rFonts w:hint="eastAsia" w:ascii="宋体" w:hAnsi="宋体" w:eastAsia="宋体" w:cs="宋体"/>
          <w:sz w:val="24"/>
          <w:szCs w:val="24"/>
          <w:u w:val="single"/>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6D1019">
      <w:pPr>
        <w:spacing w:line="240" w:lineRule="auto"/>
        <w:ind w:firstLine="645"/>
        <w:jc w:val="left"/>
        <w:rPr>
          <w:rFonts w:hint="eastAsia" w:ascii="宋体" w:hAnsi="宋体" w:eastAsia="宋体" w:cs="宋体"/>
          <w:sz w:val="24"/>
          <w:szCs w:val="24"/>
          <w:u w:val="single"/>
        </w:rPr>
      </w:pPr>
      <w:r>
        <w:rPr>
          <w:rFonts w:hint="eastAsia" w:ascii="宋体" w:hAnsi="宋体" w:eastAsia="宋体" w:cs="宋体"/>
          <w:color w:val="000000"/>
          <w:sz w:val="24"/>
          <w:szCs w:val="24"/>
        </w:rPr>
        <w:t>关于发包人应完成的其他开工准备工作及期限：</w:t>
      </w:r>
      <w:r>
        <w:rPr>
          <w:rFonts w:hint="eastAsia" w:ascii="宋体" w:hAnsi="宋体" w:eastAsia="宋体" w:cs="宋体"/>
          <w:sz w:val="24"/>
          <w:szCs w:val="24"/>
          <w:u w:val="single"/>
        </w:rPr>
        <w:t xml:space="preserve">             </w:t>
      </w:r>
    </w:p>
    <w:p w14:paraId="3D5676AF">
      <w:pPr>
        <w:spacing w:line="240" w:lineRule="auto"/>
        <w:jc w:val="left"/>
        <w:rPr>
          <w:rFonts w:hint="eastAsia" w:ascii="宋体" w:hAnsi="宋体" w:eastAsia="宋体" w:cs="宋体"/>
          <w:color w:val="00000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8A18D3">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sz w:val="24"/>
          <w:szCs w:val="24"/>
          <w:u w:val="single"/>
        </w:rPr>
        <w:t xml:space="preserve">            </w:t>
      </w:r>
    </w:p>
    <w:p w14:paraId="40263961">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A7BFC21">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7.3.2开工通知</w:t>
      </w:r>
    </w:p>
    <w:p w14:paraId="0E5E8771">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因发包人原因造成监理人未能在计划开工日期之日起</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天内发出开工通知的，承包人有权提出价格调整要求，或者解除合同。</w:t>
      </w:r>
    </w:p>
    <w:bookmarkEnd w:id="570"/>
    <w:bookmarkEnd w:id="571"/>
    <w:bookmarkEnd w:id="572"/>
    <w:bookmarkEnd w:id="573"/>
    <w:bookmarkEnd w:id="574"/>
    <w:bookmarkEnd w:id="575"/>
    <w:bookmarkEnd w:id="576"/>
    <w:p w14:paraId="24929BC2">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7.4 测量放线</w:t>
      </w:r>
    </w:p>
    <w:p w14:paraId="26F32FC9">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D56606">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77" w:name="_Toc304295546"/>
      <w:bookmarkStart w:id="578" w:name="_Toc297216175"/>
      <w:bookmarkStart w:id="579" w:name="_Toc312677484"/>
      <w:bookmarkStart w:id="580" w:name="_Toc312678010"/>
      <w:bookmarkStart w:id="581" w:name="_Toc297123516"/>
      <w:bookmarkStart w:id="582" w:name="_Toc300934968"/>
      <w:bookmarkStart w:id="583" w:name="_Toc303539125"/>
      <w:r>
        <w:rPr>
          <w:rFonts w:hint="eastAsia" w:ascii="宋体" w:hAnsi="宋体" w:eastAsia="宋体" w:cs="宋体"/>
          <w:color w:val="000000"/>
          <w:sz w:val="24"/>
          <w:szCs w:val="24"/>
        </w:rPr>
        <w:t>.5 工期延误</w:t>
      </w:r>
    </w:p>
    <w:bookmarkEnd w:id="577"/>
    <w:bookmarkEnd w:id="578"/>
    <w:bookmarkEnd w:id="579"/>
    <w:bookmarkEnd w:id="580"/>
    <w:bookmarkEnd w:id="581"/>
    <w:bookmarkEnd w:id="582"/>
    <w:bookmarkEnd w:id="583"/>
    <w:p w14:paraId="1A4B961C">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14591D01">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 xml:space="preserve">              </w:t>
      </w:r>
    </w:p>
    <w:p w14:paraId="7BBEBE41">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90E893">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w:t>
      </w:r>
      <w:bookmarkStart w:id="584" w:name="_Toc312677486"/>
      <w:bookmarkStart w:id="585" w:name="_Toc318581169"/>
      <w:bookmarkStart w:id="586" w:name="_Toc312678012"/>
      <w:bookmarkStart w:id="587" w:name="_Toc297123518"/>
      <w:bookmarkStart w:id="588" w:name="_Toc300934970"/>
      <w:bookmarkStart w:id="589" w:name="_Toc297216177"/>
      <w:bookmarkStart w:id="590" w:name="_Toc303539127"/>
      <w:bookmarkStart w:id="591" w:name="_Toc304295548"/>
      <w:r>
        <w:rPr>
          <w:rFonts w:hint="eastAsia" w:ascii="宋体" w:hAnsi="宋体" w:eastAsia="宋体" w:cs="宋体"/>
          <w:sz w:val="24"/>
          <w:szCs w:val="24"/>
        </w:rPr>
        <w:t>.5.2 因承包人原因导致工期延误</w:t>
      </w:r>
    </w:p>
    <w:bookmarkEnd w:id="584"/>
    <w:bookmarkEnd w:id="585"/>
    <w:bookmarkEnd w:id="586"/>
    <w:p w14:paraId="52217E6E">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因</w:t>
      </w:r>
      <w:bookmarkStart w:id="592" w:name="_Toc312678013"/>
      <w:bookmarkStart w:id="593" w:name="_Toc312677487"/>
      <w:bookmarkStart w:id="594" w:name="_Toc318581170"/>
      <w:r>
        <w:rPr>
          <w:rFonts w:hint="eastAsia" w:ascii="宋体" w:hAnsi="宋体" w:eastAsia="宋体" w:cs="宋体"/>
          <w:sz w:val="24"/>
          <w:szCs w:val="24"/>
        </w:rPr>
        <w:t>承包人原因造成工期延误，逾期竣工违约金的计算方法为：</w:t>
      </w:r>
    </w:p>
    <w:p w14:paraId="1ED7A8AF">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587"/>
      <w:bookmarkEnd w:id="588"/>
      <w:bookmarkEnd w:id="589"/>
      <w:bookmarkEnd w:id="590"/>
      <w:bookmarkEnd w:id="591"/>
      <w:bookmarkEnd w:id="592"/>
      <w:bookmarkEnd w:id="593"/>
    </w:p>
    <w:bookmarkEnd w:id="594"/>
    <w:p w14:paraId="3B314E57">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因承包人原因造成工期延误，逾</w:t>
      </w:r>
      <w:bookmarkStart w:id="595" w:name="_Toc318581171"/>
      <w:bookmarkStart w:id="596" w:name="_Toc312678014"/>
      <w:r>
        <w:rPr>
          <w:rFonts w:hint="eastAsia" w:ascii="宋体" w:hAnsi="宋体" w:eastAsia="宋体" w:cs="宋体"/>
          <w:sz w:val="24"/>
          <w:szCs w:val="24"/>
        </w:rPr>
        <w:t>期竣工违约金的上限：</w:t>
      </w:r>
      <w:r>
        <w:rPr>
          <w:rFonts w:hint="eastAsia" w:ascii="宋体" w:hAnsi="宋体" w:eastAsia="宋体" w:cs="宋体"/>
          <w:sz w:val="24"/>
          <w:szCs w:val="24"/>
          <w:u w:val="single"/>
        </w:rPr>
        <w:t xml:space="preserve">       </w:t>
      </w:r>
    </w:p>
    <w:p w14:paraId="7128BA40">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595"/>
    <w:bookmarkEnd w:id="596"/>
    <w:p w14:paraId="0B0758CA">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97" w:name="_Toc303539128"/>
      <w:bookmarkStart w:id="598" w:name="_Toc304295549"/>
      <w:bookmarkStart w:id="599" w:name="_Toc300934971"/>
      <w:bookmarkStart w:id="600" w:name="_Toc312678015"/>
      <w:bookmarkStart w:id="601" w:name="_Toc297216178"/>
      <w:bookmarkStart w:id="602" w:name="_Toc297123519"/>
      <w:r>
        <w:rPr>
          <w:rFonts w:hint="eastAsia" w:ascii="宋体" w:hAnsi="宋体" w:eastAsia="宋体" w:cs="宋体"/>
          <w:color w:val="000000"/>
          <w:sz w:val="24"/>
          <w:szCs w:val="24"/>
        </w:rPr>
        <w:t>.6 不</w:t>
      </w:r>
      <w:bookmarkEnd w:id="597"/>
      <w:bookmarkEnd w:id="598"/>
      <w:bookmarkEnd w:id="599"/>
      <w:bookmarkEnd w:id="600"/>
      <w:bookmarkEnd w:id="601"/>
      <w:bookmarkEnd w:id="602"/>
      <w:r>
        <w:rPr>
          <w:rFonts w:hint="eastAsia" w:ascii="宋体" w:hAnsi="宋体" w:eastAsia="宋体" w:cs="宋体"/>
          <w:color w:val="000000"/>
          <w:sz w:val="24"/>
          <w:szCs w:val="24"/>
        </w:rPr>
        <w:t>利物质条件</w:t>
      </w:r>
    </w:p>
    <w:p w14:paraId="5E0EFCFC">
      <w:pPr>
        <w:spacing w:line="240" w:lineRule="auto"/>
        <w:ind w:firstLine="480" w:firstLineChars="200"/>
        <w:jc w:val="left"/>
        <w:rPr>
          <w:rFonts w:hint="eastAsia" w:ascii="宋体" w:hAnsi="宋体" w:eastAsia="宋体" w:cs="宋体"/>
          <w:sz w:val="24"/>
          <w:szCs w:val="24"/>
          <w:u w:val="single"/>
        </w:rPr>
      </w:pPr>
      <w:bookmarkStart w:id="603" w:name="_Toc312678016"/>
      <w:bookmarkStart w:id="604" w:name="_Toc297123520"/>
      <w:bookmarkStart w:id="605" w:name="_Toc304295550"/>
      <w:bookmarkStart w:id="606" w:name="_Toc303539129"/>
      <w:bookmarkStart w:id="607" w:name="_Toc300934972"/>
      <w:bookmarkStart w:id="608" w:name="_Toc297216179"/>
      <w:bookmarkStart w:id="609" w:name="_Toc318581172"/>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 xml:space="preserve">                    </w:t>
      </w:r>
    </w:p>
    <w:p w14:paraId="458726FD">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603"/>
    <w:bookmarkEnd w:id="604"/>
    <w:bookmarkEnd w:id="605"/>
    <w:bookmarkEnd w:id="606"/>
    <w:bookmarkEnd w:id="607"/>
    <w:bookmarkEnd w:id="608"/>
    <w:bookmarkEnd w:id="609"/>
    <w:p w14:paraId="6F168236">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610" w:name="_Toc304295551"/>
      <w:bookmarkStart w:id="611" w:name="_Toc300934973"/>
      <w:bookmarkStart w:id="612" w:name="_Toc312678017"/>
      <w:bookmarkStart w:id="613" w:name="_Toc297123521"/>
      <w:bookmarkStart w:id="614" w:name="_Toc303539130"/>
      <w:bookmarkStart w:id="615" w:name="_Toc297216180"/>
      <w:r>
        <w:rPr>
          <w:rFonts w:hint="eastAsia" w:ascii="宋体" w:hAnsi="宋体" w:eastAsia="宋体" w:cs="宋体"/>
          <w:color w:val="000000"/>
          <w:sz w:val="24"/>
          <w:szCs w:val="24"/>
        </w:rPr>
        <w:t>.7异常恶劣的气候条件</w:t>
      </w:r>
    </w:p>
    <w:bookmarkEnd w:id="610"/>
    <w:bookmarkEnd w:id="611"/>
    <w:bookmarkEnd w:id="612"/>
    <w:bookmarkEnd w:id="613"/>
    <w:bookmarkEnd w:id="614"/>
    <w:bookmarkEnd w:id="615"/>
    <w:p w14:paraId="53E46AC2">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p>
    <w:p w14:paraId="22693420">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DBD90A8">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FFD544">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E48B42">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7.9 提前竣工的奖励</w:t>
      </w:r>
    </w:p>
    <w:p w14:paraId="12CA241C">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58C25C5">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616" w:name="_Toc351203640"/>
      <w:r>
        <w:rPr>
          <w:rFonts w:hint="eastAsia" w:ascii="宋体" w:hAnsi="宋体" w:eastAsia="宋体" w:cs="宋体"/>
          <w:b w:val="0"/>
          <w:bCs/>
          <w:color w:val="000000"/>
          <w:kern w:val="2"/>
          <w:sz w:val="24"/>
          <w:szCs w:val="24"/>
          <w:lang w:val="en-US" w:eastAsia="zh-CN" w:bidi="ar-SA"/>
        </w:rPr>
        <w:t>8. 材料与设备</w:t>
      </w:r>
      <w:bookmarkEnd w:id="616"/>
    </w:p>
    <w:bookmarkEnd w:id="551"/>
    <w:bookmarkEnd w:id="552"/>
    <w:bookmarkEnd w:id="553"/>
    <w:bookmarkEnd w:id="554"/>
    <w:bookmarkEnd w:id="555"/>
    <w:bookmarkEnd w:id="556"/>
    <w:bookmarkEnd w:id="557"/>
    <w:bookmarkEnd w:id="558"/>
    <w:bookmarkEnd w:id="559"/>
    <w:bookmarkEnd w:id="560"/>
    <w:p w14:paraId="5B26592A">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617" w:name="_Toc297048353"/>
      <w:bookmarkStart w:id="618" w:name="_Toc304295556"/>
      <w:bookmarkStart w:id="619" w:name="_Toc296347166"/>
      <w:bookmarkStart w:id="620" w:name="_Toc303539136"/>
      <w:bookmarkStart w:id="621" w:name="_Toc296346668"/>
      <w:bookmarkStart w:id="622" w:name="_Toc300934979"/>
      <w:bookmarkStart w:id="623" w:name="_Toc292559877"/>
      <w:bookmarkStart w:id="624" w:name="_Toc296944506"/>
      <w:bookmarkStart w:id="625" w:name="_Toc312678019"/>
      <w:bookmarkStart w:id="626" w:name="_Toc296891207"/>
      <w:bookmarkStart w:id="627" w:name="_Toc312677493"/>
      <w:bookmarkStart w:id="628" w:name="_Toc280868654"/>
      <w:bookmarkStart w:id="629" w:name="_Toc297216186"/>
      <w:bookmarkStart w:id="630" w:name="_Toc296503167"/>
      <w:bookmarkStart w:id="631" w:name="_Toc296890995"/>
      <w:bookmarkStart w:id="632" w:name="_Toc297123527"/>
      <w:bookmarkStart w:id="633" w:name="_Toc292559372"/>
      <w:bookmarkStart w:id="634" w:name="_Toc297120467"/>
      <w:bookmarkStart w:id="635" w:name="_Toc280868656"/>
      <w:bookmarkStart w:id="636" w:name="_Toc280868655"/>
      <w:bookmarkStart w:id="637" w:name="_Toc267251424"/>
      <w:r>
        <w:rPr>
          <w:rFonts w:hint="eastAsia" w:ascii="宋体" w:hAnsi="宋体" w:eastAsia="宋体" w:cs="宋体"/>
          <w:color w:val="000000"/>
          <w:sz w:val="24"/>
          <w:szCs w:val="24"/>
        </w:rPr>
        <w:t>.4材料与工程设备的保管与使用</w:t>
      </w:r>
    </w:p>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5E03E0FC">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8</w:t>
      </w:r>
      <w:bookmarkStart w:id="638" w:name="_Toc292559878"/>
      <w:bookmarkStart w:id="639" w:name="_Toc292559373"/>
      <w:bookmarkStart w:id="640" w:name="_Toc303539137"/>
      <w:bookmarkStart w:id="641" w:name="_Toc296890996"/>
      <w:bookmarkStart w:id="642" w:name="_Toc296346669"/>
      <w:bookmarkStart w:id="643" w:name="_Toc296944507"/>
      <w:bookmarkStart w:id="644" w:name="_Toc297123528"/>
      <w:bookmarkStart w:id="645" w:name="_Toc296503168"/>
      <w:bookmarkStart w:id="646" w:name="_Toc297216187"/>
      <w:bookmarkStart w:id="647" w:name="_Toc300934980"/>
      <w:bookmarkStart w:id="648" w:name="_Toc297048354"/>
      <w:bookmarkStart w:id="649" w:name="_Toc304295557"/>
      <w:bookmarkStart w:id="650" w:name="_Toc297120468"/>
      <w:bookmarkStart w:id="651" w:name="_Toc318581173"/>
      <w:bookmarkStart w:id="652" w:name="_Toc312678020"/>
      <w:bookmarkStart w:id="653" w:name="_Toc312677494"/>
      <w:bookmarkStart w:id="654" w:name="_Toc296891208"/>
      <w:bookmarkStart w:id="655" w:name="_Toc296347167"/>
      <w:r>
        <w:rPr>
          <w:rFonts w:hint="eastAsia" w:ascii="宋体" w:hAnsi="宋体" w:eastAsia="宋体" w:cs="宋体"/>
          <w:sz w:val="24"/>
          <w:szCs w:val="24"/>
        </w:rPr>
        <w:t>.4.1发包人供应的材料设备的保管费用的承担：</w:t>
      </w:r>
      <w:r>
        <w:rPr>
          <w:rFonts w:hint="eastAsia" w:ascii="宋体" w:hAnsi="宋体" w:eastAsia="宋体" w:cs="宋体"/>
          <w:sz w:val="24"/>
          <w:szCs w:val="24"/>
          <w:u w:val="single"/>
        </w:rPr>
        <w:t xml:space="preserve">            </w:t>
      </w:r>
    </w:p>
    <w:p w14:paraId="6373B729">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638"/>
      <w:bookmarkEnd w:id="639"/>
    </w:p>
    <w:p w14:paraId="76525527">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8.6 样品</w:t>
      </w:r>
    </w:p>
    <w:p w14:paraId="374B2DC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59DF81E8">
      <w:pPr>
        <w:autoSpaceDE w:val="0"/>
        <w:autoSpaceDN w:val="0"/>
        <w:adjustRightInd w:val="0"/>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color w:val="000000"/>
          <w:kern w:val="0"/>
          <w:sz w:val="24"/>
          <w:szCs w:val="24"/>
        </w:rPr>
        <w:t>需要承包人报送样品的材料或工程设备，样品的种类、名称、规格、数量要求：</w:t>
      </w:r>
      <w:r>
        <w:rPr>
          <w:rFonts w:hint="eastAsia" w:ascii="宋体" w:hAnsi="宋体" w:eastAsia="宋体" w:cs="宋体"/>
          <w:sz w:val="24"/>
          <w:szCs w:val="24"/>
          <w:u w:val="single"/>
        </w:rPr>
        <w:t xml:space="preserve">                                          </w:t>
      </w:r>
    </w:p>
    <w:p w14:paraId="4C2E1CD7">
      <w:pPr>
        <w:autoSpaceDE w:val="0"/>
        <w:autoSpaceDN w:val="0"/>
        <w:adjustRightInd w:val="0"/>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6C5C62">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8.8 施工设备和临时设施</w:t>
      </w:r>
    </w:p>
    <w:p w14:paraId="7DFD144A">
      <w:pPr>
        <w:autoSpaceDE w:val="0"/>
        <w:autoSpaceDN w:val="0"/>
        <w:adjustRightInd w:val="0"/>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8.8.1 承包人提供的施工设备和临时设施</w:t>
      </w:r>
    </w:p>
    <w:p w14:paraId="265D1286">
      <w:pPr>
        <w:autoSpaceDE w:val="0"/>
        <w:autoSpaceDN w:val="0"/>
        <w:adjustRightInd w:val="0"/>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关于修建临时设施费用承担的约定：</w:t>
      </w:r>
      <w:r>
        <w:rPr>
          <w:rFonts w:hint="eastAsia" w:ascii="宋体" w:hAnsi="宋体" w:eastAsia="宋体" w:cs="宋体"/>
          <w:sz w:val="24"/>
          <w:szCs w:val="24"/>
          <w:u w:val="single"/>
        </w:rPr>
        <w:t xml:space="preserve">                     </w:t>
      </w:r>
    </w:p>
    <w:p w14:paraId="44DFC369">
      <w:pPr>
        <w:autoSpaceDE w:val="0"/>
        <w:autoSpaceDN w:val="0"/>
        <w:adjustRightInd w:val="0"/>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14:paraId="7FE70C6A">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656" w:name="_Toc351203641"/>
      <w:r>
        <w:rPr>
          <w:rFonts w:hint="eastAsia" w:ascii="宋体" w:hAnsi="宋体" w:eastAsia="宋体" w:cs="宋体"/>
          <w:b w:val="0"/>
          <w:bCs/>
          <w:color w:val="000000"/>
          <w:kern w:val="2"/>
          <w:sz w:val="24"/>
          <w:szCs w:val="24"/>
          <w:lang w:val="en-US" w:eastAsia="zh-CN" w:bidi="ar-SA"/>
        </w:rPr>
        <w:t>9</w:t>
      </w:r>
      <w:bookmarkEnd w:id="635"/>
      <w:bookmarkEnd w:id="636"/>
      <w:bookmarkEnd w:id="637"/>
      <w:bookmarkStart w:id="657" w:name="_Toc312677495"/>
      <w:bookmarkStart w:id="658" w:name="_Toc297123533"/>
      <w:bookmarkStart w:id="659" w:name="_Toc303539139"/>
      <w:bookmarkStart w:id="660" w:name="_Toc304295559"/>
      <w:bookmarkStart w:id="661" w:name="_Toc297216192"/>
      <w:bookmarkStart w:id="662" w:name="_Toc312678021"/>
      <w:bookmarkStart w:id="663" w:name="_Toc300934982"/>
      <w:bookmarkStart w:id="664" w:name="_Toc296891213"/>
      <w:bookmarkStart w:id="665" w:name="_Toc292559883"/>
      <w:bookmarkStart w:id="666" w:name="_Toc296503173"/>
      <w:bookmarkStart w:id="667" w:name="_Toc267251428"/>
      <w:bookmarkStart w:id="668" w:name="_Toc296944512"/>
      <w:bookmarkStart w:id="669" w:name="_Toc296346674"/>
      <w:bookmarkStart w:id="670" w:name="_Toc296347172"/>
      <w:bookmarkStart w:id="671" w:name="_Toc297048359"/>
      <w:bookmarkStart w:id="672" w:name="_Toc297120473"/>
      <w:bookmarkStart w:id="673" w:name="_Toc296891001"/>
      <w:bookmarkStart w:id="674" w:name="_Toc292559378"/>
      <w:bookmarkStart w:id="675" w:name="_Toc267251427"/>
      <w:r>
        <w:rPr>
          <w:rFonts w:hint="eastAsia" w:ascii="宋体" w:hAnsi="宋体" w:eastAsia="宋体" w:cs="宋体"/>
          <w:b w:val="0"/>
          <w:bCs/>
          <w:color w:val="000000"/>
          <w:kern w:val="2"/>
          <w:sz w:val="24"/>
          <w:szCs w:val="24"/>
          <w:lang w:val="en-US" w:eastAsia="zh-CN" w:bidi="ar-SA"/>
        </w:rPr>
        <w:t>. 试验与检验</w:t>
      </w:r>
      <w:bookmarkEnd w:id="656"/>
    </w:p>
    <w:bookmarkEnd w:id="657"/>
    <w:bookmarkEnd w:id="658"/>
    <w:bookmarkEnd w:id="659"/>
    <w:bookmarkEnd w:id="660"/>
    <w:bookmarkEnd w:id="661"/>
    <w:bookmarkEnd w:id="662"/>
    <w:bookmarkEnd w:id="663"/>
    <w:p w14:paraId="16699860">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676" w:name="_Toc303539140"/>
      <w:bookmarkStart w:id="677" w:name="_Toc300934983"/>
      <w:bookmarkStart w:id="678" w:name="_Toc312678022"/>
      <w:bookmarkStart w:id="679" w:name="_Toc312677496"/>
      <w:bookmarkStart w:id="680" w:name="_Toc297216193"/>
      <w:bookmarkStart w:id="681" w:name="_Toc297123534"/>
      <w:bookmarkStart w:id="682" w:name="_Toc304295560"/>
      <w:r>
        <w:rPr>
          <w:rFonts w:hint="eastAsia" w:ascii="宋体" w:hAnsi="宋体" w:eastAsia="宋体" w:cs="宋体"/>
          <w:color w:val="000000"/>
          <w:sz w:val="24"/>
          <w:szCs w:val="24"/>
        </w:rPr>
        <w:t>.1试验设备与试验人员</w:t>
      </w:r>
    </w:p>
    <w:bookmarkEnd w:id="676"/>
    <w:bookmarkEnd w:id="677"/>
    <w:bookmarkEnd w:id="678"/>
    <w:bookmarkEnd w:id="679"/>
    <w:bookmarkEnd w:id="680"/>
    <w:bookmarkEnd w:id="681"/>
    <w:bookmarkEnd w:id="682"/>
    <w:p w14:paraId="4369AF6C">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w:t>
      </w:r>
      <w:bookmarkStart w:id="683" w:name="_Toc303539141"/>
      <w:bookmarkStart w:id="684" w:name="_Toc300934984"/>
      <w:bookmarkStart w:id="685" w:name="_Toc297216194"/>
      <w:bookmarkStart w:id="686" w:name="_Toc304295561"/>
      <w:bookmarkStart w:id="687" w:name="_Toc297123535"/>
      <w:bookmarkStart w:id="688" w:name="_Toc312678023"/>
      <w:bookmarkStart w:id="689" w:name="_Toc312677497"/>
      <w:bookmarkStart w:id="690" w:name="_Toc318581174"/>
      <w:r>
        <w:rPr>
          <w:rFonts w:hint="eastAsia" w:ascii="宋体" w:hAnsi="宋体" w:eastAsia="宋体" w:cs="宋体"/>
          <w:sz w:val="24"/>
          <w:szCs w:val="24"/>
        </w:rPr>
        <w:t>.1.2 试验设备</w:t>
      </w:r>
    </w:p>
    <w:p w14:paraId="6292EC9E">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施工现场需要配置的试验场所：</w:t>
      </w:r>
      <w:bookmarkEnd w:id="683"/>
      <w:bookmarkEnd w:id="684"/>
      <w:bookmarkEnd w:id="685"/>
      <w:bookmarkEnd w:id="686"/>
      <w:bookmarkEnd w:id="687"/>
      <w:bookmarkEnd w:id="688"/>
      <w:bookmarkEnd w:id="689"/>
      <w:bookmarkStart w:id="691" w:name="_Toc300934985"/>
      <w:bookmarkStart w:id="692" w:name="_Toc304295562"/>
      <w:bookmarkStart w:id="693" w:name="_Toc297216195"/>
      <w:bookmarkStart w:id="694" w:name="_Toc297123536"/>
      <w:bookmarkStart w:id="695" w:name="_Toc312677498"/>
      <w:bookmarkStart w:id="696" w:name="_Toc312678024"/>
      <w:bookmarkStart w:id="697" w:name="_Toc303539142"/>
      <w:r>
        <w:rPr>
          <w:rFonts w:hint="eastAsia" w:ascii="宋体" w:hAnsi="宋体" w:eastAsia="宋体" w:cs="宋体"/>
          <w:sz w:val="24"/>
          <w:szCs w:val="24"/>
          <w:u w:val="single"/>
        </w:rPr>
        <w:t xml:space="preserve">                           </w:t>
      </w:r>
    </w:p>
    <w:p w14:paraId="28A1AD13">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E59CEE5">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 xml:space="preserve">                           </w:t>
      </w:r>
    </w:p>
    <w:p w14:paraId="352F90C6">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13CFE1">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 xml:space="preserve">                      </w:t>
      </w:r>
    </w:p>
    <w:p w14:paraId="673D968C">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E8EB9A">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9.4 现场工艺试验 </w:t>
      </w:r>
    </w:p>
    <w:p w14:paraId="17B8FBBA">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 xml:space="preserve">                              </w:t>
      </w:r>
    </w:p>
    <w:p w14:paraId="42D8FCD5">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690"/>
    <w:bookmarkEnd w:id="691"/>
    <w:bookmarkEnd w:id="692"/>
    <w:bookmarkEnd w:id="693"/>
    <w:bookmarkEnd w:id="694"/>
    <w:bookmarkEnd w:id="695"/>
    <w:bookmarkEnd w:id="696"/>
    <w:bookmarkEnd w:id="697"/>
    <w:p w14:paraId="45FB51CD">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698" w:name="_Toc351203642"/>
      <w:r>
        <w:rPr>
          <w:rFonts w:hint="eastAsia" w:ascii="宋体" w:hAnsi="宋体" w:eastAsia="宋体" w:cs="宋体"/>
          <w:b w:val="0"/>
          <w:bCs/>
          <w:color w:val="000000"/>
          <w:kern w:val="2"/>
          <w:sz w:val="24"/>
          <w:szCs w:val="24"/>
          <w:lang w:val="en-US" w:eastAsia="zh-CN" w:bidi="ar-SA"/>
        </w:rPr>
        <w:t>1</w:t>
      </w:r>
      <w:bookmarkEnd w:id="664"/>
      <w:bookmarkEnd w:id="665"/>
      <w:bookmarkEnd w:id="666"/>
      <w:bookmarkEnd w:id="667"/>
      <w:bookmarkEnd w:id="668"/>
      <w:bookmarkEnd w:id="669"/>
      <w:bookmarkEnd w:id="670"/>
      <w:bookmarkEnd w:id="671"/>
      <w:bookmarkEnd w:id="672"/>
      <w:bookmarkEnd w:id="673"/>
      <w:bookmarkEnd w:id="674"/>
      <w:bookmarkEnd w:id="675"/>
      <w:bookmarkStart w:id="699" w:name="_Toc296347192"/>
      <w:bookmarkStart w:id="700" w:name="_Toc303539146"/>
      <w:bookmarkStart w:id="701" w:name="_Toc292559903"/>
      <w:bookmarkStart w:id="702" w:name="_Toc304295566"/>
      <w:bookmarkStart w:id="703" w:name="_Toc300934989"/>
      <w:bookmarkStart w:id="704" w:name="_Toc296346694"/>
      <w:bookmarkStart w:id="705" w:name="_Toc297048379"/>
      <w:bookmarkStart w:id="706" w:name="_Toc297120493"/>
      <w:bookmarkStart w:id="707" w:name="_Toc296503193"/>
      <w:bookmarkStart w:id="708" w:name="_Toc297123540"/>
      <w:bookmarkStart w:id="709" w:name="_Toc296891233"/>
      <w:bookmarkStart w:id="710" w:name="_Toc297216199"/>
      <w:bookmarkStart w:id="711" w:name="_Toc292559398"/>
      <w:bookmarkStart w:id="712" w:name="_Toc296891021"/>
      <w:bookmarkStart w:id="713" w:name="_Toc296944532"/>
      <w:bookmarkStart w:id="714" w:name="_Toc312678025"/>
      <w:bookmarkStart w:id="715" w:name="_Toc312677499"/>
      <w:bookmarkStart w:id="716" w:name="_Toc267251439"/>
      <w:bookmarkStart w:id="717" w:name="_Toc267251440"/>
      <w:bookmarkStart w:id="718" w:name="_Toc267251433"/>
      <w:bookmarkStart w:id="719" w:name="_Toc267251441"/>
      <w:bookmarkStart w:id="720" w:name="_Toc267251435"/>
      <w:bookmarkStart w:id="721" w:name="_Toc267251437"/>
      <w:bookmarkStart w:id="722" w:name="_Toc267251442"/>
      <w:r>
        <w:rPr>
          <w:rFonts w:hint="eastAsia" w:ascii="宋体" w:hAnsi="宋体" w:eastAsia="宋体" w:cs="宋体"/>
          <w:b w:val="0"/>
          <w:bCs/>
          <w:color w:val="000000"/>
          <w:kern w:val="2"/>
          <w:sz w:val="24"/>
          <w:szCs w:val="24"/>
          <w:lang w:val="en-US" w:eastAsia="zh-CN" w:bidi="ar-SA"/>
        </w:rPr>
        <w:t>0. 变更</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bookmarkEnd w:id="714"/>
    <w:bookmarkEnd w:id="715"/>
    <w:p w14:paraId="517FB13D">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723" w:name="_Toc312677500"/>
      <w:bookmarkStart w:id="724" w:name="_Toc296944533"/>
      <w:bookmarkStart w:id="725" w:name="_Toc292559904"/>
      <w:bookmarkStart w:id="726" w:name="_Toc312678026"/>
      <w:bookmarkStart w:id="727" w:name="_Toc296503194"/>
      <w:bookmarkStart w:id="728" w:name="_Toc300934990"/>
      <w:bookmarkStart w:id="729" w:name="_Toc303539147"/>
      <w:bookmarkStart w:id="730" w:name="_Toc296347193"/>
      <w:bookmarkStart w:id="731" w:name="_Toc297216200"/>
      <w:bookmarkStart w:id="732" w:name="_Toc292559399"/>
      <w:bookmarkStart w:id="733" w:name="_Toc296891234"/>
      <w:bookmarkStart w:id="734" w:name="_Toc296346695"/>
      <w:bookmarkStart w:id="735" w:name="_Toc296891022"/>
      <w:bookmarkStart w:id="736" w:name="_Toc297123541"/>
      <w:bookmarkStart w:id="737" w:name="_Toc304295567"/>
      <w:bookmarkStart w:id="738" w:name="_Toc297048380"/>
      <w:bookmarkStart w:id="739" w:name="_Toc297120494"/>
      <w:r>
        <w:rPr>
          <w:rFonts w:hint="eastAsia" w:ascii="宋体" w:hAnsi="宋体" w:eastAsia="宋体" w:cs="宋体"/>
          <w:color w:val="000000"/>
          <w:sz w:val="24"/>
          <w:szCs w:val="24"/>
        </w:rPr>
        <w:t>0.1变更的范围</w:t>
      </w:r>
    </w:p>
    <w:p w14:paraId="16079AE6">
      <w:pPr>
        <w:spacing w:line="240" w:lineRule="auto"/>
        <w:ind w:firstLine="6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关于变更的范围的约定：</w:t>
      </w:r>
      <w:r>
        <w:rPr>
          <w:rFonts w:hint="eastAsia" w:ascii="宋体" w:hAnsi="宋体" w:eastAsia="宋体" w:cs="宋体"/>
          <w:color w:val="000000"/>
          <w:sz w:val="24"/>
          <w:szCs w:val="24"/>
          <w:u w:val="single"/>
        </w:rPr>
        <w:t xml:space="preserve">                                </w:t>
      </w:r>
    </w:p>
    <w:p w14:paraId="708198CF">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8887108">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10.4 变更估价</w:t>
      </w:r>
    </w:p>
    <w:p w14:paraId="12EA789B">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10.4.1 变更估价原则</w:t>
      </w:r>
    </w:p>
    <w:p w14:paraId="0915A5A2">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关于变更估价的约定: </w:t>
      </w:r>
      <w:r>
        <w:rPr>
          <w:rFonts w:hint="eastAsia" w:ascii="宋体" w:hAnsi="宋体" w:eastAsia="宋体" w:cs="宋体"/>
          <w:color w:val="000000"/>
          <w:sz w:val="24"/>
          <w:szCs w:val="24"/>
          <w:u w:val="single"/>
        </w:rPr>
        <w:t xml:space="preserve">                                   </w:t>
      </w:r>
    </w:p>
    <w:p w14:paraId="26F2C32B">
      <w:pPr>
        <w:spacing w:line="240" w:lineRule="auto"/>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F67AC0C">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Start w:id="740" w:name="_Toc296891237"/>
      <w:bookmarkStart w:id="741" w:name="_Toc303539150"/>
      <w:bookmarkStart w:id="742" w:name="_Toc297120497"/>
      <w:bookmarkStart w:id="743" w:name="_Toc296347196"/>
      <w:bookmarkStart w:id="744" w:name="_Toc296891025"/>
      <w:bookmarkStart w:id="745" w:name="_Toc296346698"/>
      <w:bookmarkStart w:id="746" w:name="_Toc296503197"/>
      <w:bookmarkStart w:id="747" w:name="_Toc297048383"/>
      <w:bookmarkStart w:id="748" w:name="_Toc292559402"/>
      <w:bookmarkStart w:id="749" w:name="_Toc292559907"/>
      <w:bookmarkStart w:id="750" w:name="_Toc296944536"/>
      <w:bookmarkStart w:id="751" w:name="_Toc297216203"/>
      <w:bookmarkStart w:id="752" w:name="_Toc300934993"/>
      <w:bookmarkStart w:id="753" w:name="_Toc297123544"/>
      <w:bookmarkStart w:id="754" w:name="_Toc304295570"/>
      <w:bookmarkStart w:id="755" w:name="_Toc312677503"/>
      <w:bookmarkStart w:id="756" w:name="_Toc312678029"/>
      <w:r>
        <w:rPr>
          <w:rFonts w:hint="eastAsia" w:ascii="宋体" w:hAnsi="宋体" w:eastAsia="宋体" w:cs="宋体"/>
          <w:color w:val="000000"/>
          <w:sz w:val="24"/>
          <w:szCs w:val="24"/>
        </w:rPr>
        <w:t>0.5承</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Start w:id="757" w:name="_Toc292559408"/>
      <w:bookmarkStart w:id="758" w:name="_Toc303539151"/>
      <w:bookmarkStart w:id="759" w:name="_Toc296944542"/>
      <w:bookmarkStart w:id="760" w:name="_Toc296347202"/>
      <w:bookmarkStart w:id="761" w:name="_Toc296891243"/>
      <w:bookmarkStart w:id="762" w:name="_Toc296346704"/>
      <w:bookmarkStart w:id="763" w:name="_Toc297216204"/>
      <w:bookmarkStart w:id="764" w:name="_Toc297048389"/>
      <w:bookmarkStart w:id="765" w:name="_Toc296891031"/>
      <w:bookmarkStart w:id="766" w:name="_Toc300934994"/>
      <w:bookmarkStart w:id="767" w:name="_Toc292559913"/>
      <w:bookmarkStart w:id="768" w:name="_Toc297120503"/>
      <w:bookmarkStart w:id="769" w:name="_Toc296503203"/>
      <w:bookmarkStart w:id="770" w:name="_Toc297123545"/>
      <w:r>
        <w:rPr>
          <w:rFonts w:hint="eastAsia" w:ascii="宋体" w:hAnsi="宋体" w:eastAsia="宋体" w:cs="宋体"/>
          <w:color w:val="000000"/>
          <w:sz w:val="24"/>
          <w:szCs w:val="24"/>
        </w:rPr>
        <w:t>包人的合理化建议</w:t>
      </w:r>
    </w:p>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14:paraId="61F26468">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D9A7C6">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06E55C">
      <w:pPr>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承</w:t>
      </w:r>
      <w:bookmarkStart w:id="771" w:name="_Toc304295571"/>
      <w:bookmarkStart w:id="772" w:name="_Toc296503204"/>
      <w:bookmarkStart w:id="773" w:name="_Toc312677504"/>
      <w:bookmarkStart w:id="774" w:name="_Toc296346705"/>
      <w:bookmarkStart w:id="775" w:name="_Toc297216205"/>
      <w:bookmarkStart w:id="776" w:name="_Toc296891244"/>
      <w:bookmarkStart w:id="777" w:name="_Toc297123546"/>
      <w:bookmarkStart w:id="778" w:name="_Toc318581175"/>
      <w:bookmarkStart w:id="779" w:name="_Toc292559914"/>
      <w:bookmarkStart w:id="780" w:name="_Toc296944543"/>
      <w:bookmarkStart w:id="781" w:name="_Toc300934995"/>
      <w:bookmarkStart w:id="782" w:name="_Toc292559409"/>
      <w:bookmarkStart w:id="783" w:name="_Toc296891032"/>
      <w:bookmarkStart w:id="784" w:name="_Toc296347203"/>
      <w:bookmarkStart w:id="785" w:name="_Toc303539152"/>
      <w:bookmarkStart w:id="786" w:name="_Toc297120504"/>
      <w:bookmarkStart w:id="787" w:name="_Toc297048390"/>
      <w:bookmarkStart w:id="788" w:name="_Toc312678030"/>
      <w:r>
        <w:rPr>
          <w:rFonts w:hint="eastAsia" w:ascii="宋体" w:hAnsi="宋体" w:eastAsia="宋体" w:cs="宋体"/>
          <w:sz w:val="24"/>
          <w:szCs w:val="24"/>
        </w:rPr>
        <w:t>包人提出的合理化建议降低了合同价格或者提高了工程经济效益的奖励的方法和金额为：</w:t>
      </w:r>
      <w:r>
        <w:rPr>
          <w:rFonts w:hint="eastAsia" w:ascii="宋体" w:hAnsi="宋体" w:eastAsia="宋体" w:cs="宋体"/>
          <w:sz w:val="24"/>
          <w:szCs w:val="24"/>
          <w:u w:val="single"/>
        </w:rPr>
        <w:t xml:space="preserve">                                </w:t>
      </w:r>
    </w:p>
    <w:p w14:paraId="69904A85">
      <w:pPr>
        <w:spacing w:line="240" w:lineRule="auto"/>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14:paraId="3097275B">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789" w:name="_Toc296347198"/>
      <w:bookmarkStart w:id="790" w:name="_Toc297048385"/>
      <w:bookmarkStart w:id="791" w:name="_Toc292559404"/>
      <w:bookmarkStart w:id="792" w:name="_Toc292559909"/>
      <w:bookmarkStart w:id="793" w:name="_Toc312677507"/>
      <w:bookmarkStart w:id="794" w:name="_Toc296891239"/>
      <w:bookmarkStart w:id="795" w:name="_Toc296503199"/>
      <w:bookmarkStart w:id="796" w:name="_Toc296944538"/>
      <w:bookmarkStart w:id="797" w:name="_Toc296891027"/>
      <w:bookmarkStart w:id="798" w:name="_Toc304295574"/>
      <w:bookmarkStart w:id="799" w:name="_Toc303539154"/>
      <w:bookmarkStart w:id="800" w:name="_Toc297120499"/>
      <w:bookmarkStart w:id="801" w:name="_Toc297216207"/>
      <w:bookmarkStart w:id="802" w:name="_Toc296346700"/>
      <w:bookmarkStart w:id="803" w:name="_Toc300934997"/>
      <w:bookmarkStart w:id="804" w:name="_Toc312678033"/>
      <w:bookmarkStart w:id="805" w:name="_Toc297123548"/>
      <w:r>
        <w:rPr>
          <w:rFonts w:hint="eastAsia" w:ascii="宋体" w:hAnsi="宋体" w:eastAsia="宋体" w:cs="宋体"/>
          <w:color w:val="000000"/>
          <w:sz w:val="24"/>
          <w:szCs w:val="24"/>
        </w:rPr>
        <w:t>0.7 暂估价</w:t>
      </w:r>
    </w:p>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14:paraId="37D494B8">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暂</w:t>
      </w:r>
      <w:bookmarkStart w:id="806" w:name="_Toc312678034"/>
      <w:bookmarkStart w:id="807" w:name="_Toc312677508"/>
      <w:bookmarkStart w:id="808" w:name="_Toc318581176"/>
      <w:r>
        <w:rPr>
          <w:rFonts w:hint="eastAsia" w:ascii="宋体" w:hAnsi="宋体" w:eastAsia="宋体" w:cs="宋体"/>
          <w:kern w:val="0"/>
          <w:sz w:val="24"/>
          <w:szCs w:val="24"/>
        </w:rPr>
        <w:t>估价材料和工程设备的明细详见附件11：《</w:t>
      </w:r>
      <w:r>
        <w:rPr>
          <w:rFonts w:hint="eastAsia" w:ascii="宋体" w:hAnsi="宋体" w:eastAsia="宋体" w:cs="宋体"/>
          <w:color w:val="000000"/>
          <w:sz w:val="24"/>
          <w:szCs w:val="24"/>
        </w:rPr>
        <w:t>暂估价一览表》</w:t>
      </w:r>
      <w:r>
        <w:rPr>
          <w:rFonts w:hint="eastAsia" w:ascii="宋体" w:hAnsi="宋体" w:eastAsia="宋体" w:cs="宋体"/>
          <w:kern w:val="0"/>
          <w:sz w:val="24"/>
          <w:szCs w:val="24"/>
        </w:rPr>
        <w:t>。</w:t>
      </w:r>
    </w:p>
    <w:bookmarkEnd w:id="806"/>
    <w:bookmarkEnd w:id="807"/>
    <w:bookmarkEnd w:id="808"/>
    <w:p w14:paraId="48D2D4CD">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bookmarkStart w:id="809" w:name="_Toc318581177"/>
      <w:bookmarkStart w:id="810" w:name="_Toc312678035"/>
      <w:bookmarkStart w:id="811" w:name="_Toc312677509"/>
      <w:r>
        <w:rPr>
          <w:rFonts w:hint="eastAsia" w:ascii="宋体" w:hAnsi="宋体" w:eastAsia="宋体" w:cs="宋体"/>
          <w:sz w:val="24"/>
          <w:szCs w:val="24"/>
        </w:rPr>
        <w:t>0.7.1 依法必须招标的暂估价项目</w:t>
      </w:r>
    </w:p>
    <w:bookmarkEnd w:id="809"/>
    <w:bookmarkEnd w:id="810"/>
    <w:bookmarkEnd w:id="811"/>
    <w:p w14:paraId="6F254CDF">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种方式确定。</w:t>
      </w:r>
    </w:p>
    <w:p w14:paraId="723B5CE5">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20729DCD">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种方式确定。</w:t>
      </w:r>
    </w:p>
    <w:p w14:paraId="32D1BC98">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0C7ECF43">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承包人直接实施的暂估价项目的约定：</w:t>
      </w:r>
      <w:r>
        <w:rPr>
          <w:rFonts w:hint="eastAsia" w:ascii="宋体" w:hAnsi="宋体" w:eastAsia="宋体" w:cs="宋体"/>
          <w:sz w:val="24"/>
          <w:szCs w:val="24"/>
          <w:u w:val="single"/>
        </w:rPr>
        <w:t xml:space="preserve">                     </w:t>
      </w:r>
    </w:p>
    <w:p w14:paraId="158BA138">
      <w:pPr>
        <w:spacing w:line="24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9C9BCB9">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10.8 暂列金额</w:t>
      </w:r>
    </w:p>
    <w:p w14:paraId="0A358CC7">
      <w:pPr>
        <w:autoSpaceDE w:val="0"/>
        <w:autoSpaceDN w:val="0"/>
        <w:adjustRightInd w:val="0"/>
        <w:spacing w:line="240" w:lineRule="auto"/>
        <w:ind w:firstLine="480" w:firstLineChars="200"/>
        <w:jc w:val="left"/>
        <w:rPr>
          <w:rFonts w:hint="eastAsia" w:ascii="宋体" w:hAnsi="宋体" w:eastAsia="宋体" w:cs="宋体"/>
          <w:sz w:val="24"/>
          <w:szCs w:val="24"/>
          <w:u w:val="single"/>
        </w:rPr>
      </w:pPr>
      <w:r>
        <w:rPr>
          <w:rFonts w:hint="eastAsia" w:ascii="宋体" w:hAnsi="宋体" w:eastAsia="宋体" w:cs="宋体"/>
          <w:color w:val="000000"/>
          <w:kern w:val="0"/>
          <w:sz w:val="24"/>
          <w:szCs w:val="24"/>
        </w:rPr>
        <w:t>合同当事人关于暂列金额使用的约定：</w:t>
      </w:r>
      <w:r>
        <w:rPr>
          <w:rFonts w:hint="eastAsia" w:ascii="宋体" w:hAnsi="宋体" w:eastAsia="宋体" w:cs="宋体"/>
          <w:sz w:val="24"/>
          <w:szCs w:val="24"/>
          <w:u w:val="single"/>
        </w:rPr>
        <w:t xml:space="preserve">                     </w:t>
      </w:r>
    </w:p>
    <w:p w14:paraId="7B8AA7F2">
      <w:pPr>
        <w:autoSpaceDE w:val="0"/>
        <w:autoSpaceDN w:val="0"/>
        <w:adjustRightInd w:val="0"/>
        <w:spacing w:line="240" w:lineRule="auto"/>
        <w:jc w:val="left"/>
        <w:rPr>
          <w:rFonts w:hint="eastAsia" w:ascii="宋体" w:hAnsi="宋体" w:eastAsia="宋体" w:cs="宋体"/>
          <w:color w:val="00000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color w:val="000000"/>
          <w:kern w:val="0"/>
          <w:sz w:val="24"/>
          <w:szCs w:val="24"/>
        </w:rPr>
        <w:t>。</w:t>
      </w:r>
    </w:p>
    <w:p w14:paraId="49BDB7F8">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812" w:name="_Toc351203643"/>
      <w:r>
        <w:rPr>
          <w:rFonts w:hint="eastAsia" w:ascii="宋体" w:hAnsi="宋体" w:eastAsia="宋体" w:cs="宋体"/>
          <w:b w:val="0"/>
          <w:bCs/>
          <w:color w:val="000000"/>
          <w:kern w:val="2"/>
          <w:sz w:val="24"/>
          <w:szCs w:val="24"/>
          <w:lang w:val="en-US" w:eastAsia="zh-CN" w:bidi="ar-SA"/>
        </w:rPr>
        <w:t>11. 价格调整</w:t>
      </w:r>
      <w:bookmarkEnd w:id="812"/>
    </w:p>
    <w:p w14:paraId="70D40A3A">
      <w:pPr>
        <w:spacing w:after="120" w:line="240" w:lineRule="auto"/>
        <w:ind w:firstLine="480" w:firstLineChars="200"/>
        <w:rPr>
          <w:rFonts w:hint="eastAsia" w:ascii="宋体" w:hAnsi="宋体" w:eastAsia="宋体" w:cs="宋体"/>
          <w:color w:val="000000"/>
          <w:sz w:val="24"/>
          <w:szCs w:val="24"/>
        </w:rPr>
      </w:pPr>
      <w:bookmarkStart w:id="813" w:name="_Toc296347200"/>
      <w:bookmarkStart w:id="814" w:name="_Toc312678039"/>
      <w:bookmarkStart w:id="815" w:name="_Toc296944540"/>
      <w:bookmarkStart w:id="816" w:name="_Toc303539157"/>
      <w:bookmarkStart w:id="817" w:name="_Toc296503201"/>
      <w:bookmarkStart w:id="818" w:name="_Toc297123550"/>
      <w:bookmarkStart w:id="819" w:name="_Toc292559406"/>
      <w:bookmarkStart w:id="820" w:name="_Toc297048387"/>
      <w:bookmarkStart w:id="821" w:name="_Toc296346702"/>
      <w:bookmarkStart w:id="822" w:name="_Toc304295577"/>
      <w:bookmarkStart w:id="823" w:name="_Toc296891241"/>
      <w:bookmarkStart w:id="824" w:name="_Toc297120501"/>
      <w:bookmarkStart w:id="825" w:name="_Toc296891029"/>
      <w:bookmarkStart w:id="826" w:name="_Toc292559911"/>
      <w:bookmarkStart w:id="827" w:name="_Toc300935000"/>
      <w:bookmarkStart w:id="828" w:name="_Toc297216209"/>
      <w:r>
        <w:rPr>
          <w:rFonts w:hint="eastAsia" w:ascii="宋体" w:hAnsi="宋体" w:eastAsia="宋体" w:cs="宋体"/>
          <w:color w:val="000000"/>
          <w:sz w:val="24"/>
          <w:szCs w:val="24"/>
        </w:rPr>
        <w:t>11.1 市场价格波动引起的调整</w:t>
      </w:r>
    </w:p>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14:paraId="033AB099">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F43125">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因市场价格波动调整合同价格，采用以下</w:t>
      </w:r>
      <w:r>
        <w:rPr>
          <w:rFonts w:hint="eastAsia" w:ascii="宋体" w:hAnsi="宋体" w:eastAsia="宋体" w:cs="宋体"/>
          <w:sz w:val="24"/>
          <w:szCs w:val="24"/>
        </w:rPr>
        <w:t>第</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种方式对合同价格进行调整：</w:t>
      </w:r>
    </w:p>
    <w:p w14:paraId="70F2188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30DD9EED">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关于各可调因子、定值和变值权重，以及基本价格指数及其来源的约定：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6B6C904">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651F4559">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（2）关于基准价格的约定：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BF8F94">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%时，或材料单价跌幅以已标价工程量清单或预算书中载明材料单价为基础超过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65AF9CC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%时，材料单价涨幅以已标价工程量清单或预算书中载明材料单价为基础超过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6E32F8BF">
      <w:pPr>
        <w:spacing w:line="24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13F4B49A">
      <w:pPr>
        <w:spacing w:line="240" w:lineRule="auto"/>
        <w:ind w:firstLine="645"/>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第3种方式：其他价格调整方式：</w:t>
      </w:r>
      <w:r>
        <w:rPr>
          <w:rFonts w:hint="eastAsia" w:ascii="宋体" w:hAnsi="宋体" w:eastAsia="宋体" w:cs="宋体"/>
          <w:color w:val="000000"/>
          <w:sz w:val="24"/>
          <w:szCs w:val="24"/>
          <w:u w:val="single"/>
        </w:rPr>
        <w:t xml:space="preserve">                        </w:t>
      </w:r>
    </w:p>
    <w:p w14:paraId="52C52A86">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716"/>
    <w:bookmarkEnd w:id="717"/>
    <w:bookmarkEnd w:id="718"/>
    <w:bookmarkEnd w:id="719"/>
    <w:bookmarkEnd w:id="720"/>
    <w:bookmarkEnd w:id="721"/>
    <w:p w14:paraId="40B6DD64">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829" w:name="_Toc296944544"/>
      <w:bookmarkStart w:id="830" w:name="_Toc296891245"/>
      <w:bookmarkStart w:id="831" w:name="_Toc292559915"/>
      <w:bookmarkStart w:id="832" w:name="_Toc297120505"/>
      <w:bookmarkStart w:id="833" w:name="_Toc296891033"/>
      <w:bookmarkStart w:id="834" w:name="_Toc297048391"/>
      <w:bookmarkStart w:id="835" w:name="_Toc296503205"/>
      <w:bookmarkStart w:id="836" w:name="_Toc296347204"/>
      <w:bookmarkStart w:id="837" w:name="_Toc296346706"/>
      <w:bookmarkStart w:id="838" w:name="_Toc292559410"/>
      <w:bookmarkStart w:id="839" w:name="_Toc351203644"/>
      <w:bookmarkStart w:id="840" w:name="_Toc303539159"/>
      <w:bookmarkStart w:id="841" w:name="_Toc297216211"/>
      <w:bookmarkStart w:id="842" w:name="_Toc304295579"/>
      <w:bookmarkStart w:id="843" w:name="_Toc300935002"/>
      <w:bookmarkStart w:id="844" w:name="_Toc312678040"/>
      <w:bookmarkStart w:id="845" w:name="_Toc297123552"/>
      <w:r>
        <w:rPr>
          <w:rFonts w:hint="eastAsia" w:ascii="宋体" w:hAnsi="宋体" w:eastAsia="宋体" w:cs="宋体"/>
          <w:b w:val="0"/>
          <w:bCs/>
          <w:color w:val="000000"/>
          <w:kern w:val="2"/>
          <w:sz w:val="24"/>
          <w:szCs w:val="24"/>
          <w:lang w:val="en-US" w:eastAsia="zh-CN" w:bidi="ar-SA"/>
        </w:rPr>
        <w:t xml:space="preserve">12. </w:t>
      </w:r>
      <w:bookmarkEnd w:id="829"/>
      <w:bookmarkEnd w:id="830"/>
      <w:bookmarkEnd w:id="831"/>
      <w:bookmarkEnd w:id="832"/>
      <w:bookmarkEnd w:id="833"/>
      <w:bookmarkEnd w:id="834"/>
      <w:bookmarkEnd w:id="835"/>
      <w:bookmarkEnd w:id="836"/>
      <w:bookmarkEnd w:id="837"/>
      <w:bookmarkEnd w:id="838"/>
      <w:r>
        <w:rPr>
          <w:rFonts w:hint="eastAsia" w:ascii="宋体" w:hAnsi="宋体" w:eastAsia="宋体" w:cs="宋体"/>
          <w:b w:val="0"/>
          <w:bCs/>
          <w:color w:val="000000"/>
          <w:kern w:val="2"/>
          <w:sz w:val="24"/>
          <w:szCs w:val="24"/>
          <w:lang w:val="en-US" w:eastAsia="zh-CN" w:bidi="ar-SA"/>
        </w:rPr>
        <w:t>合同价格、计量与支付</w:t>
      </w:r>
      <w:bookmarkEnd w:id="839"/>
    </w:p>
    <w:bookmarkEnd w:id="840"/>
    <w:bookmarkEnd w:id="841"/>
    <w:bookmarkEnd w:id="842"/>
    <w:bookmarkEnd w:id="843"/>
    <w:bookmarkEnd w:id="844"/>
    <w:bookmarkEnd w:id="845"/>
    <w:p w14:paraId="228D7FE3">
      <w:pPr>
        <w:spacing w:after="120" w:line="240" w:lineRule="auto"/>
        <w:ind w:firstLine="480" w:firstLineChars="200"/>
        <w:rPr>
          <w:rFonts w:hint="eastAsia" w:ascii="宋体" w:hAnsi="宋体" w:eastAsia="宋体" w:cs="宋体"/>
          <w:color w:val="000000"/>
          <w:sz w:val="24"/>
          <w:szCs w:val="24"/>
        </w:rPr>
      </w:pPr>
      <w:bookmarkStart w:id="846" w:name="_Toc292559411"/>
      <w:bookmarkStart w:id="847" w:name="_Toc267251461"/>
      <w:bookmarkStart w:id="848" w:name="_Toc292559916"/>
      <w:bookmarkStart w:id="849" w:name="_Toc296891246"/>
      <w:bookmarkStart w:id="850" w:name="_Toc296347205"/>
      <w:bookmarkStart w:id="851" w:name="_Toc296944545"/>
      <w:bookmarkStart w:id="852" w:name="_Toc296346707"/>
      <w:bookmarkStart w:id="853" w:name="_Toc297120506"/>
      <w:bookmarkStart w:id="854" w:name="_Toc297048392"/>
      <w:bookmarkStart w:id="855" w:name="_Toc296503206"/>
      <w:bookmarkStart w:id="856" w:name="_Toc296891034"/>
      <w:bookmarkStart w:id="857" w:name="_Toc304295580"/>
      <w:bookmarkStart w:id="858" w:name="_Toc297123553"/>
      <w:bookmarkStart w:id="859" w:name="_Toc303539160"/>
      <w:bookmarkStart w:id="860" w:name="_Toc297216212"/>
      <w:bookmarkStart w:id="861" w:name="_Toc312678041"/>
      <w:bookmarkStart w:id="862" w:name="_Toc300935003"/>
      <w:r>
        <w:rPr>
          <w:rFonts w:hint="eastAsia" w:ascii="宋体" w:hAnsi="宋体" w:eastAsia="宋体" w:cs="宋体"/>
          <w:color w:val="000000"/>
          <w:sz w:val="24"/>
          <w:szCs w:val="24"/>
        </w:rPr>
        <w:t>12.1 合</w:t>
      </w:r>
      <w:bookmarkEnd w:id="846"/>
      <w:bookmarkEnd w:id="847"/>
      <w:bookmarkEnd w:id="848"/>
      <w:r>
        <w:rPr>
          <w:rFonts w:hint="eastAsia" w:ascii="宋体" w:hAnsi="宋体" w:eastAsia="宋体" w:cs="宋体"/>
          <w:color w:val="000000"/>
          <w:sz w:val="24"/>
          <w:szCs w:val="24"/>
        </w:rPr>
        <w:t>同价</w:t>
      </w:r>
      <w:bookmarkEnd w:id="849"/>
      <w:bookmarkEnd w:id="850"/>
      <w:bookmarkEnd w:id="851"/>
      <w:bookmarkEnd w:id="852"/>
      <w:bookmarkEnd w:id="853"/>
      <w:bookmarkEnd w:id="854"/>
      <w:bookmarkEnd w:id="855"/>
      <w:bookmarkEnd w:id="856"/>
      <w:r>
        <w:rPr>
          <w:rFonts w:hint="eastAsia" w:ascii="宋体" w:hAnsi="宋体" w:eastAsia="宋体" w:cs="宋体"/>
          <w:color w:val="000000"/>
          <w:sz w:val="24"/>
          <w:szCs w:val="24"/>
        </w:rPr>
        <w:t>格形式</w:t>
      </w:r>
    </w:p>
    <w:bookmarkEnd w:id="857"/>
    <w:bookmarkEnd w:id="858"/>
    <w:bookmarkEnd w:id="859"/>
    <w:bookmarkEnd w:id="860"/>
    <w:bookmarkEnd w:id="861"/>
    <w:bookmarkEnd w:id="862"/>
    <w:p w14:paraId="0CF82CD1">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w:t>
      </w:r>
    </w:p>
    <w:p w14:paraId="41440971">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p>
    <w:p w14:paraId="55B831BC">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B589B07">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p>
    <w:p w14:paraId="7AABD1D2">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2C282E1">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C841679">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E7DAA5C">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w:t>
      </w:r>
    </w:p>
    <w:p w14:paraId="5AE15617">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p>
    <w:p w14:paraId="6D66525D">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29AD864">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p>
    <w:p w14:paraId="4CE1BD84">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F9939C9">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7B40E0FC">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49E2008">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p>
    <w:p w14:paraId="2B00E54F">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F548A5C">
      <w:pPr>
        <w:spacing w:after="120" w:line="240" w:lineRule="auto"/>
        <w:ind w:firstLine="480" w:firstLineChars="200"/>
        <w:rPr>
          <w:rFonts w:hint="eastAsia" w:ascii="宋体" w:hAnsi="宋体" w:eastAsia="宋体" w:cs="宋体"/>
          <w:color w:val="000000"/>
          <w:sz w:val="24"/>
          <w:szCs w:val="24"/>
        </w:rPr>
      </w:pPr>
      <w:bookmarkStart w:id="863" w:name="_Toc297216213"/>
      <w:bookmarkStart w:id="864" w:name="_Toc312678042"/>
      <w:bookmarkStart w:id="865" w:name="_Toc297123554"/>
      <w:bookmarkStart w:id="866" w:name="_Toc300935004"/>
      <w:bookmarkStart w:id="867" w:name="_Toc304295581"/>
      <w:bookmarkStart w:id="868" w:name="_Toc303539161"/>
      <w:bookmarkStart w:id="869" w:name="_Toc297048393"/>
      <w:bookmarkStart w:id="870" w:name="_Toc296347206"/>
      <w:bookmarkStart w:id="871" w:name="_Toc292559917"/>
      <w:bookmarkStart w:id="872" w:name="_Toc296944546"/>
      <w:bookmarkStart w:id="873" w:name="_Toc296891035"/>
      <w:bookmarkStart w:id="874" w:name="_Toc296891247"/>
      <w:bookmarkStart w:id="875" w:name="_Toc292559412"/>
      <w:bookmarkStart w:id="876" w:name="_Toc296503207"/>
      <w:bookmarkStart w:id="877" w:name="_Toc296346708"/>
      <w:bookmarkStart w:id="878" w:name="_Toc297120507"/>
      <w:r>
        <w:rPr>
          <w:rFonts w:hint="eastAsia" w:ascii="宋体" w:hAnsi="宋体" w:eastAsia="宋体" w:cs="宋体"/>
          <w:color w:val="000000"/>
          <w:sz w:val="24"/>
          <w:szCs w:val="24"/>
        </w:rPr>
        <w:t>12.2 预付款</w:t>
      </w:r>
    </w:p>
    <w:bookmarkEnd w:id="863"/>
    <w:bookmarkEnd w:id="864"/>
    <w:bookmarkEnd w:id="865"/>
    <w:bookmarkEnd w:id="866"/>
    <w:bookmarkEnd w:id="867"/>
    <w:bookmarkEnd w:id="868"/>
    <w:p w14:paraId="1D998AEC">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7AAAE089">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合同额的</w:t>
      </w:r>
      <w:bookmarkStart w:id="1032" w:name="_GoBack"/>
      <w:bookmarkEnd w:id="1032"/>
      <w:r>
        <w:rPr>
          <w:rFonts w:hint="eastAsia" w:ascii="宋体" w:hAnsi="宋体" w:cs="宋体"/>
          <w:color w:val="000000"/>
          <w:sz w:val="24"/>
          <w:szCs w:val="24"/>
          <w:u w:val="single"/>
          <w:lang w:val="en-US" w:eastAsia="zh-CN"/>
        </w:rPr>
        <w:t>50%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BA36D5">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合同签订后15日内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DC206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F45D0C9">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0C2892A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208D1EF">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869"/>
    <w:bookmarkEnd w:id="870"/>
    <w:bookmarkEnd w:id="871"/>
    <w:bookmarkEnd w:id="872"/>
    <w:bookmarkEnd w:id="873"/>
    <w:bookmarkEnd w:id="874"/>
    <w:bookmarkEnd w:id="875"/>
    <w:bookmarkEnd w:id="876"/>
    <w:bookmarkEnd w:id="877"/>
    <w:bookmarkEnd w:id="878"/>
    <w:p w14:paraId="17BD662C">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 计量</w:t>
      </w:r>
    </w:p>
    <w:p w14:paraId="2180A064">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67C2633D">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25BECB0">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15E6F4D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BBE88AF">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6B2B7312">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297E52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5DBA0F8C">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84EB2E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87DB520">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124B2829">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rPr>
        <w:t xml:space="preserve">                         </w:t>
      </w:r>
    </w:p>
    <w:p w14:paraId="0CDB3564">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E2D7136">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12.4 工程进度款支付</w:t>
      </w:r>
    </w:p>
    <w:p w14:paraId="7C4D7745">
      <w:pPr>
        <w:spacing w:line="240" w:lineRule="auto"/>
        <w:ind w:firstLine="480" w:firstLineChars="200"/>
        <w:jc w:val="left"/>
        <w:rPr>
          <w:rFonts w:hint="eastAsia" w:ascii="宋体" w:hAnsi="宋体" w:eastAsia="宋体" w:cs="宋体"/>
          <w:color w:val="000000"/>
          <w:sz w:val="24"/>
          <w:szCs w:val="24"/>
        </w:rPr>
      </w:pPr>
      <w:bookmarkStart w:id="879" w:name="_Toc296891251"/>
      <w:bookmarkStart w:id="880" w:name="_Toc297120511"/>
      <w:bookmarkStart w:id="881" w:name="_Toc296944550"/>
      <w:bookmarkStart w:id="882" w:name="_Toc296347210"/>
      <w:bookmarkStart w:id="883" w:name="_Toc296346712"/>
      <w:bookmarkStart w:id="884" w:name="_Toc292559416"/>
      <w:bookmarkStart w:id="885" w:name="_Toc297216215"/>
      <w:bookmarkStart w:id="886" w:name="_Toc292559921"/>
      <w:bookmarkStart w:id="887" w:name="_Toc297048397"/>
      <w:bookmarkStart w:id="888" w:name="_Toc303539163"/>
      <w:bookmarkStart w:id="889" w:name="_Toc296503211"/>
      <w:bookmarkStart w:id="890" w:name="_Toc296891039"/>
      <w:bookmarkStart w:id="891" w:name="_Toc300935006"/>
      <w:bookmarkStart w:id="892" w:name="_Toc297123556"/>
      <w:r>
        <w:rPr>
          <w:rFonts w:hint="eastAsia" w:ascii="宋体" w:hAnsi="宋体" w:eastAsia="宋体" w:cs="宋体"/>
          <w:color w:val="000000"/>
          <w:sz w:val="24"/>
          <w:szCs w:val="24"/>
        </w:rPr>
        <w:t>12.4.1 付款周期</w:t>
      </w:r>
    </w:p>
    <w:p w14:paraId="3D15A7C1">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关于付款周期的约定：</w:t>
      </w:r>
      <w:r>
        <w:rPr>
          <w:rFonts w:hint="eastAsia" w:ascii="宋体" w:hAnsi="宋体" w:eastAsia="宋体" w:cs="宋体"/>
          <w:color w:val="000000"/>
          <w:sz w:val="24"/>
          <w:szCs w:val="24"/>
          <w:u w:val="single"/>
        </w:rPr>
        <w:t xml:space="preserve">  工程进度按照实际工程完成量</w:t>
      </w:r>
      <w:r>
        <w:rPr>
          <w:rFonts w:hint="eastAsia" w:ascii="宋体" w:hAnsi="宋体" w:cs="宋体"/>
          <w:color w:val="000000"/>
          <w:sz w:val="24"/>
          <w:szCs w:val="24"/>
          <w:u w:val="single"/>
          <w:lang w:val="en-US" w:eastAsia="zh-CN"/>
        </w:rPr>
        <w:t>的85%</w:t>
      </w:r>
      <w:r>
        <w:rPr>
          <w:rFonts w:hint="eastAsia" w:ascii="宋体" w:hAnsi="宋体" w:eastAsia="宋体" w:cs="宋体"/>
          <w:color w:val="000000"/>
          <w:sz w:val="24"/>
          <w:szCs w:val="24"/>
          <w:u w:val="single"/>
        </w:rPr>
        <w:t>拨付进度款；工程竣工验收</w:t>
      </w:r>
      <w:r>
        <w:rPr>
          <w:rFonts w:hint="eastAsia" w:ascii="宋体" w:hAnsi="宋体" w:cs="宋体"/>
          <w:color w:val="000000"/>
          <w:sz w:val="24"/>
          <w:szCs w:val="24"/>
          <w:u w:val="single"/>
          <w:lang w:val="en-US" w:eastAsia="zh-CN"/>
        </w:rPr>
        <w:t>完成审计结束后付</w:t>
      </w:r>
      <w:r>
        <w:rPr>
          <w:rFonts w:hint="eastAsia" w:ascii="宋体" w:hAnsi="宋体" w:eastAsia="宋体" w:cs="宋体"/>
          <w:color w:val="000000"/>
          <w:sz w:val="24"/>
          <w:szCs w:val="24"/>
          <w:u w:val="single"/>
        </w:rPr>
        <w:t>至97%，预留3%质保金（最终结算价格以下达财政衔接资金为准</w:t>
      </w:r>
      <w:r>
        <w:rPr>
          <w:rFonts w:hint="eastAsia" w:ascii="宋体" w:hAnsi="宋体" w:cs="宋体"/>
          <w:color w:val="000000"/>
          <w:sz w:val="24"/>
          <w:szCs w:val="24"/>
          <w:u w:val="single"/>
          <w:lang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F09ED59">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12.4.2 进度付款申请单的编制</w:t>
      </w:r>
    </w:p>
    <w:p w14:paraId="185694BE">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关于进度付款申请单编制的约定：</w:t>
      </w:r>
      <w:r>
        <w:rPr>
          <w:rFonts w:hint="eastAsia" w:ascii="宋体" w:hAnsi="宋体" w:eastAsia="宋体" w:cs="宋体"/>
          <w:color w:val="000000"/>
          <w:sz w:val="24"/>
          <w:szCs w:val="24"/>
          <w:u w:val="single"/>
        </w:rPr>
        <w:t xml:space="preserve">                       </w:t>
      </w:r>
    </w:p>
    <w:p w14:paraId="3D390B16">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618F7D">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Pr>
          <w:rFonts w:hint="eastAsia" w:ascii="宋体" w:hAnsi="宋体" w:eastAsia="宋体" w:cs="宋体"/>
          <w:color w:val="000000"/>
          <w:sz w:val="24"/>
          <w:szCs w:val="24"/>
        </w:rPr>
        <w:t>2.4.3 进度付款申请单的提交</w:t>
      </w:r>
    </w:p>
    <w:p w14:paraId="321AB63F">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BA750B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E60E6AE">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（3）其他价格形式合同进度付款申请单提交的约定：</w:t>
      </w:r>
      <w:r>
        <w:rPr>
          <w:rFonts w:hint="eastAsia" w:ascii="宋体" w:hAnsi="宋体" w:eastAsia="宋体" w:cs="宋体"/>
          <w:color w:val="000000"/>
          <w:sz w:val="24"/>
          <w:szCs w:val="24"/>
          <w:u w:val="single"/>
        </w:rPr>
        <w:t xml:space="preserve">       </w:t>
      </w:r>
    </w:p>
    <w:p w14:paraId="523BF341">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783133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12.4.4 进度款审核和支付</w:t>
      </w:r>
    </w:p>
    <w:p w14:paraId="7B8939FC">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（1）监理人审查并报送发包人的期限：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9EF4BE7">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发包人完成审批并签发进度款支付证书的期限：</w:t>
      </w:r>
      <w:r>
        <w:rPr>
          <w:rFonts w:hint="eastAsia" w:ascii="宋体" w:hAnsi="宋体" w:eastAsia="宋体" w:cs="宋体"/>
          <w:color w:val="000000"/>
          <w:sz w:val="24"/>
          <w:szCs w:val="24"/>
          <w:u w:val="single"/>
        </w:rPr>
        <w:t xml:space="preserve">           </w:t>
      </w:r>
    </w:p>
    <w:p w14:paraId="7639A05C">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19E109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（2）发包人支付进度款的期限：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61B6DD3">
      <w:pPr>
        <w:spacing w:line="240" w:lineRule="auto"/>
        <w:ind w:firstLine="600" w:firstLineChars="25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发包人逾期支付进度款的违约金的计算方式：</w:t>
      </w:r>
      <w:r>
        <w:rPr>
          <w:rFonts w:hint="eastAsia" w:ascii="宋体" w:hAnsi="宋体" w:eastAsia="宋体" w:cs="宋体"/>
          <w:color w:val="000000"/>
          <w:sz w:val="24"/>
          <w:szCs w:val="24"/>
          <w:u w:val="single"/>
        </w:rPr>
        <w:t xml:space="preserve">            </w:t>
      </w:r>
    </w:p>
    <w:p w14:paraId="3B694694">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291F27">
      <w:pPr>
        <w:spacing w:line="24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12.4.6 支付分解表的编制</w:t>
      </w:r>
    </w:p>
    <w:p w14:paraId="7B63A3EE">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2、总价合同支付分解表的编制与审批：</w:t>
      </w:r>
      <w:r>
        <w:rPr>
          <w:rFonts w:hint="eastAsia" w:ascii="宋体" w:hAnsi="宋体" w:eastAsia="宋体" w:cs="宋体"/>
          <w:color w:val="000000"/>
          <w:sz w:val="24"/>
          <w:szCs w:val="24"/>
          <w:u w:val="single"/>
        </w:rPr>
        <w:t xml:space="preserve">                  </w:t>
      </w:r>
    </w:p>
    <w:p w14:paraId="0F7BD128">
      <w:pPr>
        <w:spacing w:line="240" w:lineRule="auto"/>
        <w:ind w:left="6000" w:hanging="4800" w:hangingChars="2000"/>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BA4A5BB">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3、单价合同的总价项目支付分解表的编制与审批：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7730A66">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722"/>
    <w:p w14:paraId="1A1BC064">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893" w:name="_Toc351203645"/>
      <w:bookmarkStart w:id="894" w:name="_Toc296503219"/>
      <w:bookmarkStart w:id="895" w:name="_Toc297120519"/>
      <w:bookmarkStart w:id="896" w:name="_Toc312678053"/>
      <w:bookmarkStart w:id="897" w:name="_Toc292559424"/>
      <w:bookmarkStart w:id="898" w:name="_Toc296347218"/>
      <w:bookmarkStart w:id="899" w:name="_Toc296346720"/>
      <w:bookmarkStart w:id="900" w:name="_Toc303539172"/>
      <w:bookmarkStart w:id="901" w:name="_Toc296891047"/>
      <w:bookmarkStart w:id="902" w:name="_Toc296891259"/>
      <w:bookmarkStart w:id="903" w:name="_Toc297216223"/>
      <w:bookmarkStart w:id="904" w:name="_Toc297123564"/>
      <w:bookmarkStart w:id="905" w:name="_Toc304295593"/>
      <w:bookmarkStart w:id="906" w:name="_Toc292559929"/>
      <w:bookmarkStart w:id="907" w:name="_Toc297048405"/>
      <w:bookmarkStart w:id="908" w:name="_Toc300935015"/>
      <w:bookmarkStart w:id="909" w:name="_Toc296944558"/>
      <w:r>
        <w:rPr>
          <w:rFonts w:hint="eastAsia" w:ascii="宋体" w:hAnsi="宋体" w:eastAsia="宋体" w:cs="宋体"/>
          <w:b w:val="0"/>
          <w:bCs/>
          <w:color w:val="000000"/>
          <w:kern w:val="2"/>
          <w:sz w:val="24"/>
          <w:szCs w:val="24"/>
          <w:lang w:val="en-US" w:eastAsia="zh-CN" w:bidi="ar-SA"/>
        </w:rPr>
        <w:t>13. 验收和工程试车</w:t>
      </w:r>
      <w:bookmarkEnd w:id="893"/>
    </w:p>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14:paraId="263EC766">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 分部分项工程验收</w:t>
      </w:r>
    </w:p>
    <w:p w14:paraId="71C07CA6">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58DA303E">
      <w:pPr>
        <w:spacing w:line="240" w:lineRule="auto"/>
        <w:ind w:firstLine="480" w:firstLineChars="200"/>
        <w:jc w:val="left"/>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05A3F4D9">
      <w:pPr>
        <w:spacing w:after="120" w:line="240" w:lineRule="auto"/>
        <w:ind w:firstLine="480" w:firstLineChars="200"/>
        <w:rPr>
          <w:rFonts w:hint="eastAsia" w:ascii="宋体" w:hAnsi="宋体" w:eastAsia="宋体" w:cs="宋体"/>
          <w:color w:val="000000"/>
          <w:sz w:val="24"/>
          <w:szCs w:val="24"/>
        </w:rPr>
      </w:pPr>
      <w:bookmarkStart w:id="910" w:name="_Toc312678056"/>
      <w:bookmarkStart w:id="911" w:name="_Toc297048409"/>
      <w:bookmarkStart w:id="912" w:name="_Toc296347222"/>
      <w:bookmarkStart w:id="913" w:name="_Toc296503223"/>
      <w:bookmarkStart w:id="914" w:name="_Toc296346724"/>
      <w:bookmarkStart w:id="915" w:name="_Toc292559428"/>
      <w:bookmarkStart w:id="916" w:name="_Toc296891263"/>
      <w:bookmarkStart w:id="917" w:name="_Toc300935016"/>
      <w:bookmarkStart w:id="918" w:name="_Toc292559933"/>
      <w:bookmarkStart w:id="919" w:name="_Toc297216224"/>
      <w:bookmarkStart w:id="920" w:name="_Toc297120523"/>
      <w:bookmarkStart w:id="921" w:name="_Toc296891051"/>
      <w:bookmarkStart w:id="922" w:name="_Toc297123565"/>
      <w:bookmarkStart w:id="923" w:name="_Toc304295596"/>
      <w:bookmarkStart w:id="924" w:name="_Toc296944562"/>
      <w:bookmarkStart w:id="925" w:name="_Toc303539173"/>
      <w:bookmarkStart w:id="926" w:name="_Toc267251475"/>
      <w:bookmarkStart w:id="927" w:name="_Toc267251472"/>
      <w:bookmarkStart w:id="928" w:name="_Toc267251474"/>
      <w:bookmarkStart w:id="929" w:name="_Toc267251473"/>
      <w:bookmarkStart w:id="930" w:name="_Toc267251476"/>
      <w:bookmarkStart w:id="931" w:name="_Toc267251471"/>
      <w:bookmarkStart w:id="932" w:name="_Toc267251470"/>
      <w:r>
        <w:rPr>
          <w:rFonts w:hint="eastAsia" w:ascii="宋体" w:hAnsi="宋体" w:eastAsia="宋体" w:cs="宋体"/>
          <w:color w:val="000000"/>
          <w:sz w:val="24"/>
          <w:szCs w:val="24"/>
        </w:rPr>
        <w:t>13.2 竣工验收</w:t>
      </w:r>
    </w:p>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14:paraId="60F9C94F">
      <w:pPr>
        <w:spacing w:line="240" w:lineRule="auto"/>
        <w:ind w:firstLine="480" w:firstLineChars="200"/>
        <w:jc w:val="left"/>
        <w:rPr>
          <w:rFonts w:hint="eastAsia" w:ascii="宋体" w:hAnsi="宋体" w:eastAsia="宋体" w:cs="宋体"/>
          <w:color w:val="000000"/>
          <w:sz w:val="24"/>
          <w:szCs w:val="24"/>
        </w:rPr>
      </w:pPr>
      <w:bookmarkStart w:id="933" w:name="_Toc280868704"/>
      <w:bookmarkStart w:id="934" w:name="_Toc280868705"/>
      <w:bookmarkStart w:id="935" w:name="_Toc280868706"/>
      <w:bookmarkStart w:id="936" w:name="_Toc280868707"/>
      <w:bookmarkStart w:id="937" w:name="_Toc280868708"/>
      <w:bookmarkStart w:id="938" w:name="_Toc280868709"/>
      <w:r>
        <w:rPr>
          <w:rFonts w:hint="eastAsia" w:ascii="宋体" w:hAnsi="宋体" w:eastAsia="宋体" w:cs="宋体"/>
          <w:color w:val="000000"/>
          <w:sz w:val="24"/>
          <w:szCs w:val="24"/>
        </w:rPr>
        <w:t>13.2.2竣工验收程序</w:t>
      </w:r>
    </w:p>
    <w:bookmarkEnd w:id="933"/>
    <w:p w14:paraId="63E3BC74">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000000"/>
          <w:sz w:val="24"/>
          <w:szCs w:val="24"/>
          <w:u w:val="single"/>
        </w:rPr>
        <w:t xml:space="preserve">                              </w:t>
      </w:r>
    </w:p>
    <w:p w14:paraId="28415434">
      <w:pPr>
        <w:spacing w:line="240" w:lineRule="auto"/>
        <w:ind w:left="6000" w:hanging="4800" w:hangingChars="2000"/>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37887E0">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p>
    <w:p w14:paraId="36D4F8D5">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34"/>
    <w:p w14:paraId="030FE305">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bookmarkEnd w:id="935"/>
    <w:p w14:paraId="0A336B0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8AC1763">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36"/>
    <w:p w14:paraId="181EA54D">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 xml:space="preserve">          </w:t>
      </w:r>
    </w:p>
    <w:p w14:paraId="5BC446FC">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F676AB3">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 工程试车</w:t>
      </w:r>
    </w:p>
    <w:bookmarkEnd w:id="937"/>
    <w:p w14:paraId="05CB944D">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2017BF01">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工程试车内容：</w:t>
      </w:r>
      <w:r>
        <w:rPr>
          <w:rFonts w:hint="eastAsia" w:ascii="宋体" w:hAnsi="宋体" w:eastAsia="宋体" w:cs="宋体"/>
          <w:color w:val="000000"/>
          <w:sz w:val="24"/>
          <w:szCs w:val="24"/>
          <w:u w:val="single"/>
        </w:rPr>
        <w:t xml:space="preserve">                                        </w:t>
      </w:r>
    </w:p>
    <w:p w14:paraId="71734970">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E756B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4F1F876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6FCAC9E9">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31198E70">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p>
    <w:p w14:paraId="5451BBA4">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780A7CC">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13.6 竣工退场</w:t>
      </w:r>
    </w:p>
    <w:p w14:paraId="233DADB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5C47C543">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5C0C945A">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939" w:name="_Toc351203646"/>
      <w:r>
        <w:rPr>
          <w:rFonts w:hint="eastAsia" w:ascii="宋体" w:hAnsi="宋体" w:eastAsia="宋体" w:cs="宋体"/>
          <w:b w:val="0"/>
          <w:bCs/>
          <w:color w:val="000000"/>
          <w:kern w:val="2"/>
          <w:sz w:val="24"/>
          <w:szCs w:val="24"/>
          <w:lang w:val="en-US" w:eastAsia="zh-CN" w:bidi="ar-SA"/>
        </w:rPr>
        <w:t>14. 竣工结算</w:t>
      </w:r>
      <w:bookmarkEnd w:id="939"/>
    </w:p>
    <w:p w14:paraId="07270024">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14.1 竣工结算申请</w:t>
      </w:r>
    </w:p>
    <w:p w14:paraId="396D8D6F">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600FFFB">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p>
    <w:p w14:paraId="029806CB">
      <w:pPr>
        <w:spacing w:line="240" w:lineRule="auto"/>
        <w:jc w:val="left"/>
        <w:rPr>
          <w:rFonts w:hint="eastAsia" w:ascii="宋体" w:hAnsi="宋体" w:eastAsia="宋体" w:cs="宋体"/>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9ECF7E">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14.2 竣工结算审核</w:t>
      </w:r>
    </w:p>
    <w:p w14:paraId="4EC1E2A9">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AB8D42">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3E71F37">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p>
    <w:p w14:paraId="333991CB">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F3E5EC1">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14.4 最终结清</w:t>
      </w:r>
    </w:p>
    <w:p w14:paraId="7338EE46">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5B8CBD1E">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1BED150">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74C922BC">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285DF7EC">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D19C3B">
      <w:pPr>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26"/>
    <w:bookmarkEnd w:id="927"/>
    <w:bookmarkEnd w:id="928"/>
    <w:bookmarkEnd w:id="929"/>
    <w:bookmarkEnd w:id="930"/>
    <w:bookmarkEnd w:id="931"/>
    <w:bookmarkEnd w:id="932"/>
    <w:bookmarkEnd w:id="938"/>
    <w:p w14:paraId="76D04387">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940" w:name="_Toc351203647"/>
      <w:bookmarkStart w:id="941" w:name="_Toc267251483"/>
      <w:bookmarkStart w:id="942" w:name="_Toc267251484"/>
      <w:bookmarkStart w:id="943" w:name="_Toc267251482"/>
      <w:bookmarkStart w:id="944" w:name="_Toc267251485"/>
      <w:bookmarkStart w:id="945" w:name="_Toc267251490"/>
      <w:bookmarkStart w:id="946" w:name="_Toc267251488"/>
      <w:bookmarkStart w:id="947" w:name="_Toc267251489"/>
      <w:bookmarkStart w:id="948" w:name="_Toc267251486"/>
      <w:bookmarkStart w:id="949" w:name="_Toc267251497"/>
      <w:bookmarkStart w:id="950" w:name="_Toc267251491"/>
      <w:bookmarkStart w:id="951" w:name="_Toc267251498"/>
      <w:bookmarkStart w:id="952" w:name="_Toc267251502"/>
      <w:bookmarkStart w:id="953" w:name="_Toc267251501"/>
      <w:bookmarkStart w:id="954" w:name="_Toc267251499"/>
      <w:bookmarkStart w:id="955" w:name="_Toc267251494"/>
      <w:bookmarkStart w:id="956" w:name="_Toc267251503"/>
      <w:bookmarkStart w:id="957" w:name="_Toc267251492"/>
      <w:bookmarkStart w:id="958" w:name="_Toc267251493"/>
      <w:bookmarkStart w:id="959" w:name="_Toc267251495"/>
      <w:bookmarkStart w:id="960" w:name="_Toc267251496"/>
      <w:bookmarkStart w:id="961" w:name="_Toc267251506"/>
      <w:bookmarkStart w:id="962" w:name="_Toc267251504"/>
      <w:bookmarkStart w:id="963" w:name="_Toc267251507"/>
      <w:bookmarkStart w:id="964" w:name="_Toc267251508"/>
      <w:bookmarkStart w:id="965" w:name="_Toc267251515"/>
      <w:bookmarkStart w:id="966" w:name="_Toc267251513"/>
      <w:bookmarkStart w:id="967" w:name="_Toc267251509"/>
      <w:bookmarkStart w:id="968" w:name="_Toc267251511"/>
      <w:bookmarkStart w:id="969" w:name="_Toc267251514"/>
      <w:bookmarkStart w:id="970" w:name="_Toc267251510"/>
      <w:r>
        <w:rPr>
          <w:rFonts w:hint="eastAsia" w:ascii="宋体" w:hAnsi="宋体" w:eastAsia="宋体" w:cs="宋体"/>
          <w:b w:val="0"/>
          <w:bCs/>
          <w:color w:val="000000"/>
          <w:kern w:val="2"/>
          <w:sz w:val="24"/>
          <w:szCs w:val="24"/>
          <w:lang w:val="en-US" w:eastAsia="zh-CN" w:bidi="ar-SA"/>
        </w:rPr>
        <w:t>15. 缺陷责任期与保修</w:t>
      </w:r>
      <w:bookmarkEnd w:id="940"/>
    </w:p>
    <w:p w14:paraId="20AC0F02">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15.2缺陷责任期</w:t>
      </w:r>
      <w:bookmarkEnd w:id="941"/>
    </w:p>
    <w:p w14:paraId="42AFC36F">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竣工验收后1年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637B19F">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 质量保证金</w:t>
      </w:r>
    </w:p>
    <w:p w14:paraId="35D60D7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6C2CB089">
      <w:pPr>
        <w:spacing w:line="240" w:lineRule="auto"/>
        <w:ind w:firstLine="480" w:firstLineChars="200"/>
        <w:jc w:val="left"/>
        <w:rPr>
          <w:rFonts w:hint="eastAsia" w:ascii="宋体" w:hAnsi="宋体" w:eastAsia="宋体" w:cs="宋体"/>
          <w:color w:val="000000"/>
          <w:sz w:val="24"/>
          <w:szCs w:val="24"/>
        </w:rPr>
      </w:pPr>
    </w:p>
    <w:p w14:paraId="6AF40A42">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15.3.1 承包人提供质量保证金的方式</w:t>
      </w:r>
    </w:p>
    <w:p w14:paraId="62BE04BD">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38A1EF5C">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7C8AD887">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3</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4473829F">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B2011CB">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15.3.2 质量保证金的扣留 </w:t>
      </w:r>
    </w:p>
    <w:p w14:paraId="061989E3">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045450F9">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6F8DCF00">
      <w:pPr>
        <w:autoSpaceDE w:val="0"/>
        <w:autoSpaceDN w:val="0"/>
        <w:adjustRightInd w:val="0"/>
        <w:spacing w:line="24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（2）工程竣工结算时一次性扣留质量保证金；</w:t>
      </w:r>
    </w:p>
    <w:p w14:paraId="431D3EC0">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0A8D444">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942"/>
    <w:bookmarkEnd w:id="943"/>
    <w:p w14:paraId="5759D72A">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15.4保修</w:t>
      </w:r>
    </w:p>
    <w:bookmarkEnd w:id="944"/>
    <w:p w14:paraId="42044277">
      <w:pPr>
        <w:spacing w:line="24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581F177A">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1年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C14C896">
      <w:pPr>
        <w:spacing w:line="24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00D447D4">
      <w:pPr>
        <w:spacing w:line="240" w:lineRule="auto"/>
        <w:ind w:firstLine="468" w:firstLineChars="195"/>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p>
    <w:p w14:paraId="0C473F7D">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945"/>
    <w:bookmarkEnd w:id="946"/>
    <w:bookmarkEnd w:id="947"/>
    <w:bookmarkEnd w:id="948"/>
    <w:p w14:paraId="225267E8">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971" w:name="_Toc351203648"/>
      <w:bookmarkStart w:id="972" w:name="_Toc280868717"/>
      <w:bookmarkStart w:id="973" w:name="_Toc280868718"/>
      <w:r>
        <w:rPr>
          <w:rFonts w:hint="eastAsia" w:ascii="宋体" w:hAnsi="宋体" w:eastAsia="宋体" w:cs="宋体"/>
          <w:b w:val="0"/>
          <w:bCs/>
          <w:color w:val="000000"/>
          <w:kern w:val="2"/>
          <w:sz w:val="24"/>
          <w:szCs w:val="24"/>
          <w:lang w:val="en-US" w:eastAsia="zh-CN" w:bidi="ar-SA"/>
        </w:rPr>
        <w:t>16. 违约</w:t>
      </w:r>
      <w:bookmarkEnd w:id="971"/>
    </w:p>
    <w:p w14:paraId="7417727E">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16.1 发包人违约</w:t>
      </w:r>
    </w:p>
    <w:p w14:paraId="1C1EA014">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79C0782A">
      <w:pPr>
        <w:spacing w:line="24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p>
    <w:p w14:paraId="05BDF66B">
      <w:pPr>
        <w:spacing w:line="240" w:lineRule="auto"/>
        <w:ind w:left="1500" w:hanging="1200" w:hangingChars="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F763441">
      <w:pPr>
        <w:spacing w:line="240" w:lineRule="auto"/>
        <w:ind w:left="1500" w:hanging="1200" w:hangingChars="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16.1.2 发包人违约的责任</w:t>
      </w:r>
    </w:p>
    <w:p w14:paraId="0BF46FA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发包人违约责任的承担方式和计算方法：</w:t>
      </w:r>
    </w:p>
    <w:p w14:paraId="12C6EDB4">
      <w:pPr>
        <w:spacing w:line="24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（1）因发包人原因未能在计划开工日期前7天内下达开工通知的违约责任：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3BD0B4A">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C64D386">
      <w:pPr>
        <w:spacing w:line="24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（3）发包人违反第10.1款〔变更的范围〕第（2）项约定，自行实施被取消的工作或转由他人实施的违约责任：</w:t>
      </w:r>
      <w:r>
        <w:rPr>
          <w:rFonts w:hint="eastAsia" w:ascii="宋体" w:hAnsi="宋体" w:eastAsia="宋体" w:cs="宋体"/>
          <w:color w:val="000000"/>
          <w:kern w:val="0"/>
          <w:sz w:val="24"/>
          <w:szCs w:val="24"/>
          <w:u w:val="single"/>
        </w:rPr>
        <w:t xml:space="preserve">              </w:t>
      </w:r>
    </w:p>
    <w:p w14:paraId="0ADC4704">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A6E0EBB">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45A8C71">
      <w:pPr>
        <w:spacing w:line="24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（5）因发包人违反合同约定造成暂停施工的违约责任：</w:t>
      </w:r>
      <w:r>
        <w:rPr>
          <w:rFonts w:hint="eastAsia" w:ascii="宋体" w:hAnsi="宋体" w:eastAsia="宋体" w:cs="宋体"/>
          <w:color w:val="000000"/>
          <w:kern w:val="0"/>
          <w:sz w:val="24"/>
          <w:szCs w:val="24"/>
          <w:u w:val="single"/>
        </w:rPr>
        <w:t xml:space="preserve">     </w:t>
      </w:r>
    </w:p>
    <w:p w14:paraId="71C0FAD7">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D424885">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DED3AB4">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（7）其他：</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90B335E">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3FDE36A2">
      <w:pPr>
        <w:autoSpaceDE w:val="0"/>
        <w:autoSpaceDN w:val="0"/>
        <w:adjustRightInd w:val="0"/>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407473A0">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16.2 承包人违约</w:t>
      </w:r>
    </w:p>
    <w:p w14:paraId="7DDC31B1">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6424C7ED">
      <w:pPr>
        <w:spacing w:line="24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p>
    <w:p w14:paraId="414B1655">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46D9912">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4F96197B">
      <w:pPr>
        <w:spacing w:line="24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rPr>
        <w:t xml:space="preserve">                  </w:t>
      </w:r>
    </w:p>
    <w:p w14:paraId="29A0FD81">
      <w:pPr>
        <w:spacing w:line="240" w:lineRule="auto"/>
        <w:ind w:left="1500" w:hanging="1200" w:hangingChars="5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1CB1B3CE">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16862571">
      <w:pPr>
        <w:spacing w:before="120" w:after="120" w:line="24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p>
    <w:p w14:paraId="4B8B1E38">
      <w:pPr>
        <w:spacing w:before="120" w:after="120" w:line="24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13E26C6">
      <w:pPr>
        <w:spacing w:before="120" w:after="120" w:line="24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F992B8D">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974" w:name="_Toc351203649"/>
      <w:r>
        <w:rPr>
          <w:rFonts w:hint="eastAsia" w:ascii="宋体" w:hAnsi="宋体" w:eastAsia="宋体" w:cs="宋体"/>
          <w:b w:val="0"/>
          <w:bCs/>
          <w:color w:val="000000"/>
          <w:kern w:val="2"/>
          <w:sz w:val="24"/>
          <w:szCs w:val="24"/>
          <w:lang w:val="en-US" w:eastAsia="zh-CN" w:bidi="ar-SA"/>
        </w:rPr>
        <w:t>17. 不可抗力</w:t>
      </w:r>
      <w:bookmarkEnd w:id="974"/>
      <w:r>
        <w:rPr>
          <w:rFonts w:hint="eastAsia" w:ascii="宋体" w:hAnsi="宋体" w:eastAsia="宋体" w:cs="宋体"/>
          <w:b w:val="0"/>
          <w:bCs/>
          <w:color w:val="000000"/>
          <w:kern w:val="2"/>
          <w:sz w:val="24"/>
          <w:szCs w:val="24"/>
          <w:lang w:val="en-US" w:eastAsia="zh-CN" w:bidi="ar-SA"/>
        </w:rPr>
        <w:t xml:space="preserve"> </w:t>
      </w:r>
      <w:bookmarkEnd w:id="972"/>
    </w:p>
    <w:p w14:paraId="03F1A05F">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17.1 不可抗力的确认</w:t>
      </w:r>
    </w:p>
    <w:p w14:paraId="565FC77A">
      <w:pPr>
        <w:spacing w:line="24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B8FBFF9">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17.4 因不可抗力解除合同</w:t>
      </w:r>
    </w:p>
    <w:p w14:paraId="1054E09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天内完成款项的支付。</w:t>
      </w:r>
    </w:p>
    <w:p w14:paraId="2B1DB933">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975" w:name="_Toc351203650"/>
      <w:r>
        <w:rPr>
          <w:rFonts w:hint="eastAsia" w:ascii="宋体" w:hAnsi="宋体" w:eastAsia="宋体" w:cs="宋体"/>
          <w:b w:val="0"/>
          <w:bCs/>
          <w:color w:val="000000"/>
          <w:kern w:val="2"/>
          <w:sz w:val="24"/>
          <w:szCs w:val="24"/>
          <w:lang w:val="en-US" w:eastAsia="zh-CN" w:bidi="ar-SA"/>
        </w:rPr>
        <w:t>18. 保险</w:t>
      </w:r>
      <w:bookmarkEnd w:id="975"/>
    </w:p>
    <w:bookmarkEnd w:id="973"/>
    <w:p w14:paraId="482F5DA7">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18.1 工程保险</w:t>
      </w:r>
    </w:p>
    <w:p w14:paraId="6AE45E5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02382C2">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18.3 其他保险</w:t>
      </w:r>
    </w:p>
    <w:p w14:paraId="67EFB41F">
      <w:pPr>
        <w:spacing w:line="24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9EA00EE">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color w:val="000000"/>
          <w:sz w:val="24"/>
          <w:szCs w:val="24"/>
          <w:u w:val="single"/>
        </w:rPr>
        <w:t xml:space="preserve">              </w:t>
      </w:r>
    </w:p>
    <w:p w14:paraId="0C9B9149">
      <w:pPr>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770228A">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18.7 通知义务</w:t>
      </w:r>
    </w:p>
    <w:p w14:paraId="6B07CA4D">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关于变更保险合同时的通知义务的约定：</w:t>
      </w:r>
      <w:r>
        <w:rPr>
          <w:rFonts w:hint="eastAsia" w:ascii="宋体" w:hAnsi="宋体" w:eastAsia="宋体" w:cs="宋体"/>
          <w:color w:val="000000"/>
          <w:sz w:val="24"/>
          <w:szCs w:val="24"/>
          <w:u w:val="single"/>
        </w:rPr>
        <w:t xml:space="preserve">                  </w:t>
      </w:r>
    </w:p>
    <w:p w14:paraId="0DCE8A5E">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49"/>
    <w:bookmarkEnd w:id="950"/>
    <w:bookmarkEnd w:id="951"/>
    <w:bookmarkEnd w:id="952"/>
    <w:bookmarkEnd w:id="953"/>
    <w:bookmarkEnd w:id="954"/>
    <w:bookmarkEnd w:id="955"/>
    <w:bookmarkEnd w:id="956"/>
    <w:bookmarkEnd w:id="957"/>
    <w:bookmarkEnd w:id="958"/>
    <w:bookmarkEnd w:id="959"/>
    <w:bookmarkEnd w:id="960"/>
    <w:p w14:paraId="4C4DD63E">
      <w:pPr>
        <w:keepNext/>
        <w:keepLines/>
        <w:widowControl w:val="0"/>
        <w:spacing w:before="120" w:beforeLines="0" w:after="120" w:afterLines="0" w:line="240" w:lineRule="auto"/>
        <w:jc w:val="both"/>
        <w:outlineLvl w:val="3"/>
        <w:rPr>
          <w:rFonts w:hint="eastAsia" w:ascii="宋体" w:hAnsi="宋体" w:eastAsia="宋体" w:cs="宋体"/>
          <w:b w:val="0"/>
          <w:bCs/>
          <w:color w:val="000000"/>
          <w:kern w:val="2"/>
          <w:sz w:val="24"/>
          <w:szCs w:val="24"/>
          <w:lang w:val="en-US" w:eastAsia="zh-CN" w:bidi="ar-SA"/>
        </w:rPr>
      </w:pPr>
      <w:bookmarkStart w:id="976" w:name="_Toc351203651"/>
      <w:r>
        <w:rPr>
          <w:rFonts w:hint="eastAsia" w:ascii="宋体" w:hAnsi="宋体" w:eastAsia="宋体" w:cs="宋体"/>
          <w:b w:val="0"/>
          <w:bCs/>
          <w:color w:val="000000"/>
          <w:kern w:val="2"/>
          <w:sz w:val="24"/>
          <w:szCs w:val="24"/>
          <w:lang w:val="en-US" w:eastAsia="zh-CN" w:bidi="ar-SA"/>
        </w:rPr>
        <w:t>20. 争议解决</w:t>
      </w:r>
      <w:bookmarkEnd w:id="976"/>
    </w:p>
    <w:bookmarkEnd w:id="961"/>
    <w:bookmarkEnd w:id="962"/>
    <w:p w14:paraId="753B9505">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20.3 争</w:t>
      </w:r>
      <w:bookmarkEnd w:id="963"/>
      <w:r>
        <w:rPr>
          <w:rFonts w:hint="eastAsia" w:ascii="宋体" w:hAnsi="宋体" w:eastAsia="宋体" w:cs="宋体"/>
          <w:color w:val="000000"/>
          <w:sz w:val="24"/>
          <w:szCs w:val="24"/>
        </w:rPr>
        <w:t>议评审</w:t>
      </w:r>
    </w:p>
    <w:p w14:paraId="3F82DBE3">
      <w:pPr>
        <w:spacing w:line="240" w:lineRule="auto"/>
        <w:ind w:left="149" w:leftChars="71" w:firstLine="360" w:firstLineChars="15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 xml:space="preserve">    </w:t>
      </w:r>
    </w:p>
    <w:p w14:paraId="3578C5D3">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C50BD9E">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20.3.1 争议评审小组的确定</w:t>
      </w:r>
    </w:p>
    <w:p w14:paraId="2988ECCC">
      <w:pPr>
        <w:spacing w:line="24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46B5FC7">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4B4EA8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9C1A270">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D425FB">
      <w:pPr>
        <w:autoSpaceDE w:val="0"/>
        <w:autoSpaceDN w:val="0"/>
        <w:adjustRightInd w:val="0"/>
        <w:spacing w:line="24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65552FFF">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095A68C">
      <w:pPr>
        <w:spacing w:after="120"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20.4仲裁或诉讼</w:t>
      </w:r>
      <w:bookmarkEnd w:id="964"/>
    </w:p>
    <w:p w14:paraId="78C8DB8C">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7F940E6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项目所在地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27AE7B0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项目所在地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bookmarkEnd w:id="965"/>
      <w:bookmarkEnd w:id="966"/>
      <w:bookmarkEnd w:id="967"/>
      <w:bookmarkEnd w:id="968"/>
      <w:bookmarkEnd w:id="969"/>
      <w:bookmarkEnd w:id="970"/>
    </w:p>
    <w:p w14:paraId="6E594DEA">
      <w:pPr>
        <w:spacing w:line="240" w:lineRule="auto"/>
        <w:jc w:val="left"/>
        <w:rPr>
          <w:rFonts w:hint="eastAsia" w:ascii="宋体" w:hAnsi="宋体" w:eastAsia="宋体" w:cs="宋体"/>
          <w:b/>
          <w:color w:val="000000"/>
          <w:sz w:val="24"/>
          <w:szCs w:val="24"/>
        </w:rPr>
      </w:pPr>
      <w:r>
        <w:rPr>
          <w:rFonts w:hint="eastAsia" w:ascii="宋体" w:hAnsi="宋体" w:eastAsia="宋体" w:cs="宋体"/>
          <w:color w:val="000000"/>
          <w:sz w:val="24"/>
          <w:szCs w:val="24"/>
        </w:rPr>
        <w:br w:type="page"/>
      </w:r>
      <w:bookmarkStart w:id="977" w:name="_Toc351203652"/>
      <w:r>
        <w:rPr>
          <w:rFonts w:hint="eastAsia" w:ascii="宋体" w:hAnsi="宋体" w:eastAsia="宋体" w:cs="宋体"/>
          <w:b/>
          <w:color w:val="000000"/>
          <w:sz w:val="24"/>
          <w:szCs w:val="24"/>
        </w:rPr>
        <w:t>附件</w:t>
      </w:r>
      <w:bookmarkEnd w:id="977"/>
    </w:p>
    <w:p w14:paraId="665C09EF">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3692F94B">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6955967F">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70BF07F9">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52061BB3">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4EC6E566">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附件4：主要建设工程文件目录</w:t>
      </w:r>
    </w:p>
    <w:p w14:paraId="7D9B4079">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附件5：承包人用于本工程施工的机械设备表</w:t>
      </w:r>
    </w:p>
    <w:p w14:paraId="43723033">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附件6：承包人主要施工管理人员表</w:t>
      </w:r>
    </w:p>
    <w:p w14:paraId="269087CD">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附件7：分包人主要施工管理人员表</w:t>
      </w:r>
    </w:p>
    <w:p w14:paraId="654FD5DA">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附件8：履约担保格式</w:t>
      </w:r>
    </w:p>
    <w:p w14:paraId="0599DA22">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附件9：预付款担保格式</w:t>
      </w:r>
    </w:p>
    <w:p w14:paraId="415B2577">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附件10：支付担保格式</w:t>
      </w:r>
    </w:p>
    <w:p w14:paraId="1D881648">
      <w:pPr>
        <w:spacing w:line="240" w:lineRule="auto"/>
        <w:jc w:val="left"/>
        <w:rPr>
          <w:rFonts w:hint="eastAsia" w:ascii="宋体" w:hAnsi="宋体" w:eastAsia="宋体" w:cs="宋体"/>
          <w:color w:val="000000"/>
          <w:sz w:val="24"/>
          <w:szCs w:val="24"/>
        </w:rPr>
        <w:sectPr>
          <w:pgSz w:w="11906" w:h="16838"/>
          <w:pgMar w:top="1418" w:right="1555" w:bottom="1418" w:left="1531" w:header="851" w:footer="992" w:gutter="0"/>
          <w:pgNumType w:fmt="decimal"/>
          <w:cols w:space="720" w:num="1"/>
          <w:titlePg/>
          <w:docGrid w:type="lines" w:linePitch="312" w:charSpace="0"/>
        </w:sectPr>
      </w:pPr>
      <w:r>
        <w:rPr>
          <w:rFonts w:hint="eastAsia" w:ascii="宋体" w:hAnsi="宋体" w:eastAsia="宋体" w:cs="宋体"/>
          <w:color w:val="000000"/>
          <w:sz w:val="24"/>
          <w:szCs w:val="24"/>
        </w:rPr>
        <w:t>附件11：暂估价一览表</w:t>
      </w:r>
    </w:p>
    <w:p w14:paraId="2A32FE86">
      <w:pPr>
        <w:spacing w:before="156" w:beforeLines="50" w:after="156" w:afterLines="50"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679C2F80">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6"/>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675A0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5AD2B24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单位工程名称</w:t>
            </w:r>
          </w:p>
        </w:tc>
        <w:tc>
          <w:tcPr>
            <w:tcW w:w="1843" w:type="dxa"/>
            <w:tcBorders>
              <w:top w:val="single" w:color="auto" w:sz="12" w:space="0"/>
              <w:bottom w:val="double" w:color="auto" w:sz="6" w:space="0"/>
            </w:tcBorders>
            <w:noWrap w:val="0"/>
            <w:vAlign w:val="center"/>
          </w:tcPr>
          <w:p w14:paraId="09B5B05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建设规模</w:t>
            </w:r>
          </w:p>
        </w:tc>
        <w:tc>
          <w:tcPr>
            <w:tcW w:w="1417" w:type="dxa"/>
            <w:tcBorders>
              <w:top w:val="single" w:color="auto" w:sz="12" w:space="0"/>
              <w:bottom w:val="double" w:color="auto" w:sz="6" w:space="0"/>
            </w:tcBorders>
            <w:noWrap w:val="0"/>
            <w:vAlign w:val="center"/>
          </w:tcPr>
          <w:p w14:paraId="794031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建筑面积(平方米)</w:t>
            </w:r>
          </w:p>
        </w:tc>
        <w:tc>
          <w:tcPr>
            <w:tcW w:w="2410" w:type="dxa"/>
            <w:tcBorders>
              <w:top w:val="single" w:color="auto" w:sz="12" w:space="0"/>
              <w:bottom w:val="double" w:color="auto" w:sz="6" w:space="0"/>
            </w:tcBorders>
            <w:noWrap w:val="0"/>
            <w:vAlign w:val="center"/>
          </w:tcPr>
          <w:p w14:paraId="59AE2DF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结构形式</w:t>
            </w:r>
          </w:p>
        </w:tc>
        <w:tc>
          <w:tcPr>
            <w:tcW w:w="850" w:type="dxa"/>
            <w:tcBorders>
              <w:top w:val="single" w:color="auto" w:sz="12" w:space="0"/>
              <w:bottom w:val="double" w:color="auto" w:sz="6" w:space="0"/>
            </w:tcBorders>
            <w:noWrap w:val="0"/>
            <w:vAlign w:val="center"/>
          </w:tcPr>
          <w:p w14:paraId="036ADEB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层数</w:t>
            </w:r>
          </w:p>
        </w:tc>
        <w:tc>
          <w:tcPr>
            <w:tcW w:w="1560" w:type="dxa"/>
            <w:tcBorders>
              <w:top w:val="single" w:color="auto" w:sz="12" w:space="0"/>
              <w:bottom w:val="double" w:color="auto" w:sz="6" w:space="0"/>
            </w:tcBorders>
            <w:noWrap w:val="0"/>
            <w:vAlign w:val="center"/>
          </w:tcPr>
          <w:p w14:paraId="7EFF0E1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生产能力</w:t>
            </w:r>
          </w:p>
        </w:tc>
        <w:tc>
          <w:tcPr>
            <w:tcW w:w="2126" w:type="dxa"/>
            <w:tcBorders>
              <w:top w:val="single" w:color="auto" w:sz="12" w:space="0"/>
              <w:bottom w:val="double" w:color="auto" w:sz="6" w:space="0"/>
            </w:tcBorders>
            <w:noWrap w:val="0"/>
            <w:vAlign w:val="center"/>
          </w:tcPr>
          <w:p w14:paraId="5C0A7AC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设备安装内容</w:t>
            </w:r>
          </w:p>
        </w:tc>
        <w:tc>
          <w:tcPr>
            <w:tcW w:w="1417" w:type="dxa"/>
            <w:tcBorders>
              <w:top w:val="single" w:color="auto" w:sz="12" w:space="0"/>
              <w:bottom w:val="double" w:color="auto" w:sz="6" w:space="0"/>
            </w:tcBorders>
            <w:noWrap w:val="0"/>
            <w:vAlign w:val="center"/>
          </w:tcPr>
          <w:p w14:paraId="68C7066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合同价格（元）</w:t>
            </w:r>
          </w:p>
        </w:tc>
        <w:tc>
          <w:tcPr>
            <w:tcW w:w="851" w:type="dxa"/>
            <w:tcBorders>
              <w:top w:val="single" w:color="auto" w:sz="12" w:space="0"/>
              <w:bottom w:val="double" w:color="auto" w:sz="6" w:space="0"/>
            </w:tcBorders>
            <w:noWrap w:val="0"/>
            <w:vAlign w:val="center"/>
          </w:tcPr>
          <w:p w14:paraId="5BEFEE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开工日期</w:t>
            </w:r>
          </w:p>
        </w:tc>
        <w:tc>
          <w:tcPr>
            <w:tcW w:w="850" w:type="dxa"/>
            <w:tcBorders>
              <w:top w:val="single" w:color="auto" w:sz="12" w:space="0"/>
              <w:bottom w:val="double" w:color="auto" w:sz="6" w:space="0"/>
            </w:tcBorders>
            <w:noWrap w:val="0"/>
            <w:vAlign w:val="center"/>
          </w:tcPr>
          <w:p w14:paraId="032C2C8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竣工日期</w:t>
            </w:r>
          </w:p>
        </w:tc>
      </w:tr>
      <w:tr w14:paraId="7BDC4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D28834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tcBorders>
              <w:top w:val="double" w:color="auto" w:sz="6" w:space="0"/>
              <w:bottom w:val="single" w:color="auto" w:sz="6" w:space="0"/>
            </w:tcBorders>
            <w:noWrap w:val="0"/>
            <w:vAlign w:val="center"/>
          </w:tcPr>
          <w:p w14:paraId="05D7837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double" w:color="auto" w:sz="6" w:space="0"/>
              <w:bottom w:val="single" w:color="auto" w:sz="6" w:space="0"/>
            </w:tcBorders>
            <w:noWrap w:val="0"/>
            <w:vAlign w:val="center"/>
          </w:tcPr>
          <w:p w14:paraId="0AC8F14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tcBorders>
              <w:top w:val="double" w:color="auto" w:sz="6" w:space="0"/>
              <w:bottom w:val="single" w:color="auto" w:sz="6" w:space="0"/>
            </w:tcBorders>
            <w:noWrap w:val="0"/>
            <w:vAlign w:val="center"/>
          </w:tcPr>
          <w:p w14:paraId="4583025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double" w:color="auto" w:sz="6" w:space="0"/>
              <w:bottom w:val="single" w:color="auto" w:sz="6" w:space="0"/>
            </w:tcBorders>
            <w:noWrap w:val="0"/>
            <w:vAlign w:val="center"/>
          </w:tcPr>
          <w:p w14:paraId="1C1B1CD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tcBorders>
              <w:top w:val="double" w:color="auto" w:sz="6" w:space="0"/>
              <w:bottom w:val="single" w:color="auto" w:sz="6" w:space="0"/>
            </w:tcBorders>
            <w:noWrap w:val="0"/>
            <w:vAlign w:val="center"/>
          </w:tcPr>
          <w:p w14:paraId="65F861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tcBorders>
              <w:top w:val="double" w:color="auto" w:sz="6" w:space="0"/>
              <w:bottom w:val="single" w:color="auto" w:sz="6" w:space="0"/>
            </w:tcBorders>
            <w:noWrap w:val="0"/>
            <w:vAlign w:val="center"/>
          </w:tcPr>
          <w:p w14:paraId="60EC851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double" w:color="auto" w:sz="6" w:space="0"/>
              <w:bottom w:val="single" w:color="auto" w:sz="6" w:space="0"/>
            </w:tcBorders>
            <w:noWrap w:val="0"/>
            <w:vAlign w:val="center"/>
          </w:tcPr>
          <w:p w14:paraId="5173456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double" w:color="auto" w:sz="6" w:space="0"/>
              <w:bottom w:val="single" w:color="auto" w:sz="6" w:space="0"/>
            </w:tcBorders>
            <w:noWrap w:val="0"/>
            <w:vAlign w:val="center"/>
          </w:tcPr>
          <w:p w14:paraId="562E0DD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double" w:color="auto" w:sz="6" w:space="0"/>
              <w:bottom w:val="single" w:color="auto" w:sz="6" w:space="0"/>
            </w:tcBorders>
            <w:noWrap w:val="0"/>
            <w:vAlign w:val="center"/>
          </w:tcPr>
          <w:p w14:paraId="7C05ACE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55F5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18C908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tcBorders>
              <w:top w:val="nil"/>
            </w:tcBorders>
            <w:noWrap w:val="0"/>
            <w:vAlign w:val="center"/>
          </w:tcPr>
          <w:p w14:paraId="383A7C2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25F2F72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tcBorders>
              <w:top w:val="nil"/>
            </w:tcBorders>
            <w:noWrap w:val="0"/>
            <w:vAlign w:val="center"/>
          </w:tcPr>
          <w:p w14:paraId="50F6CB6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6D07FB4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tcBorders>
              <w:top w:val="nil"/>
            </w:tcBorders>
            <w:noWrap w:val="0"/>
            <w:vAlign w:val="center"/>
          </w:tcPr>
          <w:p w14:paraId="62C45CC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tcBorders>
              <w:top w:val="nil"/>
            </w:tcBorders>
            <w:noWrap w:val="0"/>
            <w:vAlign w:val="center"/>
          </w:tcPr>
          <w:p w14:paraId="1CE4242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402F30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30D9A13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56C5D07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6B85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F7D8C0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tcBorders>
              <w:top w:val="nil"/>
            </w:tcBorders>
            <w:noWrap w:val="0"/>
            <w:vAlign w:val="center"/>
          </w:tcPr>
          <w:p w14:paraId="7DED4C5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6C30B57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tcBorders>
              <w:top w:val="nil"/>
            </w:tcBorders>
            <w:noWrap w:val="0"/>
            <w:vAlign w:val="center"/>
          </w:tcPr>
          <w:p w14:paraId="441EBCE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01F1175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tcBorders>
              <w:top w:val="nil"/>
            </w:tcBorders>
            <w:noWrap w:val="0"/>
            <w:vAlign w:val="center"/>
          </w:tcPr>
          <w:p w14:paraId="691937A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tcBorders>
              <w:top w:val="nil"/>
            </w:tcBorders>
            <w:noWrap w:val="0"/>
            <w:vAlign w:val="center"/>
          </w:tcPr>
          <w:p w14:paraId="02C2505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267D2F1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243D48A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2DE7FEC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0D237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37DA48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noWrap w:val="0"/>
            <w:vAlign w:val="center"/>
          </w:tcPr>
          <w:p w14:paraId="5F57FB8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3E5B41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noWrap w:val="0"/>
            <w:vAlign w:val="center"/>
          </w:tcPr>
          <w:p w14:paraId="27C2370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6E19FE3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noWrap w:val="0"/>
            <w:vAlign w:val="center"/>
          </w:tcPr>
          <w:p w14:paraId="5834F02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noWrap w:val="0"/>
            <w:vAlign w:val="center"/>
          </w:tcPr>
          <w:p w14:paraId="559236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0F206E6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707A40C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6F720C8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18949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1A3927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tcBorders>
              <w:top w:val="nil"/>
            </w:tcBorders>
            <w:noWrap w:val="0"/>
            <w:vAlign w:val="center"/>
          </w:tcPr>
          <w:p w14:paraId="37B499C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7D431FB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tcBorders>
              <w:top w:val="nil"/>
            </w:tcBorders>
            <w:noWrap w:val="0"/>
            <w:vAlign w:val="center"/>
          </w:tcPr>
          <w:p w14:paraId="35CFADE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7241D2F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tcBorders>
              <w:top w:val="nil"/>
            </w:tcBorders>
            <w:noWrap w:val="0"/>
            <w:vAlign w:val="center"/>
          </w:tcPr>
          <w:p w14:paraId="3423ADF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tcBorders>
              <w:top w:val="nil"/>
            </w:tcBorders>
            <w:noWrap w:val="0"/>
            <w:vAlign w:val="center"/>
          </w:tcPr>
          <w:p w14:paraId="174DE64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060D351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6443DAA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728EE24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B7CF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D0A676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noWrap w:val="0"/>
            <w:vAlign w:val="center"/>
          </w:tcPr>
          <w:p w14:paraId="7066F0C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3DE6B95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noWrap w:val="0"/>
            <w:vAlign w:val="center"/>
          </w:tcPr>
          <w:p w14:paraId="5725CE3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78D73B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noWrap w:val="0"/>
            <w:vAlign w:val="center"/>
          </w:tcPr>
          <w:p w14:paraId="78E625C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noWrap w:val="0"/>
            <w:vAlign w:val="center"/>
          </w:tcPr>
          <w:p w14:paraId="6A7F977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0ABC244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3DFA77E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3E1FE14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6732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F5EB32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tcBorders>
              <w:top w:val="nil"/>
            </w:tcBorders>
            <w:noWrap w:val="0"/>
            <w:vAlign w:val="center"/>
          </w:tcPr>
          <w:p w14:paraId="53D6E3A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58FE0FD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tcBorders>
              <w:top w:val="nil"/>
            </w:tcBorders>
            <w:noWrap w:val="0"/>
            <w:vAlign w:val="center"/>
          </w:tcPr>
          <w:p w14:paraId="12FB417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02322F4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tcBorders>
              <w:top w:val="nil"/>
            </w:tcBorders>
            <w:noWrap w:val="0"/>
            <w:vAlign w:val="center"/>
          </w:tcPr>
          <w:p w14:paraId="29DAAAD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tcBorders>
              <w:top w:val="nil"/>
            </w:tcBorders>
            <w:noWrap w:val="0"/>
            <w:vAlign w:val="center"/>
          </w:tcPr>
          <w:p w14:paraId="6BDC233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00C3800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3066EFC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542D864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5690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60539F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tcBorders>
              <w:top w:val="nil"/>
            </w:tcBorders>
            <w:noWrap w:val="0"/>
            <w:vAlign w:val="center"/>
          </w:tcPr>
          <w:p w14:paraId="1082549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5267ADF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tcBorders>
              <w:top w:val="nil"/>
            </w:tcBorders>
            <w:noWrap w:val="0"/>
            <w:vAlign w:val="center"/>
          </w:tcPr>
          <w:p w14:paraId="58EC99A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7728829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tcBorders>
              <w:top w:val="nil"/>
            </w:tcBorders>
            <w:noWrap w:val="0"/>
            <w:vAlign w:val="center"/>
          </w:tcPr>
          <w:p w14:paraId="704B4BC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tcBorders>
              <w:top w:val="nil"/>
            </w:tcBorders>
            <w:noWrap w:val="0"/>
            <w:vAlign w:val="center"/>
          </w:tcPr>
          <w:p w14:paraId="66ACE82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604AFA6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4984A18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6F7989D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C939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CEC48B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noWrap w:val="0"/>
            <w:vAlign w:val="center"/>
          </w:tcPr>
          <w:p w14:paraId="3240CEA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5821CFC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noWrap w:val="0"/>
            <w:vAlign w:val="center"/>
          </w:tcPr>
          <w:p w14:paraId="4EA0501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3D738C2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noWrap w:val="0"/>
            <w:vAlign w:val="center"/>
          </w:tcPr>
          <w:p w14:paraId="15EEAD6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noWrap w:val="0"/>
            <w:vAlign w:val="center"/>
          </w:tcPr>
          <w:p w14:paraId="496B042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4D883EB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203AABC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1C5B98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6268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6B5C58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tcBorders>
              <w:top w:val="nil"/>
            </w:tcBorders>
            <w:noWrap w:val="0"/>
            <w:vAlign w:val="center"/>
          </w:tcPr>
          <w:p w14:paraId="5AA580A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77607EE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tcBorders>
              <w:top w:val="nil"/>
            </w:tcBorders>
            <w:noWrap w:val="0"/>
            <w:vAlign w:val="center"/>
          </w:tcPr>
          <w:p w14:paraId="3A32131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3C65104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tcBorders>
              <w:top w:val="nil"/>
            </w:tcBorders>
            <w:noWrap w:val="0"/>
            <w:vAlign w:val="center"/>
          </w:tcPr>
          <w:p w14:paraId="7A49D6F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tcBorders>
              <w:top w:val="nil"/>
            </w:tcBorders>
            <w:noWrap w:val="0"/>
            <w:vAlign w:val="center"/>
          </w:tcPr>
          <w:p w14:paraId="4CFFE11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tcBorders>
              <w:top w:val="nil"/>
            </w:tcBorders>
            <w:noWrap w:val="0"/>
            <w:vAlign w:val="center"/>
          </w:tcPr>
          <w:p w14:paraId="328E87D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226C424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204488E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939EB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9007BB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843" w:type="dxa"/>
            <w:noWrap w:val="0"/>
            <w:vAlign w:val="center"/>
          </w:tcPr>
          <w:p w14:paraId="14B4E8E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37E1E5E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410" w:type="dxa"/>
            <w:noWrap w:val="0"/>
            <w:vAlign w:val="center"/>
          </w:tcPr>
          <w:p w14:paraId="5F0900E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0BD91D8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560" w:type="dxa"/>
            <w:noWrap w:val="0"/>
            <w:vAlign w:val="center"/>
          </w:tcPr>
          <w:p w14:paraId="0F6697D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2126" w:type="dxa"/>
            <w:noWrap w:val="0"/>
            <w:vAlign w:val="center"/>
          </w:tcPr>
          <w:p w14:paraId="445445C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7" w:type="dxa"/>
            <w:noWrap w:val="0"/>
            <w:vAlign w:val="center"/>
          </w:tcPr>
          <w:p w14:paraId="6FDD6A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3D520EF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1F27D0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bl>
    <w:p w14:paraId="5D95AE7D">
      <w:pPr>
        <w:spacing w:line="240" w:lineRule="auto"/>
        <w:rPr>
          <w:rFonts w:hint="eastAsia" w:ascii="宋体" w:hAnsi="宋体" w:eastAsia="宋体" w:cs="宋体"/>
          <w:b/>
          <w:color w:val="000000"/>
          <w:sz w:val="24"/>
          <w:szCs w:val="24"/>
        </w:rPr>
        <w:sectPr>
          <w:pgSz w:w="16838" w:h="11906" w:orient="landscape"/>
          <w:pgMar w:top="1554" w:right="1418" w:bottom="1531" w:left="1418" w:header="851" w:footer="992" w:gutter="0"/>
          <w:pgNumType w:fmt="decimal"/>
          <w:cols w:space="720" w:num="1"/>
          <w:titlePg/>
          <w:docGrid w:type="linesAndChars" w:linePitch="312" w:charSpace="0"/>
        </w:sectPr>
      </w:pPr>
    </w:p>
    <w:p w14:paraId="7ED6EDCB">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78" w:name="_Toc296891053"/>
      <w:bookmarkStart w:id="979" w:name="_Toc296944564"/>
      <w:bookmarkStart w:id="980" w:name="_Toc267261692"/>
      <w:bookmarkStart w:id="981" w:name="_Toc296891265"/>
      <w:bookmarkStart w:id="982" w:name="_Toc296503225"/>
      <w:bookmarkStart w:id="983" w:name="_Toc296347224"/>
      <w:bookmarkStart w:id="984" w:name="_Toc296346726"/>
      <w:r>
        <w:rPr>
          <w:rFonts w:hint="eastAsia" w:ascii="宋体" w:hAnsi="宋体" w:eastAsia="宋体" w:cs="宋体"/>
          <w:color w:val="000000"/>
          <w:sz w:val="24"/>
          <w:szCs w:val="24"/>
        </w:rPr>
        <w:t>件2：</w:t>
      </w:r>
    </w:p>
    <w:bookmarkEnd w:id="978"/>
    <w:bookmarkEnd w:id="979"/>
    <w:bookmarkEnd w:id="980"/>
    <w:bookmarkEnd w:id="981"/>
    <w:bookmarkEnd w:id="982"/>
    <w:bookmarkEnd w:id="983"/>
    <w:bookmarkEnd w:id="984"/>
    <w:p w14:paraId="3FD2C6C7">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71C04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E83523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276" w:type="dxa"/>
            <w:tcBorders>
              <w:top w:val="single" w:color="auto" w:sz="12" w:space="0"/>
              <w:bottom w:val="double" w:color="auto" w:sz="6" w:space="0"/>
            </w:tcBorders>
            <w:noWrap w:val="0"/>
            <w:vAlign w:val="center"/>
          </w:tcPr>
          <w:p w14:paraId="1FBAE5E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 xml:space="preserve">  材料、</w:t>
            </w:r>
          </w:p>
          <w:p w14:paraId="0A461AB0">
            <w:pPr>
              <w:keepNext/>
              <w:widowControl w:val="0"/>
              <w:adjustRightInd w:val="0"/>
              <w:spacing w:after="0" w:afterLines="0" w:line="240" w:lineRule="auto"/>
              <w:ind w:left="0" w:leftChars="0" w:right="63" w:rightChars="30"/>
              <w:jc w:val="both"/>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设备品种</w:t>
            </w:r>
          </w:p>
        </w:tc>
        <w:tc>
          <w:tcPr>
            <w:tcW w:w="1418" w:type="dxa"/>
            <w:tcBorders>
              <w:top w:val="single" w:color="auto" w:sz="12" w:space="0"/>
              <w:bottom w:val="double" w:color="auto" w:sz="6" w:space="0"/>
            </w:tcBorders>
            <w:noWrap w:val="0"/>
            <w:vAlign w:val="center"/>
          </w:tcPr>
          <w:p w14:paraId="522F7C5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规格型号</w:t>
            </w:r>
          </w:p>
        </w:tc>
        <w:tc>
          <w:tcPr>
            <w:tcW w:w="940" w:type="dxa"/>
            <w:tcBorders>
              <w:top w:val="single" w:color="auto" w:sz="12" w:space="0"/>
              <w:bottom w:val="double" w:color="auto" w:sz="6" w:space="0"/>
            </w:tcBorders>
            <w:noWrap w:val="0"/>
            <w:vAlign w:val="center"/>
          </w:tcPr>
          <w:p w14:paraId="13DC36B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单位</w:t>
            </w:r>
          </w:p>
        </w:tc>
        <w:tc>
          <w:tcPr>
            <w:tcW w:w="851" w:type="dxa"/>
            <w:tcBorders>
              <w:top w:val="single" w:color="auto" w:sz="12" w:space="0"/>
              <w:bottom w:val="double" w:color="auto" w:sz="6" w:space="0"/>
            </w:tcBorders>
            <w:noWrap w:val="0"/>
            <w:vAlign w:val="center"/>
          </w:tcPr>
          <w:p w14:paraId="5093826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数量</w:t>
            </w:r>
          </w:p>
        </w:tc>
        <w:tc>
          <w:tcPr>
            <w:tcW w:w="1044" w:type="dxa"/>
            <w:tcBorders>
              <w:top w:val="single" w:color="auto" w:sz="12" w:space="0"/>
              <w:bottom w:val="double" w:color="auto" w:sz="6" w:space="0"/>
            </w:tcBorders>
            <w:noWrap w:val="0"/>
            <w:vAlign w:val="center"/>
          </w:tcPr>
          <w:p w14:paraId="3C9420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单价（元）</w:t>
            </w:r>
          </w:p>
        </w:tc>
        <w:tc>
          <w:tcPr>
            <w:tcW w:w="992" w:type="dxa"/>
            <w:tcBorders>
              <w:top w:val="single" w:color="auto" w:sz="12" w:space="0"/>
              <w:bottom w:val="double" w:color="auto" w:sz="6" w:space="0"/>
            </w:tcBorders>
            <w:noWrap w:val="0"/>
            <w:vAlign w:val="center"/>
          </w:tcPr>
          <w:p w14:paraId="556D33F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质量等级</w:t>
            </w:r>
          </w:p>
        </w:tc>
        <w:tc>
          <w:tcPr>
            <w:tcW w:w="851" w:type="dxa"/>
            <w:tcBorders>
              <w:top w:val="single" w:color="auto" w:sz="12" w:space="0"/>
              <w:bottom w:val="double" w:color="auto" w:sz="6" w:space="0"/>
            </w:tcBorders>
            <w:noWrap w:val="0"/>
            <w:vAlign w:val="center"/>
          </w:tcPr>
          <w:p w14:paraId="21FBF9B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供应时间</w:t>
            </w:r>
          </w:p>
        </w:tc>
        <w:tc>
          <w:tcPr>
            <w:tcW w:w="1487" w:type="dxa"/>
            <w:tcBorders>
              <w:top w:val="single" w:color="auto" w:sz="12" w:space="0"/>
              <w:bottom w:val="double" w:color="auto" w:sz="6" w:space="0"/>
            </w:tcBorders>
            <w:noWrap w:val="0"/>
            <w:vAlign w:val="center"/>
          </w:tcPr>
          <w:p w14:paraId="5305A34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送达地点</w:t>
            </w:r>
          </w:p>
        </w:tc>
        <w:tc>
          <w:tcPr>
            <w:tcW w:w="992" w:type="dxa"/>
            <w:tcBorders>
              <w:top w:val="single" w:color="auto" w:sz="12" w:space="0"/>
              <w:bottom w:val="double" w:color="auto" w:sz="6" w:space="0"/>
            </w:tcBorders>
            <w:noWrap w:val="0"/>
            <w:vAlign w:val="center"/>
          </w:tcPr>
          <w:p w14:paraId="0345533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备注</w:t>
            </w:r>
          </w:p>
        </w:tc>
      </w:tr>
      <w:tr w14:paraId="797A94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0B64132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tcBorders>
              <w:top w:val="double" w:color="auto" w:sz="6" w:space="0"/>
              <w:bottom w:val="single" w:color="auto" w:sz="6" w:space="0"/>
            </w:tcBorders>
            <w:noWrap w:val="0"/>
            <w:vAlign w:val="center"/>
          </w:tcPr>
          <w:p w14:paraId="6B71DE2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double" w:color="auto" w:sz="6" w:space="0"/>
              <w:bottom w:val="single" w:color="auto" w:sz="6" w:space="0"/>
            </w:tcBorders>
            <w:noWrap w:val="0"/>
            <w:vAlign w:val="center"/>
          </w:tcPr>
          <w:p w14:paraId="07751E8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tcBorders>
              <w:top w:val="double" w:color="auto" w:sz="6" w:space="0"/>
              <w:bottom w:val="single" w:color="auto" w:sz="6" w:space="0"/>
            </w:tcBorders>
            <w:noWrap w:val="0"/>
            <w:vAlign w:val="center"/>
          </w:tcPr>
          <w:p w14:paraId="5BD85F5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double" w:color="auto" w:sz="6" w:space="0"/>
              <w:bottom w:val="single" w:color="auto" w:sz="6" w:space="0"/>
            </w:tcBorders>
            <w:noWrap w:val="0"/>
            <w:vAlign w:val="center"/>
          </w:tcPr>
          <w:p w14:paraId="05361AE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tcBorders>
              <w:top w:val="double" w:color="auto" w:sz="6" w:space="0"/>
              <w:bottom w:val="single" w:color="auto" w:sz="6" w:space="0"/>
            </w:tcBorders>
            <w:noWrap w:val="0"/>
            <w:vAlign w:val="center"/>
          </w:tcPr>
          <w:p w14:paraId="2F83D6D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tcBorders>
              <w:top w:val="double" w:color="auto" w:sz="6" w:space="0"/>
              <w:bottom w:val="single" w:color="auto" w:sz="6" w:space="0"/>
            </w:tcBorders>
            <w:noWrap w:val="0"/>
            <w:vAlign w:val="center"/>
          </w:tcPr>
          <w:p w14:paraId="5937A1B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double" w:color="auto" w:sz="6" w:space="0"/>
              <w:bottom w:val="single" w:color="auto" w:sz="6" w:space="0"/>
            </w:tcBorders>
            <w:noWrap w:val="0"/>
            <w:vAlign w:val="center"/>
          </w:tcPr>
          <w:p w14:paraId="5A39401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tcBorders>
              <w:top w:val="double" w:color="auto" w:sz="6" w:space="0"/>
              <w:bottom w:val="single" w:color="auto" w:sz="6" w:space="0"/>
            </w:tcBorders>
            <w:noWrap w:val="0"/>
            <w:vAlign w:val="center"/>
          </w:tcPr>
          <w:p w14:paraId="727F89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tcBorders>
              <w:top w:val="double" w:color="auto" w:sz="6" w:space="0"/>
              <w:bottom w:val="single" w:color="auto" w:sz="6" w:space="0"/>
            </w:tcBorders>
            <w:noWrap w:val="0"/>
            <w:vAlign w:val="center"/>
          </w:tcPr>
          <w:p w14:paraId="5D92556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03BC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471B0DA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tcBorders>
              <w:top w:val="nil"/>
            </w:tcBorders>
            <w:noWrap w:val="0"/>
            <w:vAlign w:val="center"/>
          </w:tcPr>
          <w:p w14:paraId="281B4E1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nil"/>
            </w:tcBorders>
            <w:noWrap w:val="0"/>
            <w:vAlign w:val="center"/>
          </w:tcPr>
          <w:p w14:paraId="716A023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tcBorders>
              <w:top w:val="nil"/>
            </w:tcBorders>
            <w:noWrap w:val="0"/>
            <w:vAlign w:val="center"/>
          </w:tcPr>
          <w:p w14:paraId="2EDCA9A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4ED4BB2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tcBorders>
              <w:top w:val="nil"/>
            </w:tcBorders>
            <w:noWrap w:val="0"/>
            <w:vAlign w:val="center"/>
          </w:tcPr>
          <w:p w14:paraId="789BFAE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tcBorders>
              <w:top w:val="nil"/>
            </w:tcBorders>
            <w:noWrap w:val="0"/>
            <w:vAlign w:val="center"/>
          </w:tcPr>
          <w:p w14:paraId="0C9AE8B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center"/>
          </w:tcPr>
          <w:p w14:paraId="6955F70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tcBorders>
              <w:top w:val="nil"/>
            </w:tcBorders>
            <w:noWrap w:val="0"/>
            <w:vAlign w:val="center"/>
          </w:tcPr>
          <w:p w14:paraId="739C3C3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tcBorders>
              <w:top w:val="nil"/>
            </w:tcBorders>
            <w:noWrap w:val="0"/>
            <w:vAlign w:val="center"/>
          </w:tcPr>
          <w:p w14:paraId="321E446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9B99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7DE1BD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6D25C91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05D5AF1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noWrap w:val="0"/>
            <w:vAlign w:val="center"/>
          </w:tcPr>
          <w:p w14:paraId="564CCF5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526C4F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noWrap w:val="0"/>
            <w:vAlign w:val="center"/>
          </w:tcPr>
          <w:p w14:paraId="5FDD923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40611FB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7A03B96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noWrap w:val="0"/>
            <w:vAlign w:val="center"/>
          </w:tcPr>
          <w:p w14:paraId="4C6ABAB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1EBD980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EF6B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5A01E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23FDB84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3FB7DEF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noWrap w:val="0"/>
            <w:vAlign w:val="center"/>
          </w:tcPr>
          <w:p w14:paraId="2C83693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1F4432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noWrap w:val="0"/>
            <w:vAlign w:val="center"/>
          </w:tcPr>
          <w:p w14:paraId="4869A9A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35D1C26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629CF56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noWrap w:val="0"/>
            <w:vAlign w:val="center"/>
          </w:tcPr>
          <w:p w14:paraId="06EFA98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2417A49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C07E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93624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55AE6C6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490D96B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noWrap w:val="0"/>
            <w:vAlign w:val="center"/>
          </w:tcPr>
          <w:p w14:paraId="073D845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6BDADBC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noWrap w:val="0"/>
            <w:vAlign w:val="center"/>
          </w:tcPr>
          <w:p w14:paraId="06437FF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01EA5A3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6877060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noWrap w:val="0"/>
            <w:vAlign w:val="center"/>
          </w:tcPr>
          <w:p w14:paraId="0CDC9BB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3D2BAA8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33642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5915F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309BCE7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1F80BB5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noWrap w:val="0"/>
            <w:vAlign w:val="center"/>
          </w:tcPr>
          <w:p w14:paraId="7619BC8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42BA4BB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noWrap w:val="0"/>
            <w:vAlign w:val="center"/>
          </w:tcPr>
          <w:p w14:paraId="330D9E1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0B5A297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2AA7885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noWrap w:val="0"/>
            <w:vAlign w:val="center"/>
          </w:tcPr>
          <w:p w14:paraId="13BB2AA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33C67A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B384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F9041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44F4665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4B51B5F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noWrap w:val="0"/>
            <w:vAlign w:val="center"/>
          </w:tcPr>
          <w:p w14:paraId="3B4A915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06EAB43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noWrap w:val="0"/>
            <w:vAlign w:val="center"/>
          </w:tcPr>
          <w:p w14:paraId="671CF31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042E381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5B2DCA4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noWrap w:val="0"/>
            <w:vAlign w:val="center"/>
          </w:tcPr>
          <w:p w14:paraId="4A79EDC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402867E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903E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CCDF2E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00694BC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406B1C6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noWrap w:val="0"/>
            <w:vAlign w:val="center"/>
          </w:tcPr>
          <w:p w14:paraId="428E28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1C7EBE3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noWrap w:val="0"/>
            <w:vAlign w:val="center"/>
          </w:tcPr>
          <w:p w14:paraId="7D2B1C8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26EB966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73DCF0F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noWrap w:val="0"/>
            <w:vAlign w:val="center"/>
          </w:tcPr>
          <w:p w14:paraId="61FD0B7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6D7FAE6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7392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CA9C59">
            <w:pPr>
              <w:spacing w:line="240" w:lineRule="auto"/>
              <w:jc w:val="center"/>
              <w:rPr>
                <w:rFonts w:hint="eastAsia" w:ascii="宋体" w:hAnsi="宋体" w:eastAsia="宋体" w:cs="宋体"/>
                <w:color w:val="000000"/>
                <w:sz w:val="24"/>
                <w:szCs w:val="24"/>
              </w:rPr>
            </w:pPr>
          </w:p>
        </w:tc>
        <w:tc>
          <w:tcPr>
            <w:tcW w:w="1276" w:type="dxa"/>
            <w:noWrap w:val="0"/>
            <w:vAlign w:val="center"/>
          </w:tcPr>
          <w:p w14:paraId="2FD60C6D">
            <w:pPr>
              <w:spacing w:line="240" w:lineRule="auto"/>
              <w:jc w:val="center"/>
              <w:rPr>
                <w:rFonts w:hint="eastAsia" w:ascii="宋体" w:hAnsi="宋体" w:eastAsia="宋体" w:cs="宋体"/>
                <w:color w:val="000000"/>
                <w:sz w:val="24"/>
                <w:szCs w:val="24"/>
              </w:rPr>
            </w:pPr>
          </w:p>
        </w:tc>
        <w:tc>
          <w:tcPr>
            <w:tcW w:w="1418" w:type="dxa"/>
            <w:noWrap w:val="0"/>
            <w:vAlign w:val="center"/>
          </w:tcPr>
          <w:p w14:paraId="071AD16B">
            <w:pPr>
              <w:spacing w:line="240" w:lineRule="auto"/>
              <w:jc w:val="center"/>
              <w:rPr>
                <w:rFonts w:hint="eastAsia" w:ascii="宋体" w:hAnsi="宋体" w:eastAsia="宋体" w:cs="宋体"/>
                <w:color w:val="000000"/>
                <w:sz w:val="24"/>
                <w:szCs w:val="24"/>
              </w:rPr>
            </w:pPr>
          </w:p>
        </w:tc>
        <w:tc>
          <w:tcPr>
            <w:tcW w:w="940" w:type="dxa"/>
            <w:noWrap w:val="0"/>
            <w:vAlign w:val="center"/>
          </w:tcPr>
          <w:p w14:paraId="4845826E">
            <w:pPr>
              <w:spacing w:line="240" w:lineRule="auto"/>
              <w:jc w:val="center"/>
              <w:rPr>
                <w:rFonts w:hint="eastAsia" w:ascii="宋体" w:hAnsi="宋体" w:eastAsia="宋体" w:cs="宋体"/>
                <w:color w:val="000000"/>
                <w:sz w:val="24"/>
                <w:szCs w:val="24"/>
              </w:rPr>
            </w:pPr>
          </w:p>
        </w:tc>
        <w:tc>
          <w:tcPr>
            <w:tcW w:w="851" w:type="dxa"/>
            <w:noWrap w:val="0"/>
            <w:vAlign w:val="center"/>
          </w:tcPr>
          <w:p w14:paraId="06E96E88">
            <w:pPr>
              <w:spacing w:line="240" w:lineRule="auto"/>
              <w:jc w:val="center"/>
              <w:rPr>
                <w:rFonts w:hint="eastAsia" w:ascii="宋体" w:hAnsi="宋体" w:eastAsia="宋体" w:cs="宋体"/>
                <w:color w:val="000000"/>
                <w:sz w:val="24"/>
                <w:szCs w:val="24"/>
              </w:rPr>
            </w:pPr>
          </w:p>
        </w:tc>
        <w:tc>
          <w:tcPr>
            <w:tcW w:w="1044" w:type="dxa"/>
            <w:noWrap w:val="0"/>
            <w:vAlign w:val="center"/>
          </w:tcPr>
          <w:p w14:paraId="638DBDAD">
            <w:pPr>
              <w:spacing w:line="240" w:lineRule="auto"/>
              <w:jc w:val="center"/>
              <w:rPr>
                <w:rFonts w:hint="eastAsia" w:ascii="宋体" w:hAnsi="宋体" w:eastAsia="宋体" w:cs="宋体"/>
                <w:color w:val="000000"/>
                <w:sz w:val="24"/>
                <w:szCs w:val="24"/>
              </w:rPr>
            </w:pPr>
          </w:p>
        </w:tc>
        <w:tc>
          <w:tcPr>
            <w:tcW w:w="992" w:type="dxa"/>
            <w:noWrap w:val="0"/>
            <w:vAlign w:val="center"/>
          </w:tcPr>
          <w:p w14:paraId="397443EB">
            <w:pPr>
              <w:spacing w:line="240" w:lineRule="auto"/>
              <w:jc w:val="center"/>
              <w:rPr>
                <w:rFonts w:hint="eastAsia" w:ascii="宋体" w:hAnsi="宋体" w:eastAsia="宋体" w:cs="宋体"/>
                <w:color w:val="000000"/>
                <w:sz w:val="24"/>
                <w:szCs w:val="24"/>
              </w:rPr>
            </w:pPr>
          </w:p>
        </w:tc>
        <w:tc>
          <w:tcPr>
            <w:tcW w:w="851" w:type="dxa"/>
            <w:noWrap w:val="0"/>
            <w:vAlign w:val="center"/>
          </w:tcPr>
          <w:p w14:paraId="0DD25C5B">
            <w:pPr>
              <w:spacing w:line="240" w:lineRule="auto"/>
              <w:jc w:val="center"/>
              <w:rPr>
                <w:rFonts w:hint="eastAsia" w:ascii="宋体" w:hAnsi="宋体" w:eastAsia="宋体" w:cs="宋体"/>
                <w:color w:val="000000"/>
                <w:sz w:val="24"/>
                <w:szCs w:val="24"/>
              </w:rPr>
            </w:pPr>
          </w:p>
        </w:tc>
        <w:tc>
          <w:tcPr>
            <w:tcW w:w="1487" w:type="dxa"/>
            <w:noWrap w:val="0"/>
            <w:vAlign w:val="center"/>
          </w:tcPr>
          <w:p w14:paraId="0AF7AB2A">
            <w:pPr>
              <w:spacing w:line="240" w:lineRule="auto"/>
              <w:jc w:val="center"/>
              <w:rPr>
                <w:rFonts w:hint="eastAsia" w:ascii="宋体" w:hAnsi="宋体" w:eastAsia="宋体" w:cs="宋体"/>
                <w:color w:val="000000"/>
                <w:sz w:val="24"/>
                <w:szCs w:val="24"/>
              </w:rPr>
            </w:pPr>
          </w:p>
        </w:tc>
        <w:tc>
          <w:tcPr>
            <w:tcW w:w="992" w:type="dxa"/>
            <w:noWrap w:val="0"/>
            <w:vAlign w:val="center"/>
          </w:tcPr>
          <w:p w14:paraId="1A428C80">
            <w:pPr>
              <w:spacing w:line="240" w:lineRule="auto"/>
              <w:jc w:val="center"/>
              <w:rPr>
                <w:rFonts w:hint="eastAsia" w:ascii="宋体" w:hAnsi="宋体" w:eastAsia="宋体" w:cs="宋体"/>
                <w:color w:val="000000"/>
                <w:sz w:val="24"/>
                <w:szCs w:val="24"/>
              </w:rPr>
            </w:pPr>
          </w:p>
        </w:tc>
      </w:tr>
      <w:tr w14:paraId="68B08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69CF5C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41472A7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304DBF1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40" w:type="dxa"/>
            <w:noWrap w:val="0"/>
            <w:vAlign w:val="center"/>
          </w:tcPr>
          <w:p w14:paraId="493DB41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0792113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44" w:type="dxa"/>
            <w:noWrap w:val="0"/>
            <w:vAlign w:val="center"/>
          </w:tcPr>
          <w:p w14:paraId="7049DFE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18BAA1D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center"/>
          </w:tcPr>
          <w:p w14:paraId="15D231F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7" w:type="dxa"/>
            <w:noWrap w:val="0"/>
            <w:vAlign w:val="center"/>
          </w:tcPr>
          <w:p w14:paraId="37F6AC5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92" w:type="dxa"/>
            <w:noWrap w:val="0"/>
            <w:vAlign w:val="center"/>
          </w:tcPr>
          <w:p w14:paraId="56CC8C2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45EB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F8D625">
            <w:pPr>
              <w:spacing w:line="240" w:lineRule="auto"/>
              <w:jc w:val="center"/>
              <w:rPr>
                <w:rFonts w:hint="eastAsia" w:ascii="宋体" w:hAnsi="宋体" w:eastAsia="宋体" w:cs="宋体"/>
                <w:color w:val="000000"/>
                <w:sz w:val="24"/>
                <w:szCs w:val="24"/>
              </w:rPr>
            </w:pPr>
          </w:p>
        </w:tc>
        <w:tc>
          <w:tcPr>
            <w:tcW w:w="1276" w:type="dxa"/>
            <w:noWrap w:val="0"/>
            <w:vAlign w:val="center"/>
          </w:tcPr>
          <w:p w14:paraId="025E47EA">
            <w:pPr>
              <w:spacing w:line="240" w:lineRule="auto"/>
              <w:jc w:val="center"/>
              <w:rPr>
                <w:rFonts w:hint="eastAsia" w:ascii="宋体" w:hAnsi="宋体" w:eastAsia="宋体" w:cs="宋体"/>
                <w:color w:val="000000"/>
                <w:sz w:val="24"/>
                <w:szCs w:val="24"/>
              </w:rPr>
            </w:pPr>
          </w:p>
        </w:tc>
        <w:tc>
          <w:tcPr>
            <w:tcW w:w="1418" w:type="dxa"/>
            <w:noWrap w:val="0"/>
            <w:vAlign w:val="center"/>
          </w:tcPr>
          <w:p w14:paraId="0B583C5D">
            <w:pPr>
              <w:spacing w:line="240" w:lineRule="auto"/>
              <w:jc w:val="center"/>
              <w:rPr>
                <w:rFonts w:hint="eastAsia" w:ascii="宋体" w:hAnsi="宋体" w:eastAsia="宋体" w:cs="宋体"/>
                <w:color w:val="000000"/>
                <w:sz w:val="24"/>
                <w:szCs w:val="24"/>
              </w:rPr>
            </w:pPr>
          </w:p>
        </w:tc>
        <w:tc>
          <w:tcPr>
            <w:tcW w:w="940" w:type="dxa"/>
            <w:noWrap w:val="0"/>
            <w:vAlign w:val="center"/>
          </w:tcPr>
          <w:p w14:paraId="00EA2FD2">
            <w:pPr>
              <w:spacing w:line="240" w:lineRule="auto"/>
              <w:jc w:val="center"/>
              <w:rPr>
                <w:rFonts w:hint="eastAsia" w:ascii="宋体" w:hAnsi="宋体" w:eastAsia="宋体" w:cs="宋体"/>
                <w:color w:val="000000"/>
                <w:sz w:val="24"/>
                <w:szCs w:val="24"/>
              </w:rPr>
            </w:pPr>
          </w:p>
        </w:tc>
        <w:tc>
          <w:tcPr>
            <w:tcW w:w="851" w:type="dxa"/>
            <w:noWrap w:val="0"/>
            <w:vAlign w:val="center"/>
          </w:tcPr>
          <w:p w14:paraId="775994DD">
            <w:pPr>
              <w:spacing w:line="240" w:lineRule="auto"/>
              <w:jc w:val="center"/>
              <w:rPr>
                <w:rFonts w:hint="eastAsia" w:ascii="宋体" w:hAnsi="宋体" w:eastAsia="宋体" w:cs="宋体"/>
                <w:color w:val="000000"/>
                <w:sz w:val="24"/>
                <w:szCs w:val="24"/>
              </w:rPr>
            </w:pPr>
          </w:p>
        </w:tc>
        <w:tc>
          <w:tcPr>
            <w:tcW w:w="1044" w:type="dxa"/>
            <w:noWrap w:val="0"/>
            <w:vAlign w:val="center"/>
          </w:tcPr>
          <w:p w14:paraId="6644CA56">
            <w:pPr>
              <w:spacing w:line="240" w:lineRule="auto"/>
              <w:jc w:val="center"/>
              <w:rPr>
                <w:rFonts w:hint="eastAsia" w:ascii="宋体" w:hAnsi="宋体" w:eastAsia="宋体" w:cs="宋体"/>
                <w:color w:val="000000"/>
                <w:sz w:val="24"/>
                <w:szCs w:val="24"/>
              </w:rPr>
            </w:pPr>
          </w:p>
        </w:tc>
        <w:tc>
          <w:tcPr>
            <w:tcW w:w="992" w:type="dxa"/>
            <w:noWrap w:val="0"/>
            <w:vAlign w:val="center"/>
          </w:tcPr>
          <w:p w14:paraId="74C71875">
            <w:pPr>
              <w:spacing w:line="240" w:lineRule="auto"/>
              <w:jc w:val="center"/>
              <w:rPr>
                <w:rFonts w:hint="eastAsia" w:ascii="宋体" w:hAnsi="宋体" w:eastAsia="宋体" w:cs="宋体"/>
                <w:color w:val="000000"/>
                <w:sz w:val="24"/>
                <w:szCs w:val="24"/>
              </w:rPr>
            </w:pPr>
          </w:p>
        </w:tc>
        <w:tc>
          <w:tcPr>
            <w:tcW w:w="851" w:type="dxa"/>
            <w:noWrap w:val="0"/>
            <w:vAlign w:val="center"/>
          </w:tcPr>
          <w:p w14:paraId="1B1E77A7">
            <w:pPr>
              <w:spacing w:line="240" w:lineRule="auto"/>
              <w:jc w:val="center"/>
              <w:rPr>
                <w:rFonts w:hint="eastAsia" w:ascii="宋体" w:hAnsi="宋体" w:eastAsia="宋体" w:cs="宋体"/>
                <w:color w:val="000000"/>
                <w:sz w:val="24"/>
                <w:szCs w:val="24"/>
              </w:rPr>
            </w:pPr>
          </w:p>
        </w:tc>
        <w:tc>
          <w:tcPr>
            <w:tcW w:w="1487" w:type="dxa"/>
            <w:noWrap w:val="0"/>
            <w:vAlign w:val="center"/>
          </w:tcPr>
          <w:p w14:paraId="4B3065C6">
            <w:pPr>
              <w:spacing w:line="240" w:lineRule="auto"/>
              <w:jc w:val="center"/>
              <w:rPr>
                <w:rFonts w:hint="eastAsia" w:ascii="宋体" w:hAnsi="宋体" w:eastAsia="宋体" w:cs="宋体"/>
                <w:color w:val="000000"/>
                <w:sz w:val="24"/>
                <w:szCs w:val="24"/>
              </w:rPr>
            </w:pPr>
          </w:p>
        </w:tc>
        <w:tc>
          <w:tcPr>
            <w:tcW w:w="992" w:type="dxa"/>
            <w:noWrap w:val="0"/>
            <w:vAlign w:val="center"/>
          </w:tcPr>
          <w:p w14:paraId="07012819">
            <w:pPr>
              <w:spacing w:line="240" w:lineRule="auto"/>
              <w:jc w:val="center"/>
              <w:rPr>
                <w:rFonts w:hint="eastAsia" w:ascii="宋体" w:hAnsi="宋体" w:eastAsia="宋体" w:cs="宋体"/>
                <w:color w:val="000000"/>
                <w:sz w:val="24"/>
                <w:szCs w:val="24"/>
              </w:rPr>
            </w:pPr>
          </w:p>
        </w:tc>
      </w:tr>
      <w:tr w14:paraId="00AA9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0742CF5">
            <w:pPr>
              <w:spacing w:line="240" w:lineRule="auto"/>
              <w:jc w:val="center"/>
              <w:rPr>
                <w:rFonts w:hint="eastAsia" w:ascii="宋体" w:hAnsi="宋体" w:eastAsia="宋体" w:cs="宋体"/>
                <w:color w:val="000000"/>
                <w:sz w:val="24"/>
                <w:szCs w:val="24"/>
              </w:rPr>
            </w:pPr>
          </w:p>
        </w:tc>
        <w:tc>
          <w:tcPr>
            <w:tcW w:w="1276" w:type="dxa"/>
            <w:noWrap w:val="0"/>
            <w:vAlign w:val="center"/>
          </w:tcPr>
          <w:p w14:paraId="0C6A9DFB">
            <w:pPr>
              <w:spacing w:line="240" w:lineRule="auto"/>
              <w:jc w:val="center"/>
              <w:rPr>
                <w:rFonts w:hint="eastAsia" w:ascii="宋体" w:hAnsi="宋体" w:eastAsia="宋体" w:cs="宋体"/>
                <w:color w:val="000000"/>
                <w:sz w:val="24"/>
                <w:szCs w:val="24"/>
              </w:rPr>
            </w:pPr>
          </w:p>
        </w:tc>
        <w:tc>
          <w:tcPr>
            <w:tcW w:w="1418" w:type="dxa"/>
            <w:noWrap w:val="0"/>
            <w:vAlign w:val="center"/>
          </w:tcPr>
          <w:p w14:paraId="3BF8A13E">
            <w:pPr>
              <w:spacing w:line="240" w:lineRule="auto"/>
              <w:jc w:val="center"/>
              <w:rPr>
                <w:rFonts w:hint="eastAsia" w:ascii="宋体" w:hAnsi="宋体" w:eastAsia="宋体" w:cs="宋体"/>
                <w:color w:val="000000"/>
                <w:sz w:val="24"/>
                <w:szCs w:val="24"/>
              </w:rPr>
            </w:pPr>
          </w:p>
        </w:tc>
        <w:tc>
          <w:tcPr>
            <w:tcW w:w="940" w:type="dxa"/>
            <w:noWrap w:val="0"/>
            <w:vAlign w:val="center"/>
          </w:tcPr>
          <w:p w14:paraId="15E08CD2">
            <w:pPr>
              <w:spacing w:line="240" w:lineRule="auto"/>
              <w:jc w:val="center"/>
              <w:rPr>
                <w:rFonts w:hint="eastAsia" w:ascii="宋体" w:hAnsi="宋体" w:eastAsia="宋体" w:cs="宋体"/>
                <w:color w:val="000000"/>
                <w:sz w:val="24"/>
                <w:szCs w:val="24"/>
              </w:rPr>
            </w:pPr>
          </w:p>
        </w:tc>
        <w:tc>
          <w:tcPr>
            <w:tcW w:w="851" w:type="dxa"/>
            <w:noWrap w:val="0"/>
            <w:vAlign w:val="center"/>
          </w:tcPr>
          <w:p w14:paraId="57F11E5B">
            <w:pPr>
              <w:spacing w:line="240" w:lineRule="auto"/>
              <w:jc w:val="center"/>
              <w:rPr>
                <w:rFonts w:hint="eastAsia" w:ascii="宋体" w:hAnsi="宋体" w:eastAsia="宋体" w:cs="宋体"/>
                <w:color w:val="000000"/>
                <w:sz w:val="24"/>
                <w:szCs w:val="24"/>
              </w:rPr>
            </w:pPr>
          </w:p>
        </w:tc>
        <w:tc>
          <w:tcPr>
            <w:tcW w:w="1044" w:type="dxa"/>
            <w:noWrap w:val="0"/>
            <w:vAlign w:val="center"/>
          </w:tcPr>
          <w:p w14:paraId="0ED3109E">
            <w:pPr>
              <w:spacing w:line="240" w:lineRule="auto"/>
              <w:jc w:val="center"/>
              <w:rPr>
                <w:rFonts w:hint="eastAsia" w:ascii="宋体" w:hAnsi="宋体" w:eastAsia="宋体" w:cs="宋体"/>
                <w:color w:val="000000"/>
                <w:sz w:val="24"/>
                <w:szCs w:val="24"/>
              </w:rPr>
            </w:pPr>
          </w:p>
        </w:tc>
        <w:tc>
          <w:tcPr>
            <w:tcW w:w="992" w:type="dxa"/>
            <w:noWrap w:val="0"/>
            <w:vAlign w:val="center"/>
          </w:tcPr>
          <w:p w14:paraId="1504462A">
            <w:pPr>
              <w:spacing w:line="240" w:lineRule="auto"/>
              <w:jc w:val="center"/>
              <w:rPr>
                <w:rFonts w:hint="eastAsia" w:ascii="宋体" w:hAnsi="宋体" w:eastAsia="宋体" w:cs="宋体"/>
                <w:color w:val="000000"/>
                <w:sz w:val="24"/>
                <w:szCs w:val="24"/>
              </w:rPr>
            </w:pPr>
          </w:p>
        </w:tc>
        <w:tc>
          <w:tcPr>
            <w:tcW w:w="851" w:type="dxa"/>
            <w:noWrap w:val="0"/>
            <w:vAlign w:val="center"/>
          </w:tcPr>
          <w:p w14:paraId="6EF31B15">
            <w:pPr>
              <w:spacing w:line="240" w:lineRule="auto"/>
              <w:jc w:val="center"/>
              <w:rPr>
                <w:rFonts w:hint="eastAsia" w:ascii="宋体" w:hAnsi="宋体" w:eastAsia="宋体" w:cs="宋体"/>
                <w:color w:val="000000"/>
                <w:sz w:val="24"/>
                <w:szCs w:val="24"/>
              </w:rPr>
            </w:pPr>
          </w:p>
        </w:tc>
        <w:tc>
          <w:tcPr>
            <w:tcW w:w="1487" w:type="dxa"/>
            <w:noWrap w:val="0"/>
            <w:vAlign w:val="center"/>
          </w:tcPr>
          <w:p w14:paraId="746ADE6A">
            <w:pPr>
              <w:spacing w:line="240" w:lineRule="auto"/>
              <w:jc w:val="center"/>
              <w:rPr>
                <w:rFonts w:hint="eastAsia" w:ascii="宋体" w:hAnsi="宋体" w:eastAsia="宋体" w:cs="宋体"/>
                <w:color w:val="000000"/>
                <w:sz w:val="24"/>
                <w:szCs w:val="24"/>
              </w:rPr>
            </w:pPr>
          </w:p>
        </w:tc>
        <w:tc>
          <w:tcPr>
            <w:tcW w:w="992" w:type="dxa"/>
            <w:noWrap w:val="0"/>
            <w:vAlign w:val="center"/>
          </w:tcPr>
          <w:p w14:paraId="7AB7E8AD">
            <w:pPr>
              <w:spacing w:line="240" w:lineRule="auto"/>
              <w:jc w:val="center"/>
              <w:rPr>
                <w:rFonts w:hint="eastAsia" w:ascii="宋体" w:hAnsi="宋体" w:eastAsia="宋体" w:cs="宋体"/>
                <w:color w:val="000000"/>
                <w:sz w:val="24"/>
                <w:szCs w:val="24"/>
              </w:rPr>
            </w:pPr>
          </w:p>
        </w:tc>
      </w:tr>
      <w:tr w14:paraId="55C10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78DFD52">
            <w:pPr>
              <w:spacing w:line="240" w:lineRule="auto"/>
              <w:jc w:val="center"/>
              <w:rPr>
                <w:rFonts w:hint="eastAsia" w:ascii="宋体" w:hAnsi="宋体" w:eastAsia="宋体" w:cs="宋体"/>
                <w:color w:val="000000"/>
                <w:sz w:val="24"/>
                <w:szCs w:val="24"/>
              </w:rPr>
            </w:pPr>
          </w:p>
        </w:tc>
        <w:tc>
          <w:tcPr>
            <w:tcW w:w="1276" w:type="dxa"/>
            <w:noWrap w:val="0"/>
            <w:vAlign w:val="center"/>
          </w:tcPr>
          <w:p w14:paraId="398AB607">
            <w:pPr>
              <w:spacing w:line="240" w:lineRule="auto"/>
              <w:jc w:val="center"/>
              <w:rPr>
                <w:rFonts w:hint="eastAsia" w:ascii="宋体" w:hAnsi="宋体" w:eastAsia="宋体" w:cs="宋体"/>
                <w:color w:val="000000"/>
                <w:sz w:val="24"/>
                <w:szCs w:val="24"/>
              </w:rPr>
            </w:pPr>
          </w:p>
        </w:tc>
        <w:tc>
          <w:tcPr>
            <w:tcW w:w="1418" w:type="dxa"/>
            <w:noWrap w:val="0"/>
            <w:vAlign w:val="center"/>
          </w:tcPr>
          <w:p w14:paraId="0241E9AD">
            <w:pPr>
              <w:spacing w:line="240" w:lineRule="auto"/>
              <w:jc w:val="center"/>
              <w:rPr>
                <w:rFonts w:hint="eastAsia" w:ascii="宋体" w:hAnsi="宋体" w:eastAsia="宋体" w:cs="宋体"/>
                <w:color w:val="000000"/>
                <w:sz w:val="24"/>
                <w:szCs w:val="24"/>
              </w:rPr>
            </w:pPr>
          </w:p>
        </w:tc>
        <w:tc>
          <w:tcPr>
            <w:tcW w:w="940" w:type="dxa"/>
            <w:noWrap w:val="0"/>
            <w:vAlign w:val="center"/>
          </w:tcPr>
          <w:p w14:paraId="6618CDD8">
            <w:pPr>
              <w:spacing w:line="240" w:lineRule="auto"/>
              <w:jc w:val="center"/>
              <w:rPr>
                <w:rFonts w:hint="eastAsia" w:ascii="宋体" w:hAnsi="宋体" w:eastAsia="宋体" w:cs="宋体"/>
                <w:color w:val="000000"/>
                <w:sz w:val="24"/>
                <w:szCs w:val="24"/>
              </w:rPr>
            </w:pPr>
          </w:p>
        </w:tc>
        <w:tc>
          <w:tcPr>
            <w:tcW w:w="851" w:type="dxa"/>
            <w:noWrap w:val="0"/>
            <w:vAlign w:val="center"/>
          </w:tcPr>
          <w:p w14:paraId="471BC2BE">
            <w:pPr>
              <w:spacing w:line="240" w:lineRule="auto"/>
              <w:jc w:val="center"/>
              <w:rPr>
                <w:rFonts w:hint="eastAsia" w:ascii="宋体" w:hAnsi="宋体" w:eastAsia="宋体" w:cs="宋体"/>
                <w:color w:val="000000"/>
                <w:sz w:val="24"/>
                <w:szCs w:val="24"/>
              </w:rPr>
            </w:pPr>
          </w:p>
        </w:tc>
        <w:tc>
          <w:tcPr>
            <w:tcW w:w="1044" w:type="dxa"/>
            <w:noWrap w:val="0"/>
            <w:vAlign w:val="center"/>
          </w:tcPr>
          <w:p w14:paraId="7FF92B64">
            <w:pPr>
              <w:spacing w:line="240" w:lineRule="auto"/>
              <w:jc w:val="center"/>
              <w:rPr>
                <w:rFonts w:hint="eastAsia" w:ascii="宋体" w:hAnsi="宋体" w:eastAsia="宋体" w:cs="宋体"/>
                <w:color w:val="000000"/>
                <w:sz w:val="24"/>
                <w:szCs w:val="24"/>
              </w:rPr>
            </w:pPr>
          </w:p>
        </w:tc>
        <w:tc>
          <w:tcPr>
            <w:tcW w:w="992" w:type="dxa"/>
            <w:noWrap w:val="0"/>
            <w:vAlign w:val="center"/>
          </w:tcPr>
          <w:p w14:paraId="0DA5E78C">
            <w:pPr>
              <w:spacing w:line="240" w:lineRule="auto"/>
              <w:jc w:val="center"/>
              <w:rPr>
                <w:rFonts w:hint="eastAsia" w:ascii="宋体" w:hAnsi="宋体" w:eastAsia="宋体" w:cs="宋体"/>
                <w:color w:val="000000"/>
                <w:sz w:val="24"/>
                <w:szCs w:val="24"/>
              </w:rPr>
            </w:pPr>
          </w:p>
        </w:tc>
        <w:tc>
          <w:tcPr>
            <w:tcW w:w="851" w:type="dxa"/>
            <w:noWrap w:val="0"/>
            <w:vAlign w:val="center"/>
          </w:tcPr>
          <w:p w14:paraId="5FFB5A1D">
            <w:pPr>
              <w:spacing w:line="240" w:lineRule="auto"/>
              <w:jc w:val="center"/>
              <w:rPr>
                <w:rFonts w:hint="eastAsia" w:ascii="宋体" w:hAnsi="宋体" w:eastAsia="宋体" w:cs="宋体"/>
                <w:color w:val="000000"/>
                <w:sz w:val="24"/>
                <w:szCs w:val="24"/>
              </w:rPr>
            </w:pPr>
          </w:p>
        </w:tc>
        <w:tc>
          <w:tcPr>
            <w:tcW w:w="1487" w:type="dxa"/>
            <w:noWrap w:val="0"/>
            <w:vAlign w:val="center"/>
          </w:tcPr>
          <w:p w14:paraId="69C09CC0">
            <w:pPr>
              <w:spacing w:line="240" w:lineRule="auto"/>
              <w:jc w:val="center"/>
              <w:rPr>
                <w:rFonts w:hint="eastAsia" w:ascii="宋体" w:hAnsi="宋体" w:eastAsia="宋体" w:cs="宋体"/>
                <w:color w:val="000000"/>
                <w:sz w:val="24"/>
                <w:szCs w:val="24"/>
              </w:rPr>
            </w:pPr>
          </w:p>
        </w:tc>
        <w:tc>
          <w:tcPr>
            <w:tcW w:w="992" w:type="dxa"/>
            <w:noWrap w:val="0"/>
            <w:vAlign w:val="center"/>
          </w:tcPr>
          <w:p w14:paraId="3848A708">
            <w:pPr>
              <w:spacing w:line="240" w:lineRule="auto"/>
              <w:jc w:val="center"/>
              <w:rPr>
                <w:rFonts w:hint="eastAsia" w:ascii="宋体" w:hAnsi="宋体" w:eastAsia="宋体" w:cs="宋体"/>
                <w:color w:val="000000"/>
                <w:sz w:val="24"/>
                <w:szCs w:val="24"/>
              </w:rPr>
            </w:pPr>
          </w:p>
        </w:tc>
      </w:tr>
      <w:tr w14:paraId="33A937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B96BB6">
            <w:pPr>
              <w:spacing w:line="240" w:lineRule="auto"/>
              <w:jc w:val="center"/>
              <w:rPr>
                <w:rFonts w:hint="eastAsia" w:ascii="宋体" w:hAnsi="宋体" w:eastAsia="宋体" w:cs="宋体"/>
                <w:color w:val="000000"/>
                <w:sz w:val="24"/>
                <w:szCs w:val="24"/>
              </w:rPr>
            </w:pPr>
          </w:p>
        </w:tc>
        <w:tc>
          <w:tcPr>
            <w:tcW w:w="1276" w:type="dxa"/>
            <w:noWrap w:val="0"/>
            <w:vAlign w:val="center"/>
          </w:tcPr>
          <w:p w14:paraId="345961B4">
            <w:pPr>
              <w:spacing w:line="240" w:lineRule="auto"/>
              <w:jc w:val="center"/>
              <w:rPr>
                <w:rFonts w:hint="eastAsia" w:ascii="宋体" w:hAnsi="宋体" w:eastAsia="宋体" w:cs="宋体"/>
                <w:color w:val="000000"/>
                <w:sz w:val="24"/>
                <w:szCs w:val="24"/>
              </w:rPr>
            </w:pPr>
          </w:p>
        </w:tc>
        <w:tc>
          <w:tcPr>
            <w:tcW w:w="1418" w:type="dxa"/>
            <w:noWrap w:val="0"/>
            <w:vAlign w:val="center"/>
          </w:tcPr>
          <w:p w14:paraId="3946A0BB">
            <w:pPr>
              <w:spacing w:line="240" w:lineRule="auto"/>
              <w:jc w:val="center"/>
              <w:rPr>
                <w:rFonts w:hint="eastAsia" w:ascii="宋体" w:hAnsi="宋体" w:eastAsia="宋体" w:cs="宋体"/>
                <w:color w:val="000000"/>
                <w:sz w:val="24"/>
                <w:szCs w:val="24"/>
              </w:rPr>
            </w:pPr>
          </w:p>
        </w:tc>
        <w:tc>
          <w:tcPr>
            <w:tcW w:w="940" w:type="dxa"/>
            <w:noWrap w:val="0"/>
            <w:vAlign w:val="center"/>
          </w:tcPr>
          <w:p w14:paraId="0D140A53">
            <w:pPr>
              <w:spacing w:line="240" w:lineRule="auto"/>
              <w:jc w:val="center"/>
              <w:rPr>
                <w:rFonts w:hint="eastAsia" w:ascii="宋体" w:hAnsi="宋体" w:eastAsia="宋体" w:cs="宋体"/>
                <w:color w:val="000000"/>
                <w:sz w:val="24"/>
                <w:szCs w:val="24"/>
              </w:rPr>
            </w:pPr>
          </w:p>
        </w:tc>
        <w:tc>
          <w:tcPr>
            <w:tcW w:w="851" w:type="dxa"/>
            <w:noWrap w:val="0"/>
            <w:vAlign w:val="center"/>
          </w:tcPr>
          <w:p w14:paraId="0616740F">
            <w:pPr>
              <w:spacing w:line="240" w:lineRule="auto"/>
              <w:jc w:val="center"/>
              <w:rPr>
                <w:rFonts w:hint="eastAsia" w:ascii="宋体" w:hAnsi="宋体" w:eastAsia="宋体" w:cs="宋体"/>
                <w:color w:val="000000"/>
                <w:sz w:val="24"/>
                <w:szCs w:val="24"/>
              </w:rPr>
            </w:pPr>
          </w:p>
        </w:tc>
        <w:tc>
          <w:tcPr>
            <w:tcW w:w="1044" w:type="dxa"/>
            <w:noWrap w:val="0"/>
            <w:vAlign w:val="center"/>
          </w:tcPr>
          <w:p w14:paraId="65462F98">
            <w:pPr>
              <w:spacing w:line="240" w:lineRule="auto"/>
              <w:jc w:val="center"/>
              <w:rPr>
                <w:rFonts w:hint="eastAsia" w:ascii="宋体" w:hAnsi="宋体" w:eastAsia="宋体" w:cs="宋体"/>
                <w:color w:val="000000"/>
                <w:sz w:val="24"/>
                <w:szCs w:val="24"/>
              </w:rPr>
            </w:pPr>
          </w:p>
        </w:tc>
        <w:tc>
          <w:tcPr>
            <w:tcW w:w="992" w:type="dxa"/>
            <w:noWrap w:val="0"/>
            <w:vAlign w:val="center"/>
          </w:tcPr>
          <w:p w14:paraId="5C00FA39">
            <w:pPr>
              <w:spacing w:line="240" w:lineRule="auto"/>
              <w:jc w:val="center"/>
              <w:rPr>
                <w:rFonts w:hint="eastAsia" w:ascii="宋体" w:hAnsi="宋体" w:eastAsia="宋体" w:cs="宋体"/>
                <w:color w:val="000000"/>
                <w:sz w:val="24"/>
                <w:szCs w:val="24"/>
              </w:rPr>
            </w:pPr>
          </w:p>
        </w:tc>
        <w:tc>
          <w:tcPr>
            <w:tcW w:w="851" w:type="dxa"/>
            <w:noWrap w:val="0"/>
            <w:vAlign w:val="center"/>
          </w:tcPr>
          <w:p w14:paraId="626B0852">
            <w:pPr>
              <w:spacing w:line="240" w:lineRule="auto"/>
              <w:jc w:val="center"/>
              <w:rPr>
                <w:rFonts w:hint="eastAsia" w:ascii="宋体" w:hAnsi="宋体" w:eastAsia="宋体" w:cs="宋体"/>
                <w:color w:val="000000"/>
                <w:sz w:val="24"/>
                <w:szCs w:val="24"/>
              </w:rPr>
            </w:pPr>
          </w:p>
        </w:tc>
        <w:tc>
          <w:tcPr>
            <w:tcW w:w="1487" w:type="dxa"/>
            <w:noWrap w:val="0"/>
            <w:vAlign w:val="center"/>
          </w:tcPr>
          <w:p w14:paraId="774A2001">
            <w:pPr>
              <w:spacing w:line="240" w:lineRule="auto"/>
              <w:jc w:val="center"/>
              <w:rPr>
                <w:rFonts w:hint="eastAsia" w:ascii="宋体" w:hAnsi="宋体" w:eastAsia="宋体" w:cs="宋体"/>
                <w:color w:val="000000"/>
                <w:sz w:val="24"/>
                <w:szCs w:val="24"/>
              </w:rPr>
            </w:pPr>
          </w:p>
        </w:tc>
        <w:tc>
          <w:tcPr>
            <w:tcW w:w="992" w:type="dxa"/>
            <w:noWrap w:val="0"/>
            <w:vAlign w:val="center"/>
          </w:tcPr>
          <w:p w14:paraId="18FF94EC">
            <w:pPr>
              <w:spacing w:line="240" w:lineRule="auto"/>
              <w:jc w:val="center"/>
              <w:rPr>
                <w:rFonts w:hint="eastAsia" w:ascii="宋体" w:hAnsi="宋体" w:eastAsia="宋体" w:cs="宋体"/>
                <w:color w:val="000000"/>
                <w:sz w:val="24"/>
                <w:szCs w:val="24"/>
              </w:rPr>
            </w:pPr>
          </w:p>
        </w:tc>
      </w:tr>
      <w:tr w14:paraId="6CE31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B1B92E">
            <w:pPr>
              <w:spacing w:line="240" w:lineRule="auto"/>
              <w:jc w:val="center"/>
              <w:rPr>
                <w:rFonts w:hint="eastAsia" w:ascii="宋体" w:hAnsi="宋体" w:eastAsia="宋体" w:cs="宋体"/>
                <w:color w:val="000000"/>
                <w:sz w:val="24"/>
                <w:szCs w:val="24"/>
              </w:rPr>
            </w:pPr>
          </w:p>
        </w:tc>
        <w:tc>
          <w:tcPr>
            <w:tcW w:w="1276" w:type="dxa"/>
            <w:noWrap w:val="0"/>
            <w:vAlign w:val="center"/>
          </w:tcPr>
          <w:p w14:paraId="13E68F60">
            <w:pPr>
              <w:spacing w:line="240" w:lineRule="auto"/>
              <w:jc w:val="center"/>
              <w:rPr>
                <w:rFonts w:hint="eastAsia" w:ascii="宋体" w:hAnsi="宋体" w:eastAsia="宋体" w:cs="宋体"/>
                <w:color w:val="000000"/>
                <w:sz w:val="24"/>
                <w:szCs w:val="24"/>
              </w:rPr>
            </w:pPr>
          </w:p>
        </w:tc>
        <w:tc>
          <w:tcPr>
            <w:tcW w:w="1418" w:type="dxa"/>
            <w:noWrap w:val="0"/>
            <w:vAlign w:val="center"/>
          </w:tcPr>
          <w:p w14:paraId="39BB9BC9">
            <w:pPr>
              <w:spacing w:line="240" w:lineRule="auto"/>
              <w:jc w:val="center"/>
              <w:rPr>
                <w:rFonts w:hint="eastAsia" w:ascii="宋体" w:hAnsi="宋体" w:eastAsia="宋体" w:cs="宋体"/>
                <w:color w:val="000000"/>
                <w:sz w:val="24"/>
                <w:szCs w:val="24"/>
              </w:rPr>
            </w:pPr>
          </w:p>
        </w:tc>
        <w:tc>
          <w:tcPr>
            <w:tcW w:w="940" w:type="dxa"/>
            <w:noWrap w:val="0"/>
            <w:vAlign w:val="center"/>
          </w:tcPr>
          <w:p w14:paraId="7E3761DA">
            <w:pPr>
              <w:spacing w:line="240" w:lineRule="auto"/>
              <w:jc w:val="center"/>
              <w:rPr>
                <w:rFonts w:hint="eastAsia" w:ascii="宋体" w:hAnsi="宋体" w:eastAsia="宋体" w:cs="宋体"/>
                <w:color w:val="000000"/>
                <w:sz w:val="24"/>
                <w:szCs w:val="24"/>
              </w:rPr>
            </w:pPr>
          </w:p>
        </w:tc>
        <w:tc>
          <w:tcPr>
            <w:tcW w:w="851" w:type="dxa"/>
            <w:noWrap w:val="0"/>
            <w:vAlign w:val="center"/>
          </w:tcPr>
          <w:p w14:paraId="6508AFC4">
            <w:pPr>
              <w:spacing w:line="240" w:lineRule="auto"/>
              <w:jc w:val="center"/>
              <w:rPr>
                <w:rFonts w:hint="eastAsia" w:ascii="宋体" w:hAnsi="宋体" w:eastAsia="宋体" w:cs="宋体"/>
                <w:color w:val="000000"/>
                <w:sz w:val="24"/>
                <w:szCs w:val="24"/>
              </w:rPr>
            </w:pPr>
          </w:p>
        </w:tc>
        <w:tc>
          <w:tcPr>
            <w:tcW w:w="1044" w:type="dxa"/>
            <w:noWrap w:val="0"/>
            <w:vAlign w:val="center"/>
          </w:tcPr>
          <w:p w14:paraId="601C4F59">
            <w:pPr>
              <w:spacing w:line="240" w:lineRule="auto"/>
              <w:jc w:val="center"/>
              <w:rPr>
                <w:rFonts w:hint="eastAsia" w:ascii="宋体" w:hAnsi="宋体" w:eastAsia="宋体" w:cs="宋体"/>
                <w:color w:val="000000"/>
                <w:sz w:val="24"/>
                <w:szCs w:val="24"/>
              </w:rPr>
            </w:pPr>
          </w:p>
        </w:tc>
        <w:tc>
          <w:tcPr>
            <w:tcW w:w="992" w:type="dxa"/>
            <w:noWrap w:val="0"/>
            <w:vAlign w:val="center"/>
          </w:tcPr>
          <w:p w14:paraId="432F8011">
            <w:pPr>
              <w:spacing w:line="240" w:lineRule="auto"/>
              <w:jc w:val="center"/>
              <w:rPr>
                <w:rFonts w:hint="eastAsia" w:ascii="宋体" w:hAnsi="宋体" w:eastAsia="宋体" w:cs="宋体"/>
                <w:color w:val="000000"/>
                <w:sz w:val="24"/>
                <w:szCs w:val="24"/>
              </w:rPr>
            </w:pPr>
          </w:p>
        </w:tc>
        <w:tc>
          <w:tcPr>
            <w:tcW w:w="851" w:type="dxa"/>
            <w:noWrap w:val="0"/>
            <w:vAlign w:val="center"/>
          </w:tcPr>
          <w:p w14:paraId="25571B91">
            <w:pPr>
              <w:spacing w:line="240" w:lineRule="auto"/>
              <w:jc w:val="center"/>
              <w:rPr>
                <w:rFonts w:hint="eastAsia" w:ascii="宋体" w:hAnsi="宋体" w:eastAsia="宋体" w:cs="宋体"/>
                <w:color w:val="000000"/>
                <w:sz w:val="24"/>
                <w:szCs w:val="24"/>
              </w:rPr>
            </w:pPr>
          </w:p>
        </w:tc>
        <w:tc>
          <w:tcPr>
            <w:tcW w:w="1487" w:type="dxa"/>
            <w:noWrap w:val="0"/>
            <w:vAlign w:val="center"/>
          </w:tcPr>
          <w:p w14:paraId="0AFD59A7">
            <w:pPr>
              <w:spacing w:line="240" w:lineRule="auto"/>
              <w:jc w:val="center"/>
              <w:rPr>
                <w:rFonts w:hint="eastAsia" w:ascii="宋体" w:hAnsi="宋体" w:eastAsia="宋体" w:cs="宋体"/>
                <w:color w:val="000000"/>
                <w:sz w:val="24"/>
                <w:szCs w:val="24"/>
              </w:rPr>
            </w:pPr>
          </w:p>
        </w:tc>
        <w:tc>
          <w:tcPr>
            <w:tcW w:w="992" w:type="dxa"/>
            <w:noWrap w:val="0"/>
            <w:vAlign w:val="center"/>
          </w:tcPr>
          <w:p w14:paraId="246847DE">
            <w:pPr>
              <w:spacing w:line="240" w:lineRule="auto"/>
              <w:jc w:val="center"/>
              <w:rPr>
                <w:rFonts w:hint="eastAsia" w:ascii="宋体" w:hAnsi="宋体" w:eastAsia="宋体" w:cs="宋体"/>
                <w:color w:val="000000"/>
                <w:sz w:val="24"/>
                <w:szCs w:val="24"/>
              </w:rPr>
            </w:pPr>
          </w:p>
        </w:tc>
      </w:tr>
      <w:tr w14:paraId="7B3432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C1DAEE">
            <w:pPr>
              <w:spacing w:line="240" w:lineRule="auto"/>
              <w:jc w:val="center"/>
              <w:rPr>
                <w:rFonts w:hint="eastAsia" w:ascii="宋体" w:hAnsi="宋体" w:eastAsia="宋体" w:cs="宋体"/>
                <w:color w:val="000000"/>
                <w:sz w:val="24"/>
                <w:szCs w:val="24"/>
              </w:rPr>
            </w:pPr>
          </w:p>
        </w:tc>
        <w:tc>
          <w:tcPr>
            <w:tcW w:w="1276" w:type="dxa"/>
            <w:noWrap w:val="0"/>
            <w:vAlign w:val="center"/>
          </w:tcPr>
          <w:p w14:paraId="50C9F06B">
            <w:pPr>
              <w:spacing w:line="240" w:lineRule="auto"/>
              <w:jc w:val="center"/>
              <w:rPr>
                <w:rFonts w:hint="eastAsia" w:ascii="宋体" w:hAnsi="宋体" w:eastAsia="宋体" w:cs="宋体"/>
                <w:color w:val="000000"/>
                <w:sz w:val="24"/>
                <w:szCs w:val="24"/>
              </w:rPr>
            </w:pPr>
          </w:p>
        </w:tc>
        <w:tc>
          <w:tcPr>
            <w:tcW w:w="1418" w:type="dxa"/>
            <w:noWrap w:val="0"/>
            <w:vAlign w:val="center"/>
          </w:tcPr>
          <w:p w14:paraId="36109281">
            <w:pPr>
              <w:spacing w:line="240" w:lineRule="auto"/>
              <w:jc w:val="center"/>
              <w:rPr>
                <w:rFonts w:hint="eastAsia" w:ascii="宋体" w:hAnsi="宋体" w:eastAsia="宋体" w:cs="宋体"/>
                <w:color w:val="000000"/>
                <w:sz w:val="24"/>
                <w:szCs w:val="24"/>
              </w:rPr>
            </w:pPr>
          </w:p>
        </w:tc>
        <w:tc>
          <w:tcPr>
            <w:tcW w:w="940" w:type="dxa"/>
            <w:noWrap w:val="0"/>
            <w:vAlign w:val="center"/>
          </w:tcPr>
          <w:p w14:paraId="0E77F1BE">
            <w:pPr>
              <w:spacing w:line="240" w:lineRule="auto"/>
              <w:jc w:val="center"/>
              <w:rPr>
                <w:rFonts w:hint="eastAsia" w:ascii="宋体" w:hAnsi="宋体" w:eastAsia="宋体" w:cs="宋体"/>
                <w:color w:val="000000"/>
                <w:sz w:val="24"/>
                <w:szCs w:val="24"/>
              </w:rPr>
            </w:pPr>
          </w:p>
        </w:tc>
        <w:tc>
          <w:tcPr>
            <w:tcW w:w="851" w:type="dxa"/>
            <w:noWrap w:val="0"/>
            <w:vAlign w:val="center"/>
          </w:tcPr>
          <w:p w14:paraId="601A1C83">
            <w:pPr>
              <w:spacing w:line="240" w:lineRule="auto"/>
              <w:jc w:val="center"/>
              <w:rPr>
                <w:rFonts w:hint="eastAsia" w:ascii="宋体" w:hAnsi="宋体" w:eastAsia="宋体" w:cs="宋体"/>
                <w:color w:val="000000"/>
                <w:sz w:val="24"/>
                <w:szCs w:val="24"/>
              </w:rPr>
            </w:pPr>
          </w:p>
        </w:tc>
        <w:tc>
          <w:tcPr>
            <w:tcW w:w="1044" w:type="dxa"/>
            <w:noWrap w:val="0"/>
            <w:vAlign w:val="center"/>
          </w:tcPr>
          <w:p w14:paraId="3134CC0A">
            <w:pPr>
              <w:spacing w:line="240" w:lineRule="auto"/>
              <w:jc w:val="center"/>
              <w:rPr>
                <w:rFonts w:hint="eastAsia" w:ascii="宋体" w:hAnsi="宋体" w:eastAsia="宋体" w:cs="宋体"/>
                <w:color w:val="000000"/>
                <w:sz w:val="24"/>
                <w:szCs w:val="24"/>
              </w:rPr>
            </w:pPr>
          </w:p>
        </w:tc>
        <w:tc>
          <w:tcPr>
            <w:tcW w:w="992" w:type="dxa"/>
            <w:noWrap w:val="0"/>
            <w:vAlign w:val="center"/>
          </w:tcPr>
          <w:p w14:paraId="1A9AEB3B">
            <w:pPr>
              <w:spacing w:line="240" w:lineRule="auto"/>
              <w:jc w:val="center"/>
              <w:rPr>
                <w:rFonts w:hint="eastAsia" w:ascii="宋体" w:hAnsi="宋体" w:eastAsia="宋体" w:cs="宋体"/>
                <w:color w:val="000000"/>
                <w:sz w:val="24"/>
                <w:szCs w:val="24"/>
              </w:rPr>
            </w:pPr>
          </w:p>
        </w:tc>
        <w:tc>
          <w:tcPr>
            <w:tcW w:w="851" w:type="dxa"/>
            <w:noWrap w:val="0"/>
            <w:vAlign w:val="center"/>
          </w:tcPr>
          <w:p w14:paraId="425A4C8C">
            <w:pPr>
              <w:spacing w:line="240" w:lineRule="auto"/>
              <w:jc w:val="center"/>
              <w:rPr>
                <w:rFonts w:hint="eastAsia" w:ascii="宋体" w:hAnsi="宋体" w:eastAsia="宋体" w:cs="宋体"/>
                <w:color w:val="000000"/>
                <w:sz w:val="24"/>
                <w:szCs w:val="24"/>
              </w:rPr>
            </w:pPr>
          </w:p>
        </w:tc>
        <w:tc>
          <w:tcPr>
            <w:tcW w:w="1487" w:type="dxa"/>
            <w:noWrap w:val="0"/>
            <w:vAlign w:val="center"/>
          </w:tcPr>
          <w:p w14:paraId="5D73615A">
            <w:pPr>
              <w:spacing w:line="240" w:lineRule="auto"/>
              <w:jc w:val="center"/>
              <w:rPr>
                <w:rFonts w:hint="eastAsia" w:ascii="宋体" w:hAnsi="宋体" w:eastAsia="宋体" w:cs="宋体"/>
                <w:color w:val="000000"/>
                <w:sz w:val="24"/>
                <w:szCs w:val="24"/>
              </w:rPr>
            </w:pPr>
          </w:p>
        </w:tc>
        <w:tc>
          <w:tcPr>
            <w:tcW w:w="992" w:type="dxa"/>
            <w:noWrap w:val="0"/>
            <w:vAlign w:val="center"/>
          </w:tcPr>
          <w:p w14:paraId="3CA6353F">
            <w:pPr>
              <w:spacing w:line="240" w:lineRule="auto"/>
              <w:jc w:val="center"/>
              <w:rPr>
                <w:rFonts w:hint="eastAsia" w:ascii="宋体" w:hAnsi="宋体" w:eastAsia="宋体" w:cs="宋体"/>
                <w:color w:val="000000"/>
                <w:sz w:val="24"/>
                <w:szCs w:val="24"/>
              </w:rPr>
            </w:pPr>
          </w:p>
        </w:tc>
      </w:tr>
      <w:tr w14:paraId="13BBB4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6501B5">
            <w:pPr>
              <w:spacing w:line="240" w:lineRule="auto"/>
              <w:jc w:val="center"/>
              <w:rPr>
                <w:rFonts w:hint="eastAsia" w:ascii="宋体" w:hAnsi="宋体" w:eastAsia="宋体" w:cs="宋体"/>
                <w:color w:val="000000"/>
                <w:sz w:val="24"/>
                <w:szCs w:val="24"/>
              </w:rPr>
            </w:pPr>
          </w:p>
        </w:tc>
        <w:tc>
          <w:tcPr>
            <w:tcW w:w="1276" w:type="dxa"/>
            <w:noWrap w:val="0"/>
            <w:vAlign w:val="center"/>
          </w:tcPr>
          <w:p w14:paraId="1DCC03C1">
            <w:pPr>
              <w:spacing w:line="240" w:lineRule="auto"/>
              <w:jc w:val="center"/>
              <w:rPr>
                <w:rFonts w:hint="eastAsia" w:ascii="宋体" w:hAnsi="宋体" w:eastAsia="宋体" w:cs="宋体"/>
                <w:color w:val="000000"/>
                <w:sz w:val="24"/>
                <w:szCs w:val="24"/>
              </w:rPr>
            </w:pPr>
          </w:p>
        </w:tc>
        <w:tc>
          <w:tcPr>
            <w:tcW w:w="1418" w:type="dxa"/>
            <w:noWrap w:val="0"/>
            <w:vAlign w:val="center"/>
          </w:tcPr>
          <w:p w14:paraId="392AE25C">
            <w:pPr>
              <w:spacing w:line="240" w:lineRule="auto"/>
              <w:jc w:val="center"/>
              <w:rPr>
                <w:rFonts w:hint="eastAsia" w:ascii="宋体" w:hAnsi="宋体" w:eastAsia="宋体" w:cs="宋体"/>
                <w:color w:val="000000"/>
                <w:sz w:val="24"/>
                <w:szCs w:val="24"/>
              </w:rPr>
            </w:pPr>
          </w:p>
        </w:tc>
        <w:tc>
          <w:tcPr>
            <w:tcW w:w="940" w:type="dxa"/>
            <w:noWrap w:val="0"/>
            <w:vAlign w:val="center"/>
          </w:tcPr>
          <w:p w14:paraId="5B7D6602">
            <w:pPr>
              <w:spacing w:line="240" w:lineRule="auto"/>
              <w:jc w:val="center"/>
              <w:rPr>
                <w:rFonts w:hint="eastAsia" w:ascii="宋体" w:hAnsi="宋体" w:eastAsia="宋体" w:cs="宋体"/>
                <w:color w:val="000000"/>
                <w:sz w:val="24"/>
                <w:szCs w:val="24"/>
              </w:rPr>
            </w:pPr>
          </w:p>
        </w:tc>
        <w:tc>
          <w:tcPr>
            <w:tcW w:w="851" w:type="dxa"/>
            <w:noWrap w:val="0"/>
            <w:vAlign w:val="center"/>
          </w:tcPr>
          <w:p w14:paraId="1CC6D1B2">
            <w:pPr>
              <w:spacing w:line="240" w:lineRule="auto"/>
              <w:jc w:val="center"/>
              <w:rPr>
                <w:rFonts w:hint="eastAsia" w:ascii="宋体" w:hAnsi="宋体" w:eastAsia="宋体" w:cs="宋体"/>
                <w:color w:val="000000"/>
                <w:sz w:val="24"/>
                <w:szCs w:val="24"/>
              </w:rPr>
            </w:pPr>
          </w:p>
        </w:tc>
        <w:tc>
          <w:tcPr>
            <w:tcW w:w="1044" w:type="dxa"/>
            <w:noWrap w:val="0"/>
            <w:vAlign w:val="center"/>
          </w:tcPr>
          <w:p w14:paraId="1735BB36">
            <w:pPr>
              <w:spacing w:line="240" w:lineRule="auto"/>
              <w:jc w:val="center"/>
              <w:rPr>
                <w:rFonts w:hint="eastAsia" w:ascii="宋体" w:hAnsi="宋体" w:eastAsia="宋体" w:cs="宋体"/>
                <w:color w:val="000000"/>
                <w:sz w:val="24"/>
                <w:szCs w:val="24"/>
              </w:rPr>
            </w:pPr>
          </w:p>
        </w:tc>
        <w:tc>
          <w:tcPr>
            <w:tcW w:w="992" w:type="dxa"/>
            <w:noWrap w:val="0"/>
            <w:vAlign w:val="center"/>
          </w:tcPr>
          <w:p w14:paraId="416A96DA">
            <w:pPr>
              <w:spacing w:line="240" w:lineRule="auto"/>
              <w:jc w:val="center"/>
              <w:rPr>
                <w:rFonts w:hint="eastAsia" w:ascii="宋体" w:hAnsi="宋体" w:eastAsia="宋体" w:cs="宋体"/>
                <w:color w:val="000000"/>
                <w:sz w:val="24"/>
                <w:szCs w:val="24"/>
              </w:rPr>
            </w:pPr>
          </w:p>
        </w:tc>
        <w:tc>
          <w:tcPr>
            <w:tcW w:w="851" w:type="dxa"/>
            <w:noWrap w:val="0"/>
            <w:vAlign w:val="center"/>
          </w:tcPr>
          <w:p w14:paraId="74D74698">
            <w:pPr>
              <w:spacing w:line="240" w:lineRule="auto"/>
              <w:jc w:val="center"/>
              <w:rPr>
                <w:rFonts w:hint="eastAsia" w:ascii="宋体" w:hAnsi="宋体" w:eastAsia="宋体" w:cs="宋体"/>
                <w:color w:val="000000"/>
                <w:sz w:val="24"/>
                <w:szCs w:val="24"/>
              </w:rPr>
            </w:pPr>
          </w:p>
        </w:tc>
        <w:tc>
          <w:tcPr>
            <w:tcW w:w="1487" w:type="dxa"/>
            <w:noWrap w:val="0"/>
            <w:vAlign w:val="center"/>
          </w:tcPr>
          <w:p w14:paraId="2C2A82D7">
            <w:pPr>
              <w:spacing w:line="240" w:lineRule="auto"/>
              <w:jc w:val="center"/>
              <w:rPr>
                <w:rFonts w:hint="eastAsia" w:ascii="宋体" w:hAnsi="宋体" w:eastAsia="宋体" w:cs="宋体"/>
                <w:color w:val="000000"/>
                <w:sz w:val="24"/>
                <w:szCs w:val="24"/>
              </w:rPr>
            </w:pPr>
          </w:p>
        </w:tc>
        <w:tc>
          <w:tcPr>
            <w:tcW w:w="992" w:type="dxa"/>
            <w:noWrap w:val="0"/>
            <w:vAlign w:val="center"/>
          </w:tcPr>
          <w:p w14:paraId="56CB3B3C">
            <w:pPr>
              <w:spacing w:line="240" w:lineRule="auto"/>
              <w:jc w:val="center"/>
              <w:rPr>
                <w:rFonts w:hint="eastAsia" w:ascii="宋体" w:hAnsi="宋体" w:eastAsia="宋体" w:cs="宋体"/>
                <w:color w:val="000000"/>
                <w:sz w:val="24"/>
                <w:szCs w:val="24"/>
              </w:rPr>
            </w:pPr>
          </w:p>
        </w:tc>
      </w:tr>
      <w:tr w14:paraId="43202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5D9F9E">
            <w:pPr>
              <w:spacing w:line="240" w:lineRule="auto"/>
              <w:jc w:val="center"/>
              <w:rPr>
                <w:rFonts w:hint="eastAsia" w:ascii="宋体" w:hAnsi="宋体" w:eastAsia="宋体" w:cs="宋体"/>
                <w:color w:val="000000"/>
                <w:sz w:val="24"/>
                <w:szCs w:val="24"/>
              </w:rPr>
            </w:pPr>
          </w:p>
        </w:tc>
        <w:tc>
          <w:tcPr>
            <w:tcW w:w="1276" w:type="dxa"/>
            <w:noWrap w:val="0"/>
            <w:vAlign w:val="center"/>
          </w:tcPr>
          <w:p w14:paraId="34C3AFB4">
            <w:pPr>
              <w:spacing w:line="240" w:lineRule="auto"/>
              <w:jc w:val="center"/>
              <w:rPr>
                <w:rFonts w:hint="eastAsia" w:ascii="宋体" w:hAnsi="宋体" w:eastAsia="宋体" w:cs="宋体"/>
                <w:color w:val="000000"/>
                <w:sz w:val="24"/>
                <w:szCs w:val="24"/>
              </w:rPr>
            </w:pPr>
          </w:p>
        </w:tc>
        <w:tc>
          <w:tcPr>
            <w:tcW w:w="1418" w:type="dxa"/>
            <w:noWrap w:val="0"/>
            <w:vAlign w:val="center"/>
          </w:tcPr>
          <w:p w14:paraId="1985A003">
            <w:pPr>
              <w:spacing w:line="240" w:lineRule="auto"/>
              <w:jc w:val="center"/>
              <w:rPr>
                <w:rFonts w:hint="eastAsia" w:ascii="宋体" w:hAnsi="宋体" w:eastAsia="宋体" w:cs="宋体"/>
                <w:color w:val="000000"/>
                <w:sz w:val="24"/>
                <w:szCs w:val="24"/>
              </w:rPr>
            </w:pPr>
          </w:p>
        </w:tc>
        <w:tc>
          <w:tcPr>
            <w:tcW w:w="940" w:type="dxa"/>
            <w:noWrap w:val="0"/>
            <w:vAlign w:val="center"/>
          </w:tcPr>
          <w:p w14:paraId="53CC6C7B">
            <w:pPr>
              <w:spacing w:line="240" w:lineRule="auto"/>
              <w:jc w:val="center"/>
              <w:rPr>
                <w:rFonts w:hint="eastAsia" w:ascii="宋体" w:hAnsi="宋体" w:eastAsia="宋体" w:cs="宋体"/>
                <w:color w:val="000000"/>
                <w:sz w:val="24"/>
                <w:szCs w:val="24"/>
              </w:rPr>
            </w:pPr>
          </w:p>
        </w:tc>
        <w:tc>
          <w:tcPr>
            <w:tcW w:w="851" w:type="dxa"/>
            <w:noWrap w:val="0"/>
            <w:vAlign w:val="center"/>
          </w:tcPr>
          <w:p w14:paraId="781FCE8A">
            <w:pPr>
              <w:spacing w:line="240" w:lineRule="auto"/>
              <w:jc w:val="center"/>
              <w:rPr>
                <w:rFonts w:hint="eastAsia" w:ascii="宋体" w:hAnsi="宋体" w:eastAsia="宋体" w:cs="宋体"/>
                <w:color w:val="000000"/>
                <w:sz w:val="24"/>
                <w:szCs w:val="24"/>
              </w:rPr>
            </w:pPr>
          </w:p>
        </w:tc>
        <w:tc>
          <w:tcPr>
            <w:tcW w:w="1044" w:type="dxa"/>
            <w:noWrap w:val="0"/>
            <w:vAlign w:val="center"/>
          </w:tcPr>
          <w:p w14:paraId="5BFEBF94">
            <w:pPr>
              <w:spacing w:line="240" w:lineRule="auto"/>
              <w:jc w:val="center"/>
              <w:rPr>
                <w:rFonts w:hint="eastAsia" w:ascii="宋体" w:hAnsi="宋体" w:eastAsia="宋体" w:cs="宋体"/>
                <w:color w:val="000000"/>
                <w:sz w:val="24"/>
                <w:szCs w:val="24"/>
              </w:rPr>
            </w:pPr>
          </w:p>
        </w:tc>
        <w:tc>
          <w:tcPr>
            <w:tcW w:w="992" w:type="dxa"/>
            <w:noWrap w:val="0"/>
            <w:vAlign w:val="center"/>
          </w:tcPr>
          <w:p w14:paraId="7AE6D2A1">
            <w:pPr>
              <w:spacing w:line="240" w:lineRule="auto"/>
              <w:jc w:val="center"/>
              <w:rPr>
                <w:rFonts w:hint="eastAsia" w:ascii="宋体" w:hAnsi="宋体" w:eastAsia="宋体" w:cs="宋体"/>
                <w:color w:val="000000"/>
                <w:sz w:val="24"/>
                <w:szCs w:val="24"/>
              </w:rPr>
            </w:pPr>
          </w:p>
        </w:tc>
        <w:tc>
          <w:tcPr>
            <w:tcW w:w="851" w:type="dxa"/>
            <w:noWrap w:val="0"/>
            <w:vAlign w:val="center"/>
          </w:tcPr>
          <w:p w14:paraId="202D796B">
            <w:pPr>
              <w:spacing w:line="240" w:lineRule="auto"/>
              <w:jc w:val="center"/>
              <w:rPr>
                <w:rFonts w:hint="eastAsia" w:ascii="宋体" w:hAnsi="宋体" w:eastAsia="宋体" w:cs="宋体"/>
                <w:color w:val="000000"/>
                <w:sz w:val="24"/>
                <w:szCs w:val="24"/>
              </w:rPr>
            </w:pPr>
          </w:p>
        </w:tc>
        <w:tc>
          <w:tcPr>
            <w:tcW w:w="1487" w:type="dxa"/>
            <w:noWrap w:val="0"/>
            <w:vAlign w:val="center"/>
          </w:tcPr>
          <w:p w14:paraId="6E10882A">
            <w:pPr>
              <w:spacing w:line="240" w:lineRule="auto"/>
              <w:jc w:val="center"/>
              <w:rPr>
                <w:rFonts w:hint="eastAsia" w:ascii="宋体" w:hAnsi="宋体" w:eastAsia="宋体" w:cs="宋体"/>
                <w:color w:val="000000"/>
                <w:sz w:val="24"/>
                <w:szCs w:val="24"/>
              </w:rPr>
            </w:pPr>
          </w:p>
        </w:tc>
        <w:tc>
          <w:tcPr>
            <w:tcW w:w="992" w:type="dxa"/>
            <w:noWrap w:val="0"/>
            <w:vAlign w:val="center"/>
          </w:tcPr>
          <w:p w14:paraId="09A1858D">
            <w:pPr>
              <w:spacing w:line="240" w:lineRule="auto"/>
              <w:jc w:val="center"/>
              <w:rPr>
                <w:rFonts w:hint="eastAsia" w:ascii="宋体" w:hAnsi="宋体" w:eastAsia="宋体" w:cs="宋体"/>
                <w:color w:val="000000"/>
                <w:sz w:val="24"/>
                <w:szCs w:val="24"/>
              </w:rPr>
            </w:pPr>
          </w:p>
        </w:tc>
      </w:tr>
    </w:tbl>
    <w:p w14:paraId="590B3EB4">
      <w:pPr>
        <w:spacing w:line="240" w:lineRule="auto"/>
        <w:rPr>
          <w:rFonts w:hint="eastAsia" w:ascii="宋体" w:hAnsi="宋体" w:eastAsia="宋体" w:cs="宋体"/>
          <w:color w:val="000000"/>
          <w:sz w:val="24"/>
          <w:szCs w:val="24"/>
        </w:rPr>
      </w:pPr>
    </w:p>
    <w:p w14:paraId="3CD5D80C">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6F7B6C65">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85" w:name="_Toc296891054"/>
      <w:bookmarkStart w:id="986" w:name="_Toc296347225"/>
      <w:bookmarkStart w:id="987" w:name="_Toc267261693"/>
      <w:bookmarkStart w:id="988" w:name="_Toc296944565"/>
      <w:bookmarkStart w:id="989" w:name="_Toc296346727"/>
      <w:bookmarkStart w:id="990" w:name="_Toc296891266"/>
      <w:bookmarkStart w:id="991" w:name="_Toc296503226"/>
      <w:r>
        <w:rPr>
          <w:rFonts w:hint="eastAsia" w:ascii="宋体" w:hAnsi="宋体" w:eastAsia="宋体" w:cs="宋体"/>
          <w:color w:val="000000"/>
          <w:sz w:val="24"/>
          <w:szCs w:val="24"/>
        </w:rPr>
        <w:t>件3：</w:t>
      </w:r>
      <w:bookmarkEnd w:id="985"/>
      <w:bookmarkEnd w:id="986"/>
      <w:bookmarkEnd w:id="987"/>
      <w:bookmarkEnd w:id="988"/>
      <w:bookmarkEnd w:id="989"/>
      <w:bookmarkEnd w:id="990"/>
      <w:bookmarkEnd w:id="991"/>
      <w:r>
        <w:rPr>
          <w:rFonts w:hint="eastAsia" w:ascii="宋体" w:hAnsi="宋体" w:eastAsia="宋体" w:cs="宋体"/>
          <w:color w:val="000000"/>
          <w:sz w:val="24"/>
          <w:szCs w:val="24"/>
        </w:rPr>
        <w:t xml:space="preserve">    </w:t>
      </w:r>
    </w:p>
    <w:p w14:paraId="7E91EC86">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5CD7D01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6A77E09">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638B49B5">
      <w:pPr>
        <w:spacing w:line="240" w:lineRule="auto"/>
        <w:rPr>
          <w:rFonts w:hint="eastAsia" w:ascii="宋体" w:hAnsi="宋体" w:eastAsia="宋体" w:cs="宋体"/>
          <w:color w:val="000000"/>
          <w:sz w:val="24"/>
          <w:szCs w:val="24"/>
        </w:rPr>
      </w:pPr>
    </w:p>
    <w:p w14:paraId="091EF75D">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5F3A49EE">
      <w:pPr>
        <w:spacing w:line="24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2148D6F8">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45A0A97D">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197803F">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93E01A9">
      <w:pPr>
        <w:spacing w:line="240" w:lineRule="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3C13F6D6">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032A2F93">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1EB9420E">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3F393A96">
      <w:pPr>
        <w:spacing w:line="24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76CCB8C">
      <w:pPr>
        <w:spacing w:line="24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776AB56D">
      <w:pPr>
        <w:spacing w:line="24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094BD734">
      <w:pPr>
        <w:spacing w:line="24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D35513C">
      <w:pPr>
        <w:spacing w:line="24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0B634C5">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625AF21">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34745D4B">
      <w:pPr>
        <w:spacing w:line="24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2F7468C1">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18D36015">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413A160A">
      <w:pPr>
        <w:spacing w:line="24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55C20BC1">
      <w:pPr>
        <w:spacing w:line="24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42FE1F13">
      <w:pPr>
        <w:spacing w:line="24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0C9C997A">
      <w:pPr>
        <w:spacing w:line="24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F11DA2F">
      <w:pPr>
        <w:spacing w:line="24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6120A54A">
      <w:pPr>
        <w:spacing w:line="24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2ECAFA3E">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4042C2FB">
      <w:pPr>
        <w:spacing w:line="240" w:lineRule="auto"/>
        <w:ind w:firstLine="600"/>
        <w:jc w:val="left"/>
        <w:outlineLvl w:val="0"/>
        <w:rPr>
          <w:rFonts w:hint="eastAsia" w:ascii="宋体" w:hAnsi="宋体" w:eastAsia="宋体" w:cs="宋体"/>
          <w:color w:val="000000"/>
          <w:sz w:val="24"/>
          <w:szCs w:val="24"/>
          <w:u w:val="single"/>
        </w:rPr>
      </w:pPr>
      <w:r>
        <w:rPr>
          <w:rFonts w:hint="eastAsia" w:ascii="宋体" w:hAnsi="宋体" w:eastAsia="宋体" w:cs="宋体"/>
          <w:b/>
          <w:color w:val="000000"/>
          <w:sz w:val="24"/>
          <w:szCs w:val="24"/>
        </w:rPr>
        <w:t>六</w:t>
      </w:r>
      <w:r>
        <w:rPr>
          <w:rFonts w:hint="eastAsia" w:ascii="宋体" w:hAnsi="宋体" w:eastAsia="宋体" w:cs="宋体"/>
          <w:color w:val="000000"/>
          <w:sz w:val="24"/>
          <w:szCs w:val="24"/>
        </w:rPr>
        <w:t>、双方约定的其他工程质量保修事项：</w:t>
      </w:r>
      <w:r>
        <w:rPr>
          <w:rFonts w:hint="eastAsia" w:ascii="宋体" w:hAnsi="宋体" w:eastAsia="宋体" w:cs="宋体"/>
          <w:color w:val="000000"/>
          <w:sz w:val="24"/>
          <w:szCs w:val="24"/>
          <w:u w:val="single"/>
        </w:rPr>
        <w:t xml:space="preserve">                  </w:t>
      </w:r>
    </w:p>
    <w:p w14:paraId="4142AD73">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BBBDDFF">
      <w:pPr>
        <w:spacing w:line="240" w:lineRule="auto"/>
        <w:ind w:firstLine="456" w:firstLineChars="190"/>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79D28DB1">
      <w:pPr>
        <w:spacing w:line="240" w:lineRule="auto"/>
        <w:ind w:firstLine="420"/>
        <w:rPr>
          <w:rFonts w:hint="eastAsia" w:ascii="宋体" w:hAnsi="宋体" w:eastAsia="宋体" w:cs="宋体"/>
          <w:color w:val="000000"/>
          <w:sz w:val="24"/>
          <w:szCs w:val="24"/>
        </w:rPr>
      </w:pPr>
    </w:p>
    <w:p w14:paraId="5737A9BA">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52472106">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w:t>
      </w:r>
    </w:p>
    <w:p w14:paraId="3565724F">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154B52B8">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54F011E8">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766A4005">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23F5ADED">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72ADCCF1">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3D1239B7">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5CE823F7">
      <w:pPr>
        <w:spacing w:line="24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附件4：</w:t>
      </w:r>
    </w:p>
    <w:p w14:paraId="1DD6DCE6">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366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483ED07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文件名称</w:t>
            </w:r>
          </w:p>
        </w:tc>
        <w:tc>
          <w:tcPr>
            <w:tcW w:w="1276" w:type="dxa"/>
            <w:tcBorders>
              <w:top w:val="single" w:color="auto" w:sz="12" w:space="0"/>
              <w:bottom w:val="double" w:color="auto" w:sz="6" w:space="0"/>
            </w:tcBorders>
            <w:noWrap w:val="0"/>
            <w:vAlign w:val="center"/>
          </w:tcPr>
          <w:p w14:paraId="62D7A3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套数</w:t>
            </w:r>
          </w:p>
        </w:tc>
        <w:tc>
          <w:tcPr>
            <w:tcW w:w="1450" w:type="dxa"/>
            <w:tcBorders>
              <w:top w:val="single" w:color="auto" w:sz="12" w:space="0"/>
              <w:bottom w:val="double" w:color="auto" w:sz="6" w:space="0"/>
            </w:tcBorders>
            <w:noWrap w:val="0"/>
            <w:vAlign w:val="center"/>
          </w:tcPr>
          <w:p w14:paraId="624CE6F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费用（元）</w:t>
            </w:r>
          </w:p>
        </w:tc>
        <w:tc>
          <w:tcPr>
            <w:tcW w:w="1243" w:type="dxa"/>
            <w:tcBorders>
              <w:top w:val="single" w:color="auto" w:sz="12" w:space="0"/>
              <w:bottom w:val="double" w:color="auto" w:sz="6" w:space="0"/>
            </w:tcBorders>
            <w:noWrap w:val="0"/>
            <w:vAlign w:val="center"/>
          </w:tcPr>
          <w:p w14:paraId="3B7F4AE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质量</w:t>
            </w:r>
          </w:p>
        </w:tc>
        <w:tc>
          <w:tcPr>
            <w:tcW w:w="1450" w:type="dxa"/>
            <w:tcBorders>
              <w:top w:val="single" w:color="auto" w:sz="12" w:space="0"/>
              <w:bottom w:val="double" w:color="auto" w:sz="6" w:space="0"/>
            </w:tcBorders>
            <w:noWrap w:val="0"/>
            <w:vAlign w:val="top"/>
          </w:tcPr>
          <w:p w14:paraId="2B6FBB54">
            <w:pPr>
              <w:spacing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移交时间</w:t>
            </w:r>
          </w:p>
        </w:tc>
        <w:tc>
          <w:tcPr>
            <w:tcW w:w="1667" w:type="dxa"/>
            <w:tcBorders>
              <w:top w:val="single" w:color="auto" w:sz="12" w:space="0"/>
              <w:bottom w:val="double" w:color="auto" w:sz="6" w:space="0"/>
            </w:tcBorders>
            <w:noWrap w:val="0"/>
            <w:vAlign w:val="top"/>
          </w:tcPr>
          <w:p w14:paraId="490A3D20">
            <w:pPr>
              <w:spacing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责任人</w:t>
            </w:r>
          </w:p>
        </w:tc>
      </w:tr>
      <w:tr w14:paraId="6D6E4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521F1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tcBorders>
              <w:top w:val="double" w:color="auto" w:sz="6" w:space="0"/>
              <w:bottom w:val="single" w:color="auto" w:sz="6" w:space="0"/>
            </w:tcBorders>
            <w:noWrap w:val="0"/>
            <w:vAlign w:val="center"/>
          </w:tcPr>
          <w:p w14:paraId="0AE6415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tcBorders>
              <w:top w:val="double" w:color="auto" w:sz="6" w:space="0"/>
              <w:bottom w:val="single" w:color="auto" w:sz="6" w:space="0"/>
            </w:tcBorders>
            <w:noWrap w:val="0"/>
            <w:vAlign w:val="center"/>
          </w:tcPr>
          <w:p w14:paraId="6DD2210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tcBorders>
              <w:top w:val="double" w:color="auto" w:sz="6" w:space="0"/>
              <w:bottom w:val="single" w:color="auto" w:sz="6" w:space="0"/>
            </w:tcBorders>
            <w:noWrap w:val="0"/>
            <w:vAlign w:val="center"/>
          </w:tcPr>
          <w:p w14:paraId="79CCC4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tcBorders>
              <w:top w:val="double" w:color="auto" w:sz="6" w:space="0"/>
              <w:bottom w:val="single" w:color="auto" w:sz="6" w:space="0"/>
            </w:tcBorders>
            <w:noWrap w:val="0"/>
            <w:vAlign w:val="center"/>
          </w:tcPr>
          <w:p w14:paraId="27BC781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tcBorders>
              <w:top w:val="double" w:color="auto" w:sz="6" w:space="0"/>
              <w:bottom w:val="single" w:color="auto" w:sz="6" w:space="0"/>
            </w:tcBorders>
            <w:noWrap w:val="0"/>
            <w:vAlign w:val="center"/>
          </w:tcPr>
          <w:p w14:paraId="43385F2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C162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58429B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tcBorders>
              <w:top w:val="nil"/>
            </w:tcBorders>
            <w:noWrap w:val="0"/>
            <w:vAlign w:val="center"/>
          </w:tcPr>
          <w:p w14:paraId="0FC4761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tcBorders>
              <w:top w:val="nil"/>
            </w:tcBorders>
            <w:noWrap w:val="0"/>
            <w:vAlign w:val="center"/>
          </w:tcPr>
          <w:p w14:paraId="69A8EEB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tcBorders>
              <w:top w:val="nil"/>
            </w:tcBorders>
            <w:noWrap w:val="0"/>
            <w:vAlign w:val="center"/>
          </w:tcPr>
          <w:p w14:paraId="4A8B025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tcBorders>
              <w:top w:val="nil"/>
            </w:tcBorders>
            <w:noWrap w:val="0"/>
            <w:vAlign w:val="center"/>
          </w:tcPr>
          <w:p w14:paraId="5BCD844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tcBorders>
              <w:top w:val="nil"/>
            </w:tcBorders>
            <w:noWrap w:val="0"/>
            <w:vAlign w:val="center"/>
          </w:tcPr>
          <w:p w14:paraId="0F2D32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C500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A7DB4F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00B2860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7F6B074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noWrap w:val="0"/>
            <w:vAlign w:val="center"/>
          </w:tcPr>
          <w:p w14:paraId="5EE0148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491ACB4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noWrap w:val="0"/>
            <w:vAlign w:val="center"/>
          </w:tcPr>
          <w:p w14:paraId="664BBA6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23202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03C497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467013D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6D0C4C1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noWrap w:val="0"/>
            <w:vAlign w:val="center"/>
          </w:tcPr>
          <w:p w14:paraId="78F84D3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413D70E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noWrap w:val="0"/>
            <w:vAlign w:val="center"/>
          </w:tcPr>
          <w:p w14:paraId="412DBE7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121C5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1590F1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395BD0C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367D0F6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noWrap w:val="0"/>
            <w:vAlign w:val="center"/>
          </w:tcPr>
          <w:p w14:paraId="1683B2F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44A1BFB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noWrap w:val="0"/>
            <w:vAlign w:val="center"/>
          </w:tcPr>
          <w:p w14:paraId="6E1729D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F5602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D9860B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7924CE8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38A59D0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noWrap w:val="0"/>
            <w:vAlign w:val="center"/>
          </w:tcPr>
          <w:p w14:paraId="09FAFA9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3768869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noWrap w:val="0"/>
            <w:vAlign w:val="center"/>
          </w:tcPr>
          <w:p w14:paraId="137DFA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F83AA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9BD4E2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12AD783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6E24BB0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noWrap w:val="0"/>
            <w:vAlign w:val="center"/>
          </w:tcPr>
          <w:p w14:paraId="1422F5D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3D520DA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noWrap w:val="0"/>
            <w:vAlign w:val="center"/>
          </w:tcPr>
          <w:p w14:paraId="075005B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E61FD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821EA8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1E255D6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71E8721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noWrap w:val="0"/>
            <w:vAlign w:val="center"/>
          </w:tcPr>
          <w:p w14:paraId="646576A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7634837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noWrap w:val="0"/>
            <w:vAlign w:val="center"/>
          </w:tcPr>
          <w:p w14:paraId="172F22A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50A14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6745FF9">
            <w:pPr>
              <w:spacing w:line="240" w:lineRule="auto"/>
              <w:rPr>
                <w:rFonts w:hint="eastAsia" w:ascii="宋体" w:hAnsi="宋体" w:eastAsia="宋体" w:cs="宋体"/>
                <w:color w:val="000000"/>
                <w:sz w:val="24"/>
                <w:szCs w:val="24"/>
              </w:rPr>
            </w:pPr>
          </w:p>
        </w:tc>
        <w:tc>
          <w:tcPr>
            <w:tcW w:w="1276" w:type="dxa"/>
            <w:noWrap w:val="0"/>
            <w:vAlign w:val="top"/>
          </w:tcPr>
          <w:p w14:paraId="4325F260">
            <w:pPr>
              <w:spacing w:line="240" w:lineRule="auto"/>
              <w:rPr>
                <w:rFonts w:hint="eastAsia" w:ascii="宋体" w:hAnsi="宋体" w:eastAsia="宋体" w:cs="宋体"/>
                <w:color w:val="000000"/>
                <w:sz w:val="24"/>
                <w:szCs w:val="24"/>
              </w:rPr>
            </w:pPr>
          </w:p>
        </w:tc>
        <w:tc>
          <w:tcPr>
            <w:tcW w:w="1450" w:type="dxa"/>
            <w:noWrap w:val="0"/>
            <w:vAlign w:val="top"/>
          </w:tcPr>
          <w:p w14:paraId="2C724B4C">
            <w:pPr>
              <w:spacing w:line="240" w:lineRule="auto"/>
              <w:rPr>
                <w:rFonts w:hint="eastAsia" w:ascii="宋体" w:hAnsi="宋体" w:eastAsia="宋体" w:cs="宋体"/>
                <w:color w:val="000000"/>
                <w:sz w:val="24"/>
                <w:szCs w:val="24"/>
              </w:rPr>
            </w:pPr>
          </w:p>
        </w:tc>
        <w:tc>
          <w:tcPr>
            <w:tcW w:w="1243" w:type="dxa"/>
            <w:noWrap w:val="0"/>
            <w:vAlign w:val="top"/>
          </w:tcPr>
          <w:p w14:paraId="0F4FDC9B">
            <w:pPr>
              <w:spacing w:line="240" w:lineRule="auto"/>
              <w:rPr>
                <w:rFonts w:hint="eastAsia" w:ascii="宋体" w:hAnsi="宋体" w:eastAsia="宋体" w:cs="宋体"/>
                <w:color w:val="000000"/>
                <w:sz w:val="24"/>
                <w:szCs w:val="24"/>
              </w:rPr>
            </w:pPr>
          </w:p>
        </w:tc>
        <w:tc>
          <w:tcPr>
            <w:tcW w:w="1450" w:type="dxa"/>
            <w:noWrap w:val="0"/>
            <w:vAlign w:val="top"/>
          </w:tcPr>
          <w:p w14:paraId="2B98252D">
            <w:pPr>
              <w:spacing w:line="240" w:lineRule="auto"/>
              <w:rPr>
                <w:rFonts w:hint="eastAsia" w:ascii="宋体" w:hAnsi="宋体" w:eastAsia="宋体" w:cs="宋体"/>
                <w:color w:val="000000"/>
                <w:sz w:val="24"/>
                <w:szCs w:val="24"/>
              </w:rPr>
            </w:pPr>
          </w:p>
        </w:tc>
        <w:tc>
          <w:tcPr>
            <w:tcW w:w="1667" w:type="dxa"/>
            <w:noWrap w:val="0"/>
            <w:vAlign w:val="top"/>
          </w:tcPr>
          <w:p w14:paraId="4A392B74">
            <w:pPr>
              <w:spacing w:line="240" w:lineRule="auto"/>
              <w:rPr>
                <w:rFonts w:hint="eastAsia" w:ascii="宋体" w:hAnsi="宋体" w:eastAsia="宋体" w:cs="宋体"/>
                <w:color w:val="000000"/>
                <w:sz w:val="24"/>
                <w:szCs w:val="24"/>
              </w:rPr>
            </w:pPr>
          </w:p>
        </w:tc>
      </w:tr>
      <w:tr w14:paraId="45B58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0CEE45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center"/>
          </w:tcPr>
          <w:p w14:paraId="2FA5DCF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6140B54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43" w:type="dxa"/>
            <w:noWrap w:val="0"/>
            <w:vAlign w:val="center"/>
          </w:tcPr>
          <w:p w14:paraId="5AD914A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50" w:type="dxa"/>
            <w:noWrap w:val="0"/>
            <w:vAlign w:val="center"/>
          </w:tcPr>
          <w:p w14:paraId="20D2B58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667" w:type="dxa"/>
            <w:noWrap w:val="0"/>
            <w:vAlign w:val="center"/>
          </w:tcPr>
          <w:p w14:paraId="3539034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6D10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D10E17">
            <w:pPr>
              <w:spacing w:line="240" w:lineRule="auto"/>
              <w:rPr>
                <w:rFonts w:hint="eastAsia" w:ascii="宋体" w:hAnsi="宋体" w:eastAsia="宋体" w:cs="宋体"/>
                <w:color w:val="000000"/>
                <w:sz w:val="24"/>
                <w:szCs w:val="24"/>
              </w:rPr>
            </w:pPr>
          </w:p>
        </w:tc>
        <w:tc>
          <w:tcPr>
            <w:tcW w:w="1276" w:type="dxa"/>
            <w:noWrap w:val="0"/>
            <w:vAlign w:val="top"/>
          </w:tcPr>
          <w:p w14:paraId="41B643B7">
            <w:pPr>
              <w:spacing w:line="240" w:lineRule="auto"/>
              <w:rPr>
                <w:rFonts w:hint="eastAsia" w:ascii="宋体" w:hAnsi="宋体" w:eastAsia="宋体" w:cs="宋体"/>
                <w:color w:val="000000"/>
                <w:sz w:val="24"/>
                <w:szCs w:val="24"/>
              </w:rPr>
            </w:pPr>
          </w:p>
        </w:tc>
        <w:tc>
          <w:tcPr>
            <w:tcW w:w="1450" w:type="dxa"/>
            <w:noWrap w:val="0"/>
            <w:vAlign w:val="top"/>
          </w:tcPr>
          <w:p w14:paraId="7C4CCE32">
            <w:pPr>
              <w:spacing w:line="240" w:lineRule="auto"/>
              <w:rPr>
                <w:rFonts w:hint="eastAsia" w:ascii="宋体" w:hAnsi="宋体" w:eastAsia="宋体" w:cs="宋体"/>
                <w:color w:val="000000"/>
                <w:sz w:val="24"/>
                <w:szCs w:val="24"/>
              </w:rPr>
            </w:pPr>
          </w:p>
        </w:tc>
        <w:tc>
          <w:tcPr>
            <w:tcW w:w="1243" w:type="dxa"/>
            <w:noWrap w:val="0"/>
            <w:vAlign w:val="top"/>
          </w:tcPr>
          <w:p w14:paraId="7FA4CE81">
            <w:pPr>
              <w:spacing w:line="240" w:lineRule="auto"/>
              <w:rPr>
                <w:rFonts w:hint="eastAsia" w:ascii="宋体" w:hAnsi="宋体" w:eastAsia="宋体" w:cs="宋体"/>
                <w:color w:val="000000"/>
                <w:sz w:val="24"/>
                <w:szCs w:val="24"/>
              </w:rPr>
            </w:pPr>
          </w:p>
        </w:tc>
        <w:tc>
          <w:tcPr>
            <w:tcW w:w="1450" w:type="dxa"/>
            <w:noWrap w:val="0"/>
            <w:vAlign w:val="top"/>
          </w:tcPr>
          <w:p w14:paraId="33AE7FA0">
            <w:pPr>
              <w:spacing w:line="240" w:lineRule="auto"/>
              <w:rPr>
                <w:rFonts w:hint="eastAsia" w:ascii="宋体" w:hAnsi="宋体" w:eastAsia="宋体" w:cs="宋体"/>
                <w:color w:val="000000"/>
                <w:sz w:val="24"/>
                <w:szCs w:val="24"/>
              </w:rPr>
            </w:pPr>
          </w:p>
        </w:tc>
        <w:tc>
          <w:tcPr>
            <w:tcW w:w="1667" w:type="dxa"/>
            <w:noWrap w:val="0"/>
            <w:vAlign w:val="top"/>
          </w:tcPr>
          <w:p w14:paraId="45CE04AC">
            <w:pPr>
              <w:spacing w:line="240" w:lineRule="auto"/>
              <w:rPr>
                <w:rFonts w:hint="eastAsia" w:ascii="宋体" w:hAnsi="宋体" w:eastAsia="宋体" w:cs="宋体"/>
                <w:color w:val="000000"/>
                <w:sz w:val="24"/>
                <w:szCs w:val="24"/>
              </w:rPr>
            </w:pPr>
          </w:p>
        </w:tc>
      </w:tr>
      <w:tr w14:paraId="2344A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9B52AF">
            <w:pPr>
              <w:spacing w:line="240" w:lineRule="auto"/>
              <w:rPr>
                <w:rFonts w:hint="eastAsia" w:ascii="宋体" w:hAnsi="宋体" w:eastAsia="宋体" w:cs="宋体"/>
                <w:color w:val="000000"/>
                <w:sz w:val="24"/>
                <w:szCs w:val="24"/>
              </w:rPr>
            </w:pPr>
          </w:p>
        </w:tc>
        <w:tc>
          <w:tcPr>
            <w:tcW w:w="1276" w:type="dxa"/>
            <w:noWrap w:val="0"/>
            <w:vAlign w:val="top"/>
          </w:tcPr>
          <w:p w14:paraId="1C1E42F2">
            <w:pPr>
              <w:spacing w:line="240" w:lineRule="auto"/>
              <w:rPr>
                <w:rFonts w:hint="eastAsia" w:ascii="宋体" w:hAnsi="宋体" w:eastAsia="宋体" w:cs="宋体"/>
                <w:color w:val="000000"/>
                <w:sz w:val="24"/>
                <w:szCs w:val="24"/>
              </w:rPr>
            </w:pPr>
          </w:p>
        </w:tc>
        <w:tc>
          <w:tcPr>
            <w:tcW w:w="1450" w:type="dxa"/>
            <w:noWrap w:val="0"/>
            <w:vAlign w:val="top"/>
          </w:tcPr>
          <w:p w14:paraId="53E5F0D1">
            <w:pPr>
              <w:spacing w:line="240" w:lineRule="auto"/>
              <w:rPr>
                <w:rFonts w:hint="eastAsia" w:ascii="宋体" w:hAnsi="宋体" w:eastAsia="宋体" w:cs="宋体"/>
                <w:color w:val="000000"/>
                <w:sz w:val="24"/>
                <w:szCs w:val="24"/>
              </w:rPr>
            </w:pPr>
          </w:p>
        </w:tc>
        <w:tc>
          <w:tcPr>
            <w:tcW w:w="1243" w:type="dxa"/>
            <w:noWrap w:val="0"/>
            <w:vAlign w:val="top"/>
          </w:tcPr>
          <w:p w14:paraId="4B611707">
            <w:pPr>
              <w:spacing w:line="240" w:lineRule="auto"/>
              <w:rPr>
                <w:rFonts w:hint="eastAsia" w:ascii="宋体" w:hAnsi="宋体" w:eastAsia="宋体" w:cs="宋体"/>
                <w:color w:val="000000"/>
                <w:sz w:val="24"/>
                <w:szCs w:val="24"/>
              </w:rPr>
            </w:pPr>
          </w:p>
        </w:tc>
        <w:tc>
          <w:tcPr>
            <w:tcW w:w="1450" w:type="dxa"/>
            <w:noWrap w:val="0"/>
            <w:vAlign w:val="top"/>
          </w:tcPr>
          <w:p w14:paraId="005AC0E0">
            <w:pPr>
              <w:spacing w:line="240" w:lineRule="auto"/>
              <w:rPr>
                <w:rFonts w:hint="eastAsia" w:ascii="宋体" w:hAnsi="宋体" w:eastAsia="宋体" w:cs="宋体"/>
                <w:color w:val="000000"/>
                <w:sz w:val="24"/>
                <w:szCs w:val="24"/>
              </w:rPr>
            </w:pPr>
          </w:p>
        </w:tc>
        <w:tc>
          <w:tcPr>
            <w:tcW w:w="1667" w:type="dxa"/>
            <w:noWrap w:val="0"/>
            <w:vAlign w:val="top"/>
          </w:tcPr>
          <w:p w14:paraId="39C8833E">
            <w:pPr>
              <w:spacing w:line="240" w:lineRule="auto"/>
              <w:rPr>
                <w:rFonts w:hint="eastAsia" w:ascii="宋体" w:hAnsi="宋体" w:eastAsia="宋体" w:cs="宋体"/>
                <w:color w:val="000000"/>
                <w:sz w:val="24"/>
                <w:szCs w:val="24"/>
              </w:rPr>
            </w:pPr>
          </w:p>
        </w:tc>
      </w:tr>
      <w:tr w14:paraId="34560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8A085F6">
            <w:pPr>
              <w:spacing w:line="240" w:lineRule="auto"/>
              <w:rPr>
                <w:rFonts w:hint="eastAsia" w:ascii="宋体" w:hAnsi="宋体" w:eastAsia="宋体" w:cs="宋体"/>
                <w:color w:val="000000"/>
                <w:sz w:val="24"/>
                <w:szCs w:val="24"/>
              </w:rPr>
            </w:pPr>
          </w:p>
        </w:tc>
        <w:tc>
          <w:tcPr>
            <w:tcW w:w="1276" w:type="dxa"/>
            <w:noWrap w:val="0"/>
            <w:vAlign w:val="top"/>
          </w:tcPr>
          <w:p w14:paraId="31796E3D">
            <w:pPr>
              <w:spacing w:line="240" w:lineRule="auto"/>
              <w:rPr>
                <w:rFonts w:hint="eastAsia" w:ascii="宋体" w:hAnsi="宋体" w:eastAsia="宋体" w:cs="宋体"/>
                <w:color w:val="000000"/>
                <w:sz w:val="24"/>
                <w:szCs w:val="24"/>
              </w:rPr>
            </w:pPr>
          </w:p>
        </w:tc>
        <w:tc>
          <w:tcPr>
            <w:tcW w:w="1450" w:type="dxa"/>
            <w:noWrap w:val="0"/>
            <w:vAlign w:val="top"/>
          </w:tcPr>
          <w:p w14:paraId="1CBC8573">
            <w:pPr>
              <w:spacing w:line="240" w:lineRule="auto"/>
              <w:rPr>
                <w:rFonts w:hint="eastAsia" w:ascii="宋体" w:hAnsi="宋体" w:eastAsia="宋体" w:cs="宋体"/>
                <w:color w:val="000000"/>
                <w:sz w:val="24"/>
                <w:szCs w:val="24"/>
              </w:rPr>
            </w:pPr>
          </w:p>
        </w:tc>
        <w:tc>
          <w:tcPr>
            <w:tcW w:w="1243" w:type="dxa"/>
            <w:noWrap w:val="0"/>
            <w:vAlign w:val="top"/>
          </w:tcPr>
          <w:p w14:paraId="5FA9F1BF">
            <w:pPr>
              <w:spacing w:line="240" w:lineRule="auto"/>
              <w:rPr>
                <w:rFonts w:hint="eastAsia" w:ascii="宋体" w:hAnsi="宋体" w:eastAsia="宋体" w:cs="宋体"/>
                <w:color w:val="000000"/>
                <w:sz w:val="24"/>
                <w:szCs w:val="24"/>
              </w:rPr>
            </w:pPr>
          </w:p>
        </w:tc>
        <w:tc>
          <w:tcPr>
            <w:tcW w:w="1450" w:type="dxa"/>
            <w:noWrap w:val="0"/>
            <w:vAlign w:val="top"/>
          </w:tcPr>
          <w:p w14:paraId="54AECEBC">
            <w:pPr>
              <w:spacing w:line="240" w:lineRule="auto"/>
              <w:rPr>
                <w:rFonts w:hint="eastAsia" w:ascii="宋体" w:hAnsi="宋体" w:eastAsia="宋体" w:cs="宋体"/>
                <w:color w:val="000000"/>
                <w:sz w:val="24"/>
                <w:szCs w:val="24"/>
              </w:rPr>
            </w:pPr>
          </w:p>
        </w:tc>
        <w:tc>
          <w:tcPr>
            <w:tcW w:w="1667" w:type="dxa"/>
            <w:noWrap w:val="0"/>
            <w:vAlign w:val="top"/>
          </w:tcPr>
          <w:p w14:paraId="57D25EA4">
            <w:pPr>
              <w:spacing w:line="240" w:lineRule="auto"/>
              <w:rPr>
                <w:rFonts w:hint="eastAsia" w:ascii="宋体" w:hAnsi="宋体" w:eastAsia="宋体" w:cs="宋体"/>
                <w:color w:val="000000"/>
                <w:sz w:val="24"/>
                <w:szCs w:val="24"/>
              </w:rPr>
            </w:pPr>
          </w:p>
        </w:tc>
      </w:tr>
      <w:tr w14:paraId="18AC5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D8A85AC">
            <w:pPr>
              <w:spacing w:line="240" w:lineRule="auto"/>
              <w:rPr>
                <w:rFonts w:hint="eastAsia" w:ascii="宋体" w:hAnsi="宋体" w:eastAsia="宋体" w:cs="宋体"/>
                <w:color w:val="000000"/>
                <w:sz w:val="24"/>
                <w:szCs w:val="24"/>
              </w:rPr>
            </w:pPr>
          </w:p>
        </w:tc>
        <w:tc>
          <w:tcPr>
            <w:tcW w:w="1276" w:type="dxa"/>
            <w:noWrap w:val="0"/>
            <w:vAlign w:val="top"/>
          </w:tcPr>
          <w:p w14:paraId="551827FC">
            <w:pPr>
              <w:spacing w:line="240" w:lineRule="auto"/>
              <w:rPr>
                <w:rFonts w:hint="eastAsia" w:ascii="宋体" w:hAnsi="宋体" w:eastAsia="宋体" w:cs="宋体"/>
                <w:color w:val="000000"/>
                <w:sz w:val="24"/>
                <w:szCs w:val="24"/>
              </w:rPr>
            </w:pPr>
          </w:p>
        </w:tc>
        <w:tc>
          <w:tcPr>
            <w:tcW w:w="1450" w:type="dxa"/>
            <w:noWrap w:val="0"/>
            <w:vAlign w:val="top"/>
          </w:tcPr>
          <w:p w14:paraId="7A0EE18E">
            <w:pPr>
              <w:spacing w:line="240" w:lineRule="auto"/>
              <w:rPr>
                <w:rFonts w:hint="eastAsia" w:ascii="宋体" w:hAnsi="宋体" w:eastAsia="宋体" w:cs="宋体"/>
                <w:color w:val="000000"/>
                <w:sz w:val="24"/>
                <w:szCs w:val="24"/>
              </w:rPr>
            </w:pPr>
          </w:p>
        </w:tc>
        <w:tc>
          <w:tcPr>
            <w:tcW w:w="1243" w:type="dxa"/>
            <w:noWrap w:val="0"/>
            <w:vAlign w:val="top"/>
          </w:tcPr>
          <w:p w14:paraId="46489030">
            <w:pPr>
              <w:spacing w:line="240" w:lineRule="auto"/>
              <w:rPr>
                <w:rFonts w:hint="eastAsia" w:ascii="宋体" w:hAnsi="宋体" w:eastAsia="宋体" w:cs="宋体"/>
                <w:color w:val="000000"/>
                <w:sz w:val="24"/>
                <w:szCs w:val="24"/>
              </w:rPr>
            </w:pPr>
          </w:p>
        </w:tc>
        <w:tc>
          <w:tcPr>
            <w:tcW w:w="1450" w:type="dxa"/>
            <w:noWrap w:val="0"/>
            <w:vAlign w:val="top"/>
          </w:tcPr>
          <w:p w14:paraId="1B115281">
            <w:pPr>
              <w:spacing w:line="240" w:lineRule="auto"/>
              <w:rPr>
                <w:rFonts w:hint="eastAsia" w:ascii="宋体" w:hAnsi="宋体" w:eastAsia="宋体" w:cs="宋体"/>
                <w:color w:val="000000"/>
                <w:sz w:val="24"/>
                <w:szCs w:val="24"/>
              </w:rPr>
            </w:pPr>
          </w:p>
        </w:tc>
        <w:tc>
          <w:tcPr>
            <w:tcW w:w="1667" w:type="dxa"/>
            <w:noWrap w:val="0"/>
            <w:vAlign w:val="top"/>
          </w:tcPr>
          <w:p w14:paraId="65D3EA5C">
            <w:pPr>
              <w:spacing w:line="240" w:lineRule="auto"/>
              <w:rPr>
                <w:rFonts w:hint="eastAsia" w:ascii="宋体" w:hAnsi="宋体" w:eastAsia="宋体" w:cs="宋体"/>
                <w:color w:val="000000"/>
                <w:sz w:val="24"/>
                <w:szCs w:val="24"/>
              </w:rPr>
            </w:pPr>
          </w:p>
        </w:tc>
      </w:tr>
      <w:tr w14:paraId="7469B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F1998C">
            <w:pPr>
              <w:spacing w:line="240" w:lineRule="auto"/>
              <w:rPr>
                <w:rFonts w:hint="eastAsia" w:ascii="宋体" w:hAnsi="宋体" w:eastAsia="宋体" w:cs="宋体"/>
                <w:color w:val="000000"/>
                <w:sz w:val="24"/>
                <w:szCs w:val="24"/>
              </w:rPr>
            </w:pPr>
          </w:p>
        </w:tc>
        <w:tc>
          <w:tcPr>
            <w:tcW w:w="1276" w:type="dxa"/>
            <w:noWrap w:val="0"/>
            <w:vAlign w:val="top"/>
          </w:tcPr>
          <w:p w14:paraId="2E755C18">
            <w:pPr>
              <w:spacing w:line="240" w:lineRule="auto"/>
              <w:rPr>
                <w:rFonts w:hint="eastAsia" w:ascii="宋体" w:hAnsi="宋体" w:eastAsia="宋体" w:cs="宋体"/>
                <w:color w:val="000000"/>
                <w:sz w:val="24"/>
                <w:szCs w:val="24"/>
              </w:rPr>
            </w:pPr>
          </w:p>
        </w:tc>
        <w:tc>
          <w:tcPr>
            <w:tcW w:w="1450" w:type="dxa"/>
            <w:noWrap w:val="0"/>
            <w:vAlign w:val="top"/>
          </w:tcPr>
          <w:p w14:paraId="2DDDD0A8">
            <w:pPr>
              <w:spacing w:line="240" w:lineRule="auto"/>
              <w:rPr>
                <w:rFonts w:hint="eastAsia" w:ascii="宋体" w:hAnsi="宋体" w:eastAsia="宋体" w:cs="宋体"/>
                <w:color w:val="000000"/>
                <w:sz w:val="24"/>
                <w:szCs w:val="24"/>
              </w:rPr>
            </w:pPr>
          </w:p>
        </w:tc>
        <w:tc>
          <w:tcPr>
            <w:tcW w:w="1243" w:type="dxa"/>
            <w:noWrap w:val="0"/>
            <w:vAlign w:val="top"/>
          </w:tcPr>
          <w:p w14:paraId="1AA1BCB5">
            <w:pPr>
              <w:spacing w:line="240" w:lineRule="auto"/>
              <w:rPr>
                <w:rFonts w:hint="eastAsia" w:ascii="宋体" w:hAnsi="宋体" w:eastAsia="宋体" w:cs="宋体"/>
                <w:color w:val="000000"/>
                <w:sz w:val="24"/>
                <w:szCs w:val="24"/>
              </w:rPr>
            </w:pPr>
          </w:p>
        </w:tc>
        <w:tc>
          <w:tcPr>
            <w:tcW w:w="1450" w:type="dxa"/>
            <w:noWrap w:val="0"/>
            <w:vAlign w:val="top"/>
          </w:tcPr>
          <w:p w14:paraId="5FC242E3">
            <w:pPr>
              <w:spacing w:line="240" w:lineRule="auto"/>
              <w:rPr>
                <w:rFonts w:hint="eastAsia" w:ascii="宋体" w:hAnsi="宋体" w:eastAsia="宋体" w:cs="宋体"/>
                <w:color w:val="000000"/>
                <w:sz w:val="24"/>
                <w:szCs w:val="24"/>
              </w:rPr>
            </w:pPr>
          </w:p>
        </w:tc>
        <w:tc>
          <w:tcPr>
            <w:tcW w:w="1667" w:type="dxa"/>
            <w:noWrap w:val="0"/>
            <w:vAlign w:val="top"/>
          </w:tcPr>
          <w:p w14:paraId="22CBCD6F">
            <w:pPr>
              <w:spacing w:line="240" w:lineRule="auto"/>
              <w:rPr>
                <w:rFonts w:hint="eastAsia" w:ascii="宋体" w:hAnsi="宋体" w:eastAsia="宋体" w:cs="宋体"/>
                <w:color w:val="000000"/>
                <w:sz w:val="24"/>
                <w:szCs w:val="24"/>
              </w:rPr>
            </w:pPr>
          </w:p>
        </w:tc>
      </w:tr>
      <w:tr w14:paraId="366D3B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DD9E7A">
            <w:pPr>
              <w:spacing w:line="240" w:lineRule="auto"/>
              <w:rPr>
                <w:rFonts w:hint="eastAsia" w:ascii="宋体" w:hAnsi="宋体" w:eastAsia="宋体" w:cs="宋体"/>
                <w:color w:val="000000"/>
                <w:sz w:val="24"/>
                <w:szCs w:val="24"/>
              </w:rPr>
            </w:pPr>
          </w:p>
        </w:tc>
        <w:tc>
          <w:tcPr>
            <w:tcW w:w="1276" w:type="dxa"/>
            <w:noWrap w:val="0"/>
            <w:vAlign w:val="top"/>
          </w:tcPr>
          <w:p w14:paraId="767ECA0F">
            <w:pPr>
              <w:spacing w:line="240" w:lineRule="auto"/>
              <w:rPr>
                <w:rFonts w:hint="eastAsia" w:ascii="宋体" w:hAnsi="宋体" w:eastAsia="宋体" w:cs="宋体"/>
                <w:color w:val="000000"/>
                <w:sz w:val="24"/>
                <w:szCs w:val="24"/>
              </w:rPr>
            </w:pPr>
          </w:p>
        </w:tc>
        <w:tc>
          <w:tcPr>
            <w:tcW w:w="1450" w:type="dxa"/>
            <w:noWrap w:val="0"/>
            <w:vAlign w:val="top"/>
          </w:tcPr>
          <w:p w14:paraId="77C86C25">
            <w:pPr>
              <w:spacing w:line="240" w:lineRule="auto"/>
              <w:rPr>
                <w:rFonts w:hint="eastAsia" w:ascii="宋体" w:hAnsi="宋体" w:eastAsia="宋体" w:cs="宋体"/>
                <w:color w:val="000000"/>
                <w:sz w:val="24"/>
                <w:szCs w:val="24"/>
              </w:rPr>
            </w:pPr>
          </w:p>
        </w:tc>
        <w:tc>
          <w:tcPr>
            <w:tcW w:w="1243" w:type="dxa"/>
            <w:noWrap w:val="0"/>
            <w:vAlign w:val="top"/>
          </w:tcPr>
          <w:p w14:paraId="37E5A45C">
            <w:pPr>
              <w:spacing w:line="240" w:lineRule="auto"/>
              <w:rPr>
                <w:rFonts w:hint="eastAsia" w:ascii="宋体" w:hAnsi="宋体" w:eastAsia="宋体" w:cs="宋体"/>
                <w:color w:val="000000"/>
                <w:sz w:val="24"/>
                <w:szCs w:val="24"/>
              </w:rPr>
            </w:pPr>
          </w:p>
        </w:tc>
        <w:tc>
          <w:tcPr>
            <w:tcW w:w="1450" w:type="dxa"/>
            <w:noWrap w:val="0"/>
            <w:vAlign w:val="top"/>
          </w:tcPr>
          <w:p w14:paraId="056D391F">
            <w:pPr>
              <w:spacing w:line="240" w:lineRule="auto"/>
              <w:rPr>
                <w:rFonts w:hint="eastAsia" w:ascii="宋体" w:hAnsi="宋体" w:eastAsia="宋体" w:cs="宋体"/>
                <w:color w:val="000000"/>
                <w:sz w:val="24"/>
                <w:szCs w:val="24"/>
              </w:rPr>
            </w:pPr>
          </w:p>
        </w:tc>
        <w:tc>
          <w:tcPr>
            <w:tcW w:w="1667" w:type="dxa"/>
            <w:noWrap w:val="0"/>
            <w:vAlign w:val="top"/>
          </w:tcPr>
          <w:p w14:paraId="79FE0747">
            <w:pPr>
              <w:spacing w:line="240" w:lineRule="auto"/>
              <w:rPr>
                <w:rFonts w:hint="eastAsia" w:ascii="宋体" w:hAnsi="宋体" w:eastAsia="宋体" w:cs="宋体"/>
                <w:color w:val="000000"/>
                <w:sz w:val="24"/>
                <w:szCs w:val="24"/>
              </w:rPr>
            </w:pPr>
          </w:p>
        </w:tc>
      </w:tr>
      <w:tr w14:paraId="791A09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4028DE">
            <w:pPr>
              <w:spacing w:line="240" w:lineRule="auto"/>
              <w:rPr>
                <w:rFonts w:hint="eastAsia" w:ascii="宋体" w:hAnsi="宋体" w:eastAsia="宋体" w:cs="宋体"/>
                <w:color w:val="000000"/>
                <w:sz w:val="24"/>
                <w:szCs w:val="24"/>
              </w:rPr>
            </w:pPr>
          </w:p>
        </w:tc>
        <w:tc>
          <w:tcPr>
            <w:tcW w:w="1276" w:type="dxa"/>
            <w:noWrap w:val="0"/>
            <w:vAlign w:val="top"/>
          </w:tcPr>
          <w:p w14:paraId="53A7E358">
            <w:pPr>
              <w:spacing w:line="240" w:lineRule="auto"/>
              <w:rPr>
                <w:rFonts w:hint="eastAsia" w:ascii="宋体" w:hAnsi="宋体" w:eastAsia="宋体" w:cs="宋体"/>
                <w:color w:val="000000"/>
                <w:sz w:val="24"/>
                <w:szCs w:val="24"/>
              </w:rPr>
            </w:pPr>
          </w:p>
        </w:tc>
        <w:tc>
          <w:tcPr>
            <w:tcW w:w="1450" w:type="dxa"/>
            <w:noWrap w:val="0"/>
            <w:vAlign w:val="top"/>
          </w:tcPr>
          <w:p w14:paraId="3831D80C">
            <w:pPr>
              <w:spacing w:line="240" w:lineRule="auto"/>
              <w:rPr>
                <w:rFonts w:hint="eastAsia" w:ascii="宋体" w:hAnsi="宋体" w:eastAsia="宋体" w:cs="宋体"/>
                <w:color w:val="000000"/>
                <w:sz w:val="24"/>
                <w:szCs w:val="24"/>
              </w:rPr>
            </w:pPr>
          </w:p>
        </w:tc>
        <w:tc>
          <w:tcPr>
            <w:tcW w:w="1243" w:type="dxa"/>
            <w:noWrap w:val="0"/>
            <w:vAlign w:val="top"/>
          </w:tcPr>
          <w:p w14:paraId="6C5091AB">
            <w:pPr>
              <w:spacing w:line="240" w:lineRule="auto"/>
              <w:rPr>
                <w:rFonts w:hint="eastAsia" w:ascii="宋体" w:hAnsi="宋体" w:eastAsia="宋体" w:cs="宋体"/>
                <w:color w:val="000000"/>
                <w:sz w:val="24"/>
                <w:szCs w:val="24"/>
              </w:rPr>
            </w:pPr>
          </w:p>
        </w:tc>
        <w:tc>
          <w:tcPr>
            <w:tcW w:w="1450" w:type="dxa"/>
            <w:noWrap w:val="0"/>
            <w:vAlign w:val="top"/>
          </w:tcPr>
          <w:p w14:paraId="69F5F254">
            <w:pPr>
              <w:spacing w:line="240" w:lineRule="auto"/>
              <w:rPr>
                <w:rFonts w:hint="eastAsia" w:ascii="宋体" w:hAnsi="宋体" w:eastAsia="宋体" w:cs="宋体"/>
                <w:color w:val="000000"/>
                <w:sz w:val="24"/>
                <w:szCs w:val="24"/>
              </w:rPr>
            </w:pPr>
          </w:p>
        </w:tc>
        <w:tc>
          <w:tcPr>
            <w:tcW w:w="1667" w:type="dxa"/>
            <w:noWrap w:val="0"/>
            <w:vAlign w:val="top"/>
          </w:tcPr>
          <w:p w14:paraId="66A8C510">
            <w:pPr>
              <w:spacing w:line="240" w:lineRule="auto"/>
              <w:rPr>
                <w:rFonts w:hint="eastAsia" w:ascii="宋体" w:hAnsi="宋体" w:eastAsia="宋体" w:cs="宋体"/>
                <w:color w:val="000000"/>
                <w:sz w:val="24"/>
                <w:szCs w:val="24"/>
              </w:rPr>
            </w:pPr>
          </w:p>
        </w:tc>
      </w:tr>
      <w:tr w14:paraId="354FA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6079E68">
            <w:pPr>
              <w:spacing w:line="240" w:lineRule="auto"/>
              <w:rPr>
                <w:rFonts w:hint="eastAsia" w:ascii="宋体" w:hAnsi="宋体" w:eastAsia="宋体" w:cs="宋体"/>
                <w:color w:val="000000"/>
                <w:sz w:val="24"/>
                <w:szCs w:val="24"/>
              </w:rPr>
            </w:pPr>
          </w:p>
        </w:tc>
        <w:tc>
          <w:tcPr>
            <w:tcW w:w="1276" w:type="dxa"/>
            <w:noWrap w:val="0"/>
            <w:vAlign w:val="top"/>
          </w:tcPr>
          <w:p w14:paraId="4F3E0E64">
            <w:pPr>
              <w:spacing w:line="240" w:lineRule="auto"/>
              <w:rPr>
                <w:rFonts w:hint="eastAsia" w:ascii="宋体" w:hAnsi="宋体" w:eastAsia="宋体" w:cs="宋体"/>
                <w:color w:val="000000"/>
                <w:sz w:val="24"/>
                <w:szCs w:val="24"/>
              </w:rPr>
            </w:pPr>
          </w:p>
        </w:tc>
        <w:tc>
          <w:tcPr>
            <w:tcW w:w="1450" w:type="dxa"/>
            <w:noWrap w:val="0"/>
            <w:vAlign w:val="top"/>
          </w:tcPr>
          <w:p w14:paraId="5445CDD9">
            <w:pPr>
              <w:spacing w:line="240" w:lineRule="auto"/>
              <w:rPr>
                <w:rFonts w:hint="eastAsia" w:ascii="宋体" w:hAnsi="宋体" w:eastAsia="宋体" w:cs="宋体"/>
                <w:color w:val="000000"/>
                <w:sz w:val="24"/>
                <w:szCs w:val="24"/>
              </w:rPr>
            </w:pPr>
          </w:p>
        </w:tc>
        <w:tc>
          <w:tcPr>
            <w:tcW w:w="1243" w:type="dxa"/>
            <w:noWrap w:val="0"/>
            <w:vAlign w:val="top"/>
          </w:tcPr>
          <w:p w14:paraId="309A9659">
            <w:pPr>
              <w:spacing w:line="240" w:lineRule="auto"/>
              <w:rPr>
                <w:rFonts w:hint="eastAsia" w:ascii="宋体" w:hAnsi="宋体" w:eastAsia="宋体" w:cs="宋体"/>
                <w:color w:val="000000"/>
                <w:sz w:val="24"/>
                <w:szCs w:val="24"/>
              </w:rPr>
            </w:pPr>
          </w:p>
        </w:tc>
        <w:tc>
          <w:tcPr>
            <w:tcW w:w="1450" w:type="dxa"/>
            <w:noWrap w:val="0"/>
            <w:vAlign w:val="top"/>
          </w:tcPr>
          <w:p w14:paraId="4F9D238B">
            <w:pPr>
              <w:spacing w:line="240" w:lineRule="auto"/>
              <w:rPr>
                <w:rFonts w:hint="eastAsia" w:ascii="宋体" w:hAnsi="宋体" w:eastAsia="宋体" w:cs="宋体"/>
                <w:color w:val="000000"/>
                <w:sz w:val="24"/>
                <w:szCs w:val="24"/>
              </w:rPr>
            </w:pPr>
          </w:p>
        </w:tc>
        <w:tc>
          <w:tcPr>
            <w:tcW w:w="1667" w:type="dxa"/>
            <w:noWrap w:val="0"/>
            <w:vAlign w:val="top"/>
          </w:tcPr>
          <w:p w14:paraId="50D12B83">
            <w:pPr>
              <w:spacing w:line="240" w:lineRule="auto"/>
              <w:rPr>
                <w:rFonts w:hint="eastAsia" w:ascii="宋体" w:hAnsi="宋体" w:eastAsia="宋体" w:cs="宋体"/>
                <w:color w:val="000000"/>
                <w:sz w:val="24"/>
                <w:szCs w:val="24"/>
              </w:rPr>
            </w:pPr>
          </w:p>
        </w:tc>
      </w:tr>
      <w:tr w14:paraId="7BE4AB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137B73B">
            <w:pPr>
              <w:spacing w:line="240" w:lineRule="auto"/>
              <w:rPr>
                <w:rFonts w:hint="eastAsia" w:ascii="宋体" w:hAnsi="宋体" w:eastAsia="宋体" w:cs="宋体"/>
                <w:color w:val="000000"/>
                <w:sz w:val="24"/>
                <w:szCs w:val="24"/>
              </w:rPr>
            </w:pPr>
          </w:p>
        </w:tc>
        <w:tc>
          <w:tcPr>
            <w:tcW w:w="1276" w:type="dxa"/>
            <w:noWrap w:val="0"/>
            <w:vAlign w:val="top"/>
          </w:tcPr>
          <w:p w14:paraId="45CB0CEC">
            <w:pPr>
              <w:spacing w:line="240" w:lineRule="auto"/>
              <w:rPr>
                <w:rFonts w:hint="eastAsia" w:ascii="宋体" w:hAnsi="宋体" w:eastAsia="宋体" w:cs="宋体"/>
                <w:color w:val="000000"/>
                <w:sz w:val="24"/>
                <w:szCs w:val="24"/>
              </w:rPr>
            </w:pPr>
          </w:p>
        </w:tc>
        <w:tc>
          <w:tcPr>
            <w:tcW w:w="1450" w:type="dxa"/>
            <w:noWrap w:val="0"/>
            <w:vAlign w:val="top"/>
          </w:tcPr>
          <w:p w14:paraId="1B564ADF">
            <w:pPr>
              <w:spacing w:line="240" w:lineRule="auto"/>
              <w:rPr>
                <w:rFonts w:hint="eastAsia" w:ascii="宋体" w:hAnsi="宋体" w:eastAsia="宋体" w:cs="宋体"/>
                <w:color w:val="000000"/>
                <w:sz w:val="24"/>
                <w:szCs w:val="24"/>
              </w:rPr>
            </w:pPr>
          </w:p>
        </w:tc>
        <w:tc>
          <w:tcPr>
            <w:tcW w:w="1243" w:type="dxa"/>
            <w:noWrap w:val="0"/>
            <w:vAlign w:val="top"/>
          </w:tcPr>
          <w:p w14:paraId="11CF947D">
            <w:pPr>
              <w:spacing w:line="240" w:lineRule="auto"/>
              <w:rPr>
                <w:rFonts w:hint="eastAsia" w:ascii="宋体" w:hAnsi="宋体" w:eastAsia="宋体" w:cs="宋体"/>
                <w:color w:val="000000"/>
                <w:sz w:val="24"/>
                <w:szCs w:val="24"/>
              </w:rPr>
            </w:pPr>
          </w:p>
        </w:tc>
        <w:tc>
          <w:tcPr>
            <w:tcW w:w="1450" w:type="dxa"/>
            <w:noWrap w:val="0"/>
            <w:vAlign w:val="top"/>
          </w:tcPr>
          <w:p w14:paraId="25CAE5D0">
            <w:pPr>
              <w:spacing w:line="240" w:lineRule="auto"/>
              <w:rPr>
                <w:rFonts w:hint="eastAsia" w:ascii="宋体" w:hAnsi="宋体" w:eastAsia="宋体" w:cs="宋体"/>
                <w:color w:val="000000"/>
                <w:sz w:val="24"/>
                <w:szCs w:val="24"/>
              </w:rPr>
            </w:pPr>
          </w:p>
        </w:tc>
        <w:tc>
          <w:tcPr>
            <w:tcW w:w="1667" w:type="dxa"/>
            <w:noWrap w:val="0"/>
            <w:vAlign w:val="top"/>
          </w:tcPr>
          <w:p w14:paraId="2FE5A5B7">
            <w:pPr>
              <w:spacing w:line="240" w:lineRule="auto"/>
              <w:rPr>
                <w:rFonts w:hint="eastAsia" w:ascii="宋体" w:hAnsi="宋体" w:eastAsia="宋体" w:cs="宋体"/>
                <w:color w:val="000000"/>
                <w:sz w:val="24"/>
                <w:szCs w:val="24"/>
              </w:rPr>
            </w:pPr>
          </w:p>
        </w:tc>
      </w:tr>
    </w:tbl>
    <w:p w14:paraId="2024E02A">
      <w:pPr>
        <w:spacing w:line="240" w:lineRule="auto"/>
        <w:rPr>
          <w:rFonts w:hint="eastAsia" w:ascii="宋体" w:hAnsi="宋体" w:eastAsia="宋体" w:cs="宋体"/>
          <w:color w:val="000000"/>
          <w:sz w:val="24"/>
          <w:szCs w:val="24"/>
        </w:rPr>
      </w:pPr>
    </w:p>
    <w:p w14:paraId="1345534D">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992" w:name="_Toc296346728"/>
      <w:bookmarkStart w:id="993" w:name="_Toc296944566"/>
      <w:bookmarkStart w:id="994" w:name="_Toc267261698"/>
      <w:bookmarkStart w:id="995" w:name="_Toc296347226"/>
      <w:bookmarkStart w:id="996" w:name="_Toc296503227"/>
      <w:bookmarkStart w:id="997" w:name="_Toc296891267"/>
      <w:bookmarkStart w:id="998" w:name="_Toc296891055"/>
      <w:r>
        <w:rPr>
          <w:rFonts w:hint="eastAsia" w:ascii="宋体" w:hAnsi="宋体" w:eastAsia="宋体" w:cs="宋体"/>
          <w:color w:val="000000"/>
          <w:sz w:val="24"/>
          <w:szCs w:val="24"/>
        </w:rPr>
        <w:t>件5：</w:t>
      </w:r>
    </w:p>
    <w:bookmarkEnd w:id="992"/>
    <w:bookmarkEnd w:id="993"/>
    <w:bookmarkEnd w:id="994"/>
    <w:bookmarkEnd w:id="995"/>
    <w:bookmarkEnd w:id="996"/>
    <w:bookmarkEnd w:id="997"/>
    <w:bookmarkEnd w:id="998"/>
    <w:p w14:paraId="24027C8A">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512B5E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59DDB4E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418" w:type="dxa"/>
            <w:tcBorders>
              <w:top w:val="single" w:color="auto" w:sz="12" w:space="0"/>
              <w:bottom w:val="double" w:color="auto" w:sz="6" w:space="0"/>
            </w:tcBorders>
            <w:noWrap w:val="0"/>
            <w:vAlign w:val="center"/>
          </w:tcPr>
          <w:p w14:paraId="0111BA3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机械或设备名称</w:t>
            </w:r>
          </w:p>
        </w:tc>
        <w:tc>
          <w:tcPr>
            <w:tcW w:w="850" w:type="dxa"/>
            <w:tcBorders>
              <w:top w:val="single" w:color="auto" w:sz="12" w:space="0"/>
              <w:bottom w:val="double" w:color="auto" w:sz="6" w:space="0"/>
            </w:tcBorders>
            <w:noWrap w:val="0"/>
            <w:vAlign w:val="center"/>
          </w:tcPr>
          <w:p w14:paraId="4B378D8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规格型号</w:t>
            </w:r>
          </w:p>
        </w:tc>
        <w:tc>
          <w:tcPr>
            <w:tcW w:w="1058" w:type="dxa"/>
            <w:tcBorders>
              <w:top w:val="single" w:color="auto" w:sz="12" w:space="0"/>
              <w:bottom w:val="double" w:color="auto" w:sz="6" w:space="0"/>
            </w:tcBorders>
            <w:noWrap w:val="0"/>
            <w:vAlign w:val="center"/>
          </w:tcPr>
          <w:p w14:paraId="34EF186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数量</w:t>
            </w:r>
          </w:p>
        </w:tc>
        <w:tc>
          <w:tcPr>
            <w:tcW w:w="880" w:type="dxa"/>
            <w:tcBorders>
              <w:top w:val="single" w:color="auto" w:sz="12" w:space="0"/>
              <w:bottom w:val="double" w:color="auto" w:sz="6" w:space="0"/>
            </w:tcBorders>
            <w:noWrap w:val="0"/>
            <w:vAlign w:val="center"/>
          </w:tcPr>
          <w:p w14:paraId="1EA6115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产地</w:t>
            </w:r>
          </w:p>
        </w:tc>
        <w:tc>
          <w:tcPr>
            <w:tcW w:w="1020" w:type="dxa"/>
            <w:tcBorders>
              <w:top w:val="single" w:color="auto" w:sz="12" w:space="0"/>
              <w:bottom w:val="double" w:color="auto" w:sz="6" w:space="0"/>
            </w:tcBorders>
            <w:noWrap w:val="0"/>
            <w:vAlign w:val="center"/>
          </w:tcPr>
          <w:p w14:paraId="298F8AE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制造年份</w:t>
            </w:r>
          </w:p>
        </w:tc>
        <w:tc>
          <w:tcPr>
            <w:tcW w:w="1480" w:type="dxa"/>
            <w:tcBorders>
              <w:top w:val="single" w:color="auto" w:sz="12" w:space="0"/>
              <w:bottom w:val="double" w:color="auto" w:sz="6" w:space="0"/>
            </w:tcBorders>
            <w:noWrap w:val="0"/>
            <w:vAlign w:val="center"/>
          </w:tcPr>
          <w:p w14:paraId="6C8ECDD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额定功率(kW)</w:t>
            </w:r>
          </w:p>
        </w:tc>
        <w:tc>
          <w:tcPr>
            <w:tcW w:w="1020" w:type="dxa"/>
            <w:tcBorders>
              <w:top w:val="single" w:color="auto" w:sz="12" w:space="0"/>
              <w:bottom w:val="double" w:color="auto" w:sz="6" w:space="0"/>
            </w:tcBorders>
            <w:noWrap w:val="0"/>
            <w:vAlign w:val="center"/>
          </w:tcPr>
          <w:p w14:paraId="041C8FC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生产能力</w:t>
            </w:r>
          </w:p>
        </w:tc>
        <w:tc>
          <w:tcPr>
            <w:tcW w:w="921" w:type="dxa"/>
            <w:tcBorders>
              <w:top w:val="single" w:color="auto" w:sz="12" w:space="0"/>
              <w:bottom w:val="double" w:color="auto" w:sz="6" w:space="0"/>
            </w:tcBorders>
            <w:noWrap w:val="0"/>
            <w:vAlign w:val="center"/>
          </w:tcPr>
          <w:p w14:paraId="7FF5E9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备注</w:t>
            </w:r>
          </w:p>
        </w:tc>
      </w:tr>
      <w:tr w14:paraId="6DE7F9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72F48F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double" w:color="auto" w:sz="6" w:space="0"/>
              <w:bottom w:val="single" w:color="auto" w:sz="6" w:space="0"/>
            </w:tcBorders>
            <w:noWrap w:val="0"/>
            <w:vAlign w:val="center"/>
          </w:tcPr>
          <w:p w14:paraId="6491C26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double" w:color="auto" w:sz="6" w:space="0"/>
              <w:bottom w:val="single" w:color="auto" w:sz="6" w:space="0"/>
            </w:tcBorders>
            <w:noWrap w:val="0"/>
            <w:vAlign w:val="center"/>
          </w:tcPr>
          <w:p w14:paraId="19A511A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tcBorders>
              <w:top w:val="double" w:color="auto" w:sz="6" w:space="0"/>
              <w:bottom w:val="single" w:color="auto" w:sz="6" w:space="0"/>
            </w:tcBorders>
            <w:noWrap w:val="0"/>
            <w:vAlign w:val="center"/>
          </w:tcPr>
          <w:p w14:paraId="4CE4DFE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tcBorders>
              <w:top w:val="double" w:color="auto" w:sz="6" w:space="0"/>
              <w:bottom w:val="single" w:color="auto" w:sz="6" w:space="0"/>
            </w:tcBorders>
            <w:noWrap w:val="0"/>
            <w:vAlign w:val="center"/>
          </w:tcPr>
          <w:p w14:paraId="0EAC71B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tcBorders>
              <w:top w:val="double" w:color="auto" w:sz="6" w:space="0"/>
              <w:bottom w:val="single" w:color="auto" w:sz="6" w:space="0"/>
            </w:tcBorders>
            <w:noWrap w:val="0"/>
            <w:vAlign w:val="center"/>
          </w:tcPr>
          <w:p w14:paraId="38F5D05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tcBorders>
              <w:top w:val="double" w:color="auto" w:sz="6" w:space="0"/>
              <w:bottom w:val="single" w:color="auto" w:sz="6" w:space="0"/>
            </w:tcBorders>
            <w:noWrap w:val="0"/>
            <w:vAlign w:val="center"/>
          </w:tcPr>
          <w:p w14:paraId="77810B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tcBorders>
              <w:top w:val="double" w:color="auto" w:sz="6" w:space="0"/>
              <w:bottom w:val="single" w:color="auto" w:sz="6" w:space="0"/>
            </w:tcBorders>
            <w:noWrap w:val="0"/>
            <w:vAlign w:val="center"/>
          </w:tcPr>
          <w:p w14:paraId="4961235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tcBorders>
              <w:top w:val="double" w:color="auto" w:sz="6" w:space="0"/>
              <w:bottom w:val="single" w:color="auto" w:sz="6" w:space="0"/>
            </w:tcBorders>
            <w:noWrap w:val="0"/>
            <w:vAlign w:val="center"/>
          </w:tcPr>
          <w:p w14:paraId="5A89858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72D4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0EC67F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nil"/>
            </w:tcBorders>
            <w:noWrap w:val="0"/>
            <w:vAlign w:val="center"/>
          </w:tcPr>
          <w:p w14:paraId="5F923AA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tcBorders>
              <w:top w:val="nil"/>
            </w:tcBorders>
            <w:noWrap w:val="0"/>
            <w:vAlign w:val="center"/>
          </w:tcPr>
          <w:p w14:paraId="3F46007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tcBorders>
              <w:top w:val="nil"/>
            </w:tcBorders>
            <w:noWrap w:val="0"/>
            <w:vAlign w:val="center"/>
          </w:tcPr>
          <w:p w14:paraId="0AC4A31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tcBorders>
              <w:top w:val="nil"/>
            </w:tcBorders>
            <w:noWrap w:val="0"/>
            <w:vAlign w:val="center"/>
          </w:tcPr>
          <w:p w14:paraId="2378BB6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tcBorders>
              <w:top w:val="nil"/>
            </w:tcBorders>
            <w:noWrap w:val="0"/>
            <w:vAlign w:val="center"/>
          </w:tcPr>
          <w:p w14:paraId="38B1376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tcBorders>
              <w:top w:val="nil"/>
            </w:tcBorders>
            <w:noWrap w:val="0"/>
            <w:vAlign w:val="center"/>
          </w:tcPr>
          <w:p w14:paraId="41DBF5F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tcBorders>
              <w:top w:val="nil"/>
            </w:tcBorders>
            <w:noWrap w:val="0"/>
            <w:vAlign w:val="center"/>
          </w:tcPr>
          <w:p w14:paraId="3FC29FD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tcBorders>
              <w:top w:val="nil"/>
            </w:tcBorders>
            <w:noWrap w:val="0"/>
            <w:vAlign w:val="center"/>
          </w:tcPr>
          <w:p w14:paraId="314AAC5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24A2F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2EF2D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10F9C7F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30B2DC7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noWrap w:val="0"/>
            <w:vAlign w:val="center"/>
          </w:tcPr>
          <w:p w14:paraId="2E7F5E4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noWrap w:val="0"/>
            <w:vAlign w:val="center"/>
          </w:tcPr>
          <w:p w14:paraId="343F547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7621C54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noWrap w:val="0"/>
            <w:vAlign w:val="center"/>
          </w:tcPr>
          <w:p w14:paraId="6758F63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637B1ED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noWrap w:val="0"/>
            <w:vAlign w:val="center"/>
          </w:tcPr>
          <w:p w14:paraId="3ABD763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C3110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4514A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4D9652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4A1307D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noWrap w:val="0"/>
            <w:vAlign w:val="center"/>
          </w:tcPr>
          <w:p w14:paraId="32A1592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noWrap w:val="0"/>
            <w:vAlign w:val="center"/>
          </w:tcPr>
          <w:p w14:paraId="424A74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579E050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noWrap w:val="0"/>
            <w:vAlign w:val="center"/>
          </w:tcPr>
          <w:p w14:paraId="2F3EA7C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0689B88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noWrap w:val="0"/>
            <w:vAlign w:val="center"/>
          </w:tcPr>
          <w:p w14:paraId="389B035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4A74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445CE6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36A2436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39C882A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noWrap w:val="0"/>
            <w:vAlign w:val="center"/>
          </w:tcPr>
          <w:p w14:paraId="226E75B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noWrap w:val="0"/>
            <w:vAlign w:val="center"/>
          </w:tcPr>
          <w:p w14:paraId="52601B6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26AE30E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noWrap w:val="0"/>
            <w:vAlign w:val="center"/>
          </w:tcPr>
          <w:p w14:paraId="0A6FB35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33CBD38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noWrap w:val="0"/>
            <w:vAlign w:val="center"/>
          </w:tcPr>
          <w:p w14:paraId="2F11492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A80C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3231DE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171D3D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796401E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noWrap w:val="0"/>
            <w:vAlign w:val="center"/>
          </w:tcPr>
          <w:p w14:paraId="0A24D3D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noWrap w:val="0"/>
            <w:vAlign w:val="center"/>
          </w:tcPr>
          <w:p w14:paraId="1C5667C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38F94B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noWrap w:val="0"/>
            <w:vAlign w:val="center"/>
          </w:tcPr>
          <w:p w14:paraId="1485693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1E55163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noWrap w:val="0"/>
            <w:vAlign w:val="center"/>
          </w:tcPr>
          <w:p w14:paraId="45C6968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4B22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00D5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650F7BF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6E4E226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noWrap w:val="0"/>
            <w:vAlign w:val="center"/>
          </w:tcPr>
          <w:p w14:paraId="7DE765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noWrap w:val="0"/>
            <w:vAlign w:val="center"/>
          </w:tcPr>
          <w:p w14:paraId="1A078D3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4BEB06D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noWrap w:val="0"/>
            <w:vAlign w:val="center"/>
          </w:tcPr>
          <w:p w14:paraId="6BBEC37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1A76F99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noWrap w:val="0"/>
            <w:vAlign w:val="center"/>
          </w:tcPr>
          <w:p w14:paraId="4A2E0A2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B90BB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3C180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5B9209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5C063BE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noWrap w:val="0"/>
            <w:vAlign w:val="center"/>
          </w:tcPr>
          <w:p w14:paraId="02F4BAD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noWrap w:val="0"/>
            <w:vAlign w:val="center"/>
          </w:tcPr>
          <w:p w14:paraId="5C6591F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7B81069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noWrap w:val="0"/>
            <w:vAlign w:val="center"/>
          </w:tcPr>
          <w:p w14:paraId="76DCE8B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02A5F69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noWrap w:val="0"/>
            <w:vAlign w:val="center"/>
          </w:tcPr>
          <w:p w14:paraId="4BF900F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33E4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7B12C6D">
            <w:pPr>
              <w:spacing w:line="240" w:lineRule="auto"/>
              <w:rPr>
                <w:rFonts w:hint="eastAsia" w:ascii="宋体" w:hAnsi="宋体" w:eastAsia="宋体" w:cs="宋体"/>
                <w:color w:val="000000"/>
                <w:sz w:val="24"/>
                <w:szCs w:val="24"/>
              </w:rPr>
            </w:pPr>
          </w:p>
        </w:tc>
        <w:tc>
          <w:tcPr>
            <w:tcW w:w="1418" w:type="dxa"/>
            <w:noWrap w:val="0"/>
            <w:vAlign w:val="top"/>
          </w:tcPr>
          <w:p w14:paraId="69061B68">
            <w:pPr>
              <w:spacing w:line="240" w:lineRule="auto"/>
              <w:rPr>
                <w:rFonts w:hint="eastAsia" w:ascii="宋体" w:hAnsi="宋体" w:eastAsia="宋体" w:cs="宋体"/>
                <w:color w:val="000000"/>
                <w:sz w:val="24"/>
                <w:szCs w:val="24"/>
              </w:rPr>
            </w:pPr>
          </w:p>
        </w:tc>
        <w:tc>
          <w:tcPr>
            <w:tcW w:w="850" w:type="dxa"/>
            <w:noWrap w:val="0"/>
            <w:vAlign w:val="top"/>
          </w:tcPr>
          <w:p w14:paraId="581F4BA6">
            <w:pPr>
              <w:spacing w:line="240" w:lineRule="auto"/>
              <w:rPr>
                <w:rFonts w:hint="eastAsia" w:ascii="宋体" w:hAnsi="宋体" w:eastAsia="宋体" w:cs="宋体"/>
                <w:color w:val="000000"/>
                <w:sz w:val="24"/>
                <w:szCs w:val="24"/>
              </w:rPr>
            </w:pPr>
          </w:p>
        </w:tc>
        <w:tc>
          <w:tcPr>
            <w:tcW w:w="1058" w:type="dxa"/>
            <w:noWrap w:val="0"/>
            <w:vAlign w:val="top"/>
          </w:tcPr>
          <w:p w14:paraId="4FB077ED">
            <w:pPr>
              <w:spacing w:line="240" w:lineRule="auto"/>
              <w:rPr>
                <w:rFonts w:hint="eastAsia" w:ascii="宋体" w:hAnsi="宋体" w:eastAsia="宋体" w:cs="宋体"/>
                <w:color w:val="000000"/>
                <w:sz w:val="24"/>
                <w:szCs w:val="24"/>
              </w:rPr>
            </w:pPr>
          </w:p>
        </w:tc>
        <w:tc>
          <w:tcPr>
            <w:tcW w:w="880" w:type="dxa"/>
            <w:noWrap w:val="0"/>
            <w:vAlign w:val="top"/>
          </w:tcPr>
          <w:p w14:paraId="41AE8655">
            <w:pPr>
              <w:spacing w:line="240" w:lineRule="auto"/>
              <w:rPr>
                <w:rFonts w:hint="eastAsia" w:ascii="宋体" w:hAnsi="宋体" w:eastAsia="宋体" w:cs="宋体"/>
                <w:color w:val="000000"/>
                <w:sz w:val="24"/>
                <w:szCs w:val="24"/>
              </w:rPr>
            </w:pPr>
          </w:p>
        </w:tc>
        <w:tc>
          <w:tcPr>
            <w:tcW w:w="1020" w:type="dxa"/>
            <w:noWrap w:val="0"/>
            <w:vAlign w:val="top"/>
          </w:tcPr>
          <w:p w14:paraId="6A18889D">
            <w:pPr>
              <w:spacing w:line="240" w:lineRule="auto"/>
              <w:rPr>
                <w:rFonts w:hint="eastAsia" w:ascii="宋体" w:hAnsi="宋体" w:eastAsia="宋体" w:cs="宋体"/>
                <w:color w:val="000000"/>
                <w:sz w:val="24"/>
                <w:szCs w:val="24"/>
              </w:rPr>
            </w:pPr>
          </w:p>
        </w:tc>
        <w:tc>
          <w:tcPr>
            <w:tcW w:w="1480" w:type="dxa"/>
            <w:noWrap w:val="0"/>
            <w:vAlign w:val="top"/>
          </w:tcPr>
          <w:p w14:paraId="75BAEFE5">
            <w:pPr>
              <w:spacing w:line="240" w:lineRule="auto"/>
              <w:rPr>
                <w:rFonts w:hint="eastAsia" w:ascii="宋体" w:hAnsi="宋体" w:eastAsia="宋体" w:cs="宋体"/>
                <w:color w:val="000000"/>
                <w:sz w:val="24"/>
                <w:szCs w:val="24"/>
              </w:rPr>
            </w:pPr>
          </w:p>
        </w:tc>
        <w:tc>
          <w:tcPr>
            <w:tcW w:w="1020" w:type="dxa"/>
            <w:noWrap w:val="0"/>
            <w:vAlign w:val="top"/>
          </w:tcPr>
          <w:p w14:paraId="54DBAB2F">
            <w:pPr>
              <w:spacing w:line="240" w:lineRule="auto"/>
              <w:rPr>
                <w:rFonts w:hint="eastAsia" w:ascii="宋体" w:hAnsi="宋体" w:eastAsia="宋体" w:cs="宋体"/>
                <w:color w:val="000000"/>
                <w:sz w:val="24"/>
                <w:szCs w:val="24"/>
              </w:rPr>
            </w:pPr>
          </w:p>
        </w:tc>
        <w:tc>
          <w:tcPr>
            <w:tcW w:w="921" w:type="dxa"/>
            <w:noWrap w:val="0"/>
            <w:vAlign w:val="top"/>
          </w:tcPr>
          <w:p w14:paraId="30171404">
            <w:pPr>
              <w:spacing w:line="240" w:lineRule="auto"/>
              <w:rPr>
                <w:rFonts w:hint="eastAsia" w:ascii="宋体" w:hAnsi="宋体" w:eastAsia="宋体" w:cs="宋体"/>
                <w:color w:val="000000"/>
                <w:sz w:val="24"/>
                <w:szCs w:val="24"/>
              </w:rPr>
            </w:pPr>
          </w:p>
        </w:tc>
      </w:tr>
      <w:tr w14:paraId="2EEFB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378AB9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461236D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0" w:type="dxa"/>
            <w:noWrap w:val="0"/>
            <w:vAlign w:val="center"/>
          </w:tcPr>
          <w:p w14:paraId="5EE495C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58" w:type="dxa"/>
            <w:noWrap w:val="0"/>
            <w:vAlign w:val="center"/>
          </w:tcPr>
          <w:p w14:paraId="143485E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80" w:type="dxa"/>
            <w:noWrap w:val="0"/>
            <w:vAlign w:val="center"/>
          </w:tcPr>
          <w:p w14:paraId="6C20D6C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07D0534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80" w:type="dxa"/>
            <w:noWrap w:val="0"/>
            <w:vAlign w:val="center"/>
          </w:tcPr>
          <w:p w14:paraId="1AC7070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020" w:type="dxa"/>
            <w:noWrap w:val="0"/>
            <w:vAlign w:val="center"/>
          </w:tcPr>
          <w:p w14:paraId="52F2EB2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921" w:type="dxa"/>
            <w:noWrap w:val="0"/>
            <w:vAlign w:val="center"/>
          </w:tcPr>
          <w:p w14:paraId="7B1B76C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5C64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3575A83">
            <w:pPr>
              <w:spacing w:line="240" w:lineRule="auto"/>
              <w:rPr>
                <w:rFonts w:hint="eastAsia" w:ascii="宋体" w:hAnsi="宋体" w:eastAsia="宋体" w:cs="宋体"/>
                <w:color w:val="000000"/>
                <w:sz w:val="24"/>
                <w:szCs w:val="24"/>
              </w:rPr>
            </w:pPr>
          </w:p>
        </w:tc>
        <w:tc>
          <w:tcPr>
            <w:tcW w:w="1418" w:type="dxa"/>
            <w:noWrap w:val="0"/>
            <w:vAlign w:val="top"/>
          </w:tcPr>
          <w:p w14:paraId="33F88AAA">
            <w:pPr>
              <w:spacing w:line="240" w:lineRule="auto"/>
              <w:rPr>
                <w:rFonts w:hint="eastAsia" w:ascii="宋体" w:hAnsi="宋体" w:eastAsia="宋体" w:cs="宋体"/>
                <w:color w:val="000000"/>
                <w:sz w:val="24"/>
                <w:szCs w:val="24"/>
              </w:rPr>
            </w:pPr>
          </w:p>
        </w:tc>
        <w:tc>
          <w:tcPr>
            <w:tcW w:w="850" w:type="dxa"/>
            <w:noWrap w:val="0"/>
            <w:vAlign w:val="top"/>
          </w:tcPr>
          <w:p w14:paraId="0A8AE838">
            <w:pPr>
              <w:spacing w:line="240" w:lineRule="auto"/>
              <w:rPr>
                <w:rFonts w:hint="eastAsia" w:ascii="宋体" w:hAnsi="宋体" w:eastAsia="宋体" w:cs="宋体"/>
                <w:color w:val="000000"/>
                <w:sz w:val="24"/>
                <w:szCs w:val="24"/>
              </w:rPr>
            </w:pPr>
          </w:p>
        </w:tc>
        <w:tc>
          <w:tcPr>
            <w:tcW w:w="1058" w:type="dxa"/>
            <w:noWrap w:val="0"/>
            <w:vAlign w:val="top"/>
          </w:tcPr>
          <w:p w14:paraId="6A0748E2">
            <w:pPr>
              <w:spacing w:line="240" w:lineRule="auto"/>
              <w:rPr>
                <w:rFonts w:hint="eastAsia" w:ascii="宋体" w:hAnsi="宋体" w:eastAsia="宋体" w:cs="宋体"/>
                <w:color w:val="000000"/>
                <w:sz w:val="24"/>
                <w:szCs w:val="24"/>
              </w:rPr>
            </w:pPr>
          </w:p>
        </w:tc>
        <w:tc>
          <w:tcPr>
            <w:tcW w:w="880" w:type="dxa"/>
            <w:noWrap w:val="0"/>
            <w:vAlign w:val="top"/>
          </w:tcPr>
          <w:p w14:paraId="2D7B0903">
            <w:pPr>
              <w:spacing w:line="240" w:lineRule="auto"/>
              <w:rPr>
                <w:rFonts w:hint="eastAsia" w:ascii="宋体" w:hAnsi="宋体" w:eastAsia="宋体" w:cs="宋体"/>
                <w:color w:val="000000"/>
                <w:sz w:val="24"/>
                <w:szCs w:val="24"/>
              </w:rPr>
            </w:pPr>
          </w:p>
        </w:tc>
        <w:tc>
          <w:tcPr>
            <w:tcW w:w="1020" w:type="dxa"/>
            <w:noWrap w:val="0"/>
            <w:vAlign w:val="top"/>
          </w:tcPr>
          <w:p w14:paraId="45FCBE04">
            <w:pPr>
              <w:spacing w:line="240" w:lineRule="auto"/>
              <w:rPr>
                <w:rFonts w:hint="eastAsia" w:ascii="宋体" w:hAnsi="宋体" w:eastAsia="宋体" w:cs="宋体"/>
                <w:color w:val="000000"/>
                <w:sz w:val="24"/>
                <w:szCs w:val="24"/>
              </w:rPr>
            </w:pPr>
          </w:p>
        </w:tc>
        <w:tc>
          <w:tcPr>
            <w:tcW w:w="1480" w:type="dxa"/>
            <w:noWrap w:val="0"/>
            <w:vAlign w:val="top"/>
          </w:tcPr>
          <w:p w14:paraId="0A2F88E6">
            <w:pPr>
              <w:spacing w:line="240" w:lineRule="auto"/>
              <w:rPr>
                <w:rFonts w:hint="eastAsia" w:ascii="宋体" w:hAnsi="宋体" w:eastAsia="宋体" w:cs="宋体"/>
                <w:color w:val="000000"/>
                <w:sz w:val="24"/>
                <w:szCs w:val="24"/>
              </w:rPr>
            </w:pPr>
          </w:p>
        </w:tc>
        <w:tc>
          <w:tcPr>
            <w:tcW w:w="1020" w:type="dxa"/>
            <w:noWrap w:val="0"/>
            <w:vAlign w:val="top"/>
          </w:tcPr>
          <w:p w14:paraId="24F8AAED">
            <w:pPr>
              <w:spacing w:line="240" w:lineRule="auto"/>
              <w:rPr>
                <w:rFonts w:hint="eastAsia" w:ascii="宋体" w:hAnsi="宋体" w:eastAsia="宋体" w:cs="宋体"/>
                <w:color w:val="000000"/>
                <w:sz w:val="24"/>
                <w:szCs w:val="24"/>
              </w:rPr>
            </w:pPr>
          </w:p>
        </w:tc>
        <w:tc>
          <w:tcPr>
            <w:tcW w:w="921" w:type="dxa"/>
            <w:noWrap w:val="0"/>
            <w:vAlign w:val="top"/>
          </w:tcPr>
          <w:p w14:paraId="126F06BC">
            <w:pPr>
              <w:spacing w:line="240" w:lineRule="auto"/>
              <w:rPr>
                <w:rFonts w:hint="eastAsia" w:ascii="宋体" w:hAnsi="宋体" w:eastAsia="宋体" w:cs="宋体"/>
                <w:color w:val="000000"/>
                <w:sz w:val="24"/>
                <w:szCs w:val="24"/>
              </w:rPr>
            </w:pPr>
          </w:p>
        </w:tc>
      </w:tr>
      <w:tr w14:paraId="5C476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DDE126">
            <w:pPr>
              <w:spacing w:line="240" w:lineRule="auto"/>
              <w:rPr>
                <w:rFonts w:hint="eastAsia" w:ascii="宋体" w:hAnsi="宋体" w:eastAsia="宋体" w:cs="宋体"/>
                <w:color w:val="000000"/>
                <w:sz w:val="24"/>
                <w:szCs w:val="24"/>
              </w:rPr>
            </w:pPr>
          </w:p>
        </w:tc>
        <w:tc>
          <w:tcPr>
            <w:tcW w:w="1418" w:type="dxa"/>
            <w:noWrap w:val="0"/>
            <w:vAlign w:val="top"/>
          </w:tcPr>
          <w:p w14:paraId="48B60033">
            <w:pPr>
              <w:spacing w:line="240" w:lineRule="auto"/>
              <w:rPr>
                <w:rFonts w:hint="eastAsia" w:ascii="宋体" w:hAnsi="宋体" w:eastAsia="宋体" w:cs="宋体"/>
                <w:color w:val="000000"/>
                <w:sz w:val="24"/>
                <w:szCs w:val="24"/>
              </w:rPr>
            </w:pPr>
          </w:p>
        </w:tc>
        <w:tc>
          <w:tcPr>
            <w:tcW w:w="850" w:type="dxa"/>
            <w:noWrap w:val="0"/>
            <w:vAlign w:val="top"/>
          </w:tcPr>
          <w:p w14:paraId="7A9522C2">
            <w:pPr>
              <w:spacing w:line="240" w:lineRule="auto"/>
              <w:rPr>
                <w:rFonts w:hint="eastAsia" w:ascii="宋体" w:hAnsi="宋体" w:eastAsia="宋体" w:cs="宋体"/>
                <w:color w:val="000000"/>
                <w:sz w:val="24"/>
                <w:szCs w:val="24"/>
              </w:rPr>
            </w:pPr>
          </w:p>
        </w:tc>
        <w:tc>
          <w:tcPr>
            <w:tcW w:w="1058" w:type="dxa"/>
            <w:noWrap w:val="0"/>
            <w:vAlign w:val="top"/>
          </w:tcPr>
          <w:p w14:paraId="783B0F05">
            <w:pPr>
              <w:spacing w:line="240" w:lineRule="auto"/>
              <w:rPr>
                <w:rFonts w:hint="eastAsia" w:ascii="宋体" w:hAnsi="宋体" w:eastAsia="宋体" w:cs="宋体"/>
                <w:color w:val="000000"/>
                <w:sz w:val="24"/>
                <w:szCs w:val="24"/>
              </w:rPr>
            </w:pPr>
          </w:p>
        </w:tc>
        <w:tc>
          <w:tcPr>
            <w:tcW w:w="880" w:type="dxa"/>
            <w:noWrap w:val="0"/>
            <w:vAlign w:val="top"/>
          </w:tcPr>
          <w:p w14:paraId="1BEE9A4F">
            <w:pPr>
              <w:spacing w:line="240" w:lineRule="auto"/>
              <w:rPr>
                <w:rFonts w:hint="eastAsia" w:ascii="宋体" w:hAnsi="宋体" w:eastAsia="宋体" w:cs="宋体"/>
                <w:color w:val="000000"/>
                <w:sz w:val="24"/>
                <w:szCs w:val="24"/>
              </w:rPr>
            </w:pPr>
          </w:p>
        </w:tc>
        <w:tc>
          <w:tcPr>
            <w:tcW w:w="1020" w:type="dxa"/>
            <w:noWrap w:val="0"/>
            <w:vAlign w:val="top"/>
          </w:tcPr>
          <w:p w14:paraId="6682296E">
            <w:pPr>
              <w:spacing w:line="240" w:lineRule="auto"/>
              <w:rPr>
                <w:rFonts w:hint="eastAsia" w:ascii="宋体" w:hAnsi="宋体" w:eastAsia="宋体" w:cs="宋体"/>
                <w:color w:val="000000"/>
                <w:sz w:val="24"/>
                <w:szCs w:val="24"/>
              </w:rPr>
            </w:pPr>
          </w:p>
        </w:tc>
        <w:tc>
          <w:tcPr>
            <w:tcW w:w="1480" w:type="dxa"/>
            <w:noWrap w:val="0"/>
            <w:vAlign w:val="top"/>
          </w:tcPr>
          <w:p w14:paraId="618FD4FA">
            <w:pPr>
              <w:spacing w:line="240" w:lineRule="auto"/>
              <w:rPr>
                <w:rFonts w:hint="eastAsia" w:ascii="宋体" w:hAnsi="宋体" w:eastAsia="宋体" w:cs="宋体"/>
                <w:color w:val="000000"/>
                <w:sz w:val="24"/>
                <w:szCs w:val="24"/>
              </w:rPr>
            </w:pPr>
          </w:p>
        </w:tc>
        <w:tc>
          <w:tcPr>
            <w:tcW w:w="1020" w:type="dxa"/>
            <w:noWrap w:val="0"/>
            <w:vAlign w:val="top"/>
          </w:tcPr>
          <w:p w14:paraId="1521E2BB">
            <w:pPr>
              <w:spacing w:line="240" w:lineRule="auto"/>
              <w:rPr>
                <w:rFonts w:hint="eastAsia" w:ascii="宋体" w:hAnsi="宋体" w:eastAsia="宋体" w:cs="宋体"/>
                <w:color w:val="000000"/>
                <w:sz w:val="24"/>
                <w:szCs w:val="24"/>
              </w:rPr>
            </w:pPr>
          </w:p>
        </w:tc>
        <w:tc>
          <w:tcPr>
            <w:tcW w:w="921" w:type="dxa"/>
            <w:noWrap w:val="0"/>
            <w:vAlign w:val="top"/>
          </w:tcPr>
          <w:p w14:paraId="53449103">
            <w:pPr>
              <w:spacing w:line="240" w:lineRule="auto"/>
              <w:rPr>
                <w:rFonts w:hint="eastAsia" w:ascii="宋体" w:hAnsi="宋体" w:eastAsia="宋体" w:cs="宋体"/>
                <w:color w:val="000000"/>
                <w:sz w:val="24"/>
                <w:szCs w:val="24"/>
              </w:rPr>
            </w:pPr>
          </w:p>
        </w:tc>
      </w:tr>
      <w:tr w14:paraId="5DFB8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AB5256A">
            <w:pPr>
              <w:spacing w:line="240" w:lineRule="auto"/>
              <w:rPr>
                <w:rFonts w:hint="eastAsia" w:ascii="宋体" w:hAnsi="宋体" w:eastAsia="宋体" w:cs="宋体"/>
                <w:color w:val="000000"/>
                <w:sz w:val="24"/>
                <w:szCs w:val="24"/>
              </w:rPr>
            </w:pPr>
          </w:p>
        </w:tc>
        <w:tc>
          <w:tcPr>
            <w:tcW w:w="1418" w:type="dxa"/>
            <w:noWrap w:val="0"/>
            <w:vAlign w:val="top"/>
          </w:tcPr>
          <w:p w14:paraId="3B24D192">
            <w:pPr>
              <w:spacing w:line="240" w:lineRule="auto"/>
              <w:rPr>
                <w:rFonts w:hint="eastAsia" w:ascii="宋体" w:hAnsi="宋体" w:eastAsia="宋体" w:cs="宋体"/>
                <w:color w:val="000000"/>
                <w:sz w:val="24"/>
                <w:szCs w:val="24"/>
              </w:rPr>
            </w:pPr>
          </w:p>
        </w:tc>
        <w:tc>
          <w:tcPr>
            <w:tcW w:w="850" w:type="dxa"/>
            <w:noWrap w:val="0"/>
            <w:vAlign w:val="top"/>
          </w:tcPr>
          <w:p w14:paraId="36D38B05">
            <w:pPr>
              <w:spacing w:line="240" w:lineRule="auto"/>
              <w:rPr>
                <w:rFonts w:hint="eastAsia" w:ascii="宋体" w:hAnsi="宋体" w:eastAsia="宋体" w:cs="宋体"/>
                <w:color w:val="000000"/>
                <w:sz w:val="24"/>
                <w:szCs w:val="24"/>
              </w:rPr>
            </w:pPr>
          </w:p>
        </w:tc>
        <w:tc>
          <w:tcPr>
            <w:tcW w:w="1058" w:type="dxa"/>
            <w:noWrap w:val="0"/>
            <w:vAlign w:val="top"/>
          </w:tcPr>
          <w:p w14:paraId="47778772">
            <w:pPr>
              <w:spacing w:line="240" w:lineRule="auto"/>
              <w:rPr>
                <w:rFonts w:hint="eastAsia" w:ascii="宋体" w:hAnsi="宋体" w:eastAsia="宋体" w:cs="宋体"/>
                <w:color w:val="000000"/>
                <w:sz w:val="24"/>
                <w:szCs w:val="24"/>
              </w:rPr>
            </w:pPr>
          </w:p>
        </w:tc>
        <w:tc>
          <w:tcPr>
            <w:tcW w:w="880" w:type="dxa"/>
            <w:noWrap w:val="0"/>
            <w:vAlign w:val="top"/>
          </w:tcPr>
          <w:p w14:paraId="4AAE0959">
            <w:pPr>
              <w:spacing w:line="240" w:lineRule="auto"/>
              <w:rPr>
                <w:rFonts w:hint="eastAsia" w:ascii="宋体" w:hAnsi="宋体" w:eastAsia="宋体" w:cs="宋体"/>
                <w:color w:val="000000"/>
                <w:sz w:val="24"/>
                <w:szCs w:val="24"/>
              </w:rPr>
            </w:pPr>
          </w:p>
        </w:tc>
        <w:tc>
          <w:tcPr>
            <w:tcW w:w="1020" w:type="dxa"/>
            <w:noWrap w:val="0"/>
            <w:vAlign w:val="top"/>
          </w:tcPr>
          <w:p w14:paraId="524DDB53">
            <w:pPr>
              <w:spacing w:line="240" w:lineRule="auto"/>
              <w:rPr>
                <w:rFonts w:hint="eastAsia" w:ascii="宋体" w:hAnsi="宋体" w:eastAsia="宋体" w:cs="宋体"/>
                <w:color w:val="000000"/>
                <w:sz w:val="24"/>
                <w:szCs w:val="24"/>
              </w:rPr>
            </w:pPr>
          </w:p>
        </w:tc>
        <w:tc>
          <w:tcPr>
            <w:tcW w:w="1480" w:type="dxa"/>
            <w:noWrap w:val="0"/>
            <w:vAlign w:val="top"/>
          </w:tcPr>
          <w:p w14:paraId="16828F01">
            <w:pPr>
              <w:spacing w:line="240" w:lineRule="auto"/>
              <w:rPr>
                <w:rFonts w:hint="eastAsia" w:ascii="宋体" w:hAnsi="宋体" w:eastAsia="宋体" w:cs="宋体"/>
                <w:color w:val="000000"/>
                <w:sz w:val="24"/>
                <w:szCs w:val="24"/>
              </w:rPr>
            </w:pPr>
          </w:p>
        </w:tc>
        <w:tc>
          <w:tcPr>
            <w:tcW w:w="1020" w:type="dxa"/>
            <w:noWrap w:val="0"/>
            <w:vAlign w:val="top"/>
          </w:tcPr>
          <w:p w14:paraId="7CCCD30F">
            <w:pPr>
              <w:spacing w:line="240" w:lineRule="auto"/>
              <w:rPr>
                <w:rFonts w:hint="eastAsia" w:ascii="宋体" w:hAnsi="宋体" w:eastAsia="宋体" w:cs="宋体"/>
                <w:color w:val="000000"/>
                <w:sz w:val="24"/>
                <w:szCs w:val="24"/>
              </w:rPr>
            </w:pPr>
          </w:p>
        </w:tc>
        <w:tc>
          <w:tcPr>
            <w:tcW w:w="921" w:type="dxa"/>
            <w:noWrap w:val="0"/>
            <w:vAlign w:val="top"/>
          </w:tcPr>
          <w:p w14:paraId="3955B772">
            <w:pPr>
              <w:spacing w:line="240" w:lineRule="auto"/>
              <w:rPr>
                <w:rFonts w:hint="eastAsia" w:ascii="宋体" w:hAnsi="宋体" w:eastAsia="宋体" w:cs="宋体"/>
                <w:color w:val="000000"/>
                <w:sz w:val="24"/>
                <w:szCs w:val="24"/>
              </w:rPr>
            </w:pPr>
          </w:p>
        </w:tc>
      </w:tr>
      <w:tr w14:paraId="5EDF0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04546FE">
            <w:pPr>
              <w:spacing w:line="240" w:lineRule="auto"/>
              <w:rPr>
                <w:rFonts w:hint="eastAsia" w:ascii="宋体" w:hAnsi="宋体" w:eastAsia="宋体" w:cs="宋体"/>
                <w:color w:val="000000"/>
                <w:sz w:val="24"/>
                <w:szCs w:val="24"/>
              </w:rPr>
            </w:pPr>
          </w:p>
        </w:tc>
        <w:tc>
          <w:tcPr>
            <w:tcW w:w="1418" w:type="dxa"/>
            <w:noWrap w:val="0"/>
            <w:vAlign w:val="top"/>
          </w:tcPr>
          <w:p w14:paraId="6C3595BD">
            <w:pPr>
              <w:spacing w:line="240" w:lineRule="auto"/>
              <w:rPr>
                <w:rFonts w:hint="eastAsia" w:ascii="宋体" w:hAnsi="宋体" w:eastAsia="宋体" w:cs="宋体"/>
                <w:color w:val="000000"/>
                <w:sz w:val="24"/>
                <w:szCs w:val="24"/>
              </w:rPr>
            </w:pPr>
          </w:p>
        </w:tc>
        <w:tc>
          <w:tcPr>
            <w:tcW w:w="850" w:type="dxa"/>
            <w:noWrap w:val="0"/>
            <w:vAlign w:val="top"/>
          </w:tcPr>
          <w:p w14:paraId="60BD0935">
            <w:pPr>
              <w:spacing w:line="240" w:lineRule="auto"/>
              <w:rPr>
                <w:rFonts w:hint="eastAsia" w:ascii="宋体" w:hAnsi="宋体" w:eastAsia="宋体" w:cs="宋体"/>
                <w:color w:val="000000"/>
                <w:sz w:val="24"/>
                <w:szCs w:val="24"/>
              </w:rPr>
            </w:pPr>
          </w:p>
        </w:tc>
        <w:tc>
          <w:tcPr>
            <w:tcW w:w="1058" w:type="dxa"/>
            <w:noWrap w:val="0"/>
            <w:vAlign w:val="top"/>
          </w:tcPr>
          <w:p w14:paraId="49B2033A">
            <w:pPr>
              <w:spacing w:line="240" w:lineRule="auto"/>
              <w:rPr>
                <w:rFonts w:hint="eastAsia" w:ascii="宋体" w:hAnsi="宋体" w:eastAsia="宋体" w:cs="宋体"/>
                <w:color w:val="000000"/>
                <w:sz w:val="24"/>
                <w:szCs w:val="24"/>
              </w:rPr>
            </w:pPr>
          </w:p>
        </w:tc>
        <w:tc>
          <w:tcPr>
            <w:tcW w:w="880" w:type="dxa"/>
            <w:noWrap w:val="0"/>
            <w:vAlign w:val="top"/>
          </w:tcPr>
          <w:p w14:paraId="19AD5689">
            <w:pPr>
              <w:spacing w:line="240" w:lineRule="auto"/>
              <w:rPr>
                <w:rFonts w:hint="eastAsia" w:ascii="宋体" w:hAnsi="宋体" w:eastAsia="宋体" w:cs="宋体"/>
                <w:color w:val="000000"/>
                <w:sz w:val="24"/>
                <w:szCs w:val="24"/>
              </w:rPr>
            </w:pPr>
          </w:p>
        </w:tc>
        <w:tc>
          <w:tcPr>
            <w:tcW w:w="1020" w:type="dxa"/>
            <w:noWrap w:val="0"/>
            <w:vAlign w:val="top"/>
          </w:tcPr>
          <w:p w14:paraId="16C1994A">
            <w:pPr>
              <w:spacing w:line="240" w:lineRule="auto"/>
              <w:rPr>
                <w:rFonts w:hint="eastAsia" w:ascii="宋体" w:hAnsi="宋体" w:eastAsia="宋体" w:cs="宋体"/>
                <w:color w:val="000000"/>
                <w:sz w:val="24"/>
                <w:szCs w:val="24"/>
              </w:rPr>
            </w:pPr>
          </w:p>
        </w:tc>
        <w:tc>
          <w:tcPr>
            <w:tcW w:w="1480" w:type="dxa"/>
            <w:noWrap w:val="0"/>
            <w:vAlign w:val="top"/>
          </w:tcPr>
          <w:p w14:paraId="41CA5D80">
            <w:pPr>
              <w:spacing w:line="240" w:lineRule="auto"/>
              <w:rPr>
                <w:rFonts w:hint="eastAsia" w:ascii="宋体" w:hAnsi="宋体" w:eastAsia="宋体" w:cs="宋体"/>
                <w:color w:val="000000"/>
                <w:sz w:val="24"/>
                <w:szCs w:val="24"/>
              </w:rPr>
            </w:pPr>
          </w:p>
        </w:tc>
        <w:tc>
          <w:tcPr>
            <w:tcW w:w="1020" w:type="dxa"/>
            <w:noWrap w:val="0"/>
            <w:vAlign w:val="top"/>
          </w:tcPr>
          <w:p w14:paraId="25B779D9">
            <w:pPr>
              <w:spacing w:line="240" w:lineRule="auto"/>
              <w:rPr>
                <w:rFonts w:hint="eastAsia" w:ascii="宋体" w:hAnsi="宋体" w:eastAsia="宋体" w:cs="宋体"/>
                <w:color w:val="000000"/>
                <w:sz w:val="24"/>
                <w:szCs w:val="24"/>
              </w:rPr>
            </w:pPr>
          </w:p>
        </w:tc>
        <w:tc>
          <w:tcPr>
            <w:tcW w:w="921" w:type="dxa"/>
            <w:noWrap w:val="0"/>
            <w:vAlign w:val="top"/>
          </w:tcPr>
          <w:p w14:paraId="4D010C10">
            <w:pPr>
              <w:spacing w:line="240" w:lineRule="auto"/>
              <w:rPr>
                <w:rFonts w:hint="eastAsia" w:ascii="宋体" w:hAnsi="宋体" w:eastAsia="宋体" w:cs="宋体"/>
                <w:color w:val="000000"/>
                <w:sz w:val="24"/>
                <w:szCs w:val="24"/>
              </w:rPr>
            </w:pPr>
          </w:p>
        </w:tc>
      </w:tr>
      <w:tr w14:paraId="5CC8FE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E937CAC">
            <w:pPr>
              <w:spacing w:line="240" w:lineRule="auto"/>
              <w:rPr>
                <w:rFonts w:hint="eastAsia" w:ascii="宋体" w:hAnsi="宋体" w:eastAsia="宋体" w:cs="宋体"/>
                <w:color w:val="000000"/>
                <w:sz w:val="24"/>
                <w:szCs w:val="24"/>
              </w:rPr>
            </w:pPr>
          </w:p>
        </w:tc>
        <w:tc>
          <w:tcPr>
            <w:tcW w:w="1418" w:type="dxa"/>
            <w:noWrap w:val="0"/>
            <w:vAlign w:val="top"/>
          </w:tcPr>
          <w:p w14:paraId="66E4A9C8">
            <w:pPr>
              <w:spacing w:line="240" w:lineRule="auto"/>
              <w:rPr>
                <w:rFonts w:hint="eastAsia" w:ascii="宋体" w:hAnsi="宋体" w:eastAsia="宋体" w:cs="宋体"/>
                <w:color w:val="000000"/>
                <w:sz w:val="24"/>
                <w:szCs w:val="24"/>
              </w:rPr>
            </w:pPr>
          </w:p>
        </w:tc>
        <w:tc>
          <w:tcPr>
            <w:tcW w:w="850" w:type="dxa"/>
            <w:noWrap w:val="0"/>
            <w:vAlign w:val="top"/>
          </w:tcPr>
          <w:p w14:paraId="3CA1BED2">
            <w:pPr>
              <w:spacing w:line="240" w:lineRule="auto"/>
              <w:rPr>
                <w:rFonts w:hint="eastAsia" w:ascii="宋体" w:hAnsi="宋体" w:eastAsia="宋体" w:cs="宋体"/>
                <w:color w:val="000000"/>
                <w:sz w:val="24"/>
                <w:szCs w:val="24"/>
              </w:rPr>
            </w:pPr>
          </w:p>
        </w:tc>
        <w:tc>
          <w:tcPr>
            <w:tcW w:w="1058" w:type="dxa"/>
            <w:noWrap w:val="0"/>
            <w:vAlign w:val="top"/>
          </w:tcPr>
          <w:p w14:paraId="0098846A">
            <w:pPr>
              <w:spacing w:line="240" w:lineRule="auto"/>
              <w:rPr>
                <w:rFonts w:hint="eastAsia" w:ascii="宋体" w:hAnsi="宋体" w:eastAsia="宋体" w:cs="宋体"/>
                <w:color w:val="000000"/>
                <w:sz w:val="24"/>
                <w:szCs w:val="24"/>
              </w:rPr>
            </w:pPr>
          </w:p>
        </w:tc>
        <w:tc>
          <w:tcPr>
            <w:tcW w:w="880" w:type="dxa"/>
            <w:noWrap w:val="0"/>
            <w:vAlign w:val="top"/>
          </w:tcPr>
          <w:p w14:paraId="331105C3">
            <w:pPr>
              <w:spacing w:line="240" w:lineRule="auto"/>
              <w:rPr>
                <w:rFonts w:hint="eastAsia" w:ascii="宋体" w:hAnsi="宋体" w:eastAsia="宋体" w:cs="宋体"/>
                <w:color w:val="000000"/>
                <w:sz w:val="24"/>
                <w:szCs w:val="24"/>
              </w:rPr>
            </w:pPr>
          </w:p>
        </w:tc>
        <w:tc>
          <w:tcPr>
            <w:tcW w:w="1020" w:type="dxa"/>
            <w:noWrap w:val="0"/>
            <w:vAlign w:val="top"/>
          </w:tcPr>
          <w:p w14:paraId="1E9276F1">
            <w:pPr>
              <w:spacing w:line="240" w:lineRule="auto"/>
              <w:rPr>
                <w:rFonts w:hint="eastAsia" w:ascii="宋体" w:hAnsi="宋体" w:eastAsia="宋体" w:cs="宋体"/>
                <w:color w:val="000000"/>
                <w:sz w:val="24"/>
                <w:szCs w:val="24"/>
              </w:rPr>
            </w:pPr>
          </w:p>
        </w:tc>
        <w:tc>
          <w:tcPr>
            <w:tcW w:w="1480" w:type="dxa"/>
            <w:noWrap w:val="0"/>
            <w:vAlign w:val="top"/>
          </w:tcPr>
          <w:p w14:paraId="5E682D32">
            <w:pPr>
              <w:spacing w:line="240" w:lineRule="auto"/>
              <w:rPr>
                <w:rFonts w:hint="eastAsia" w:ascii="宋体" w:hAnsi="宋体" w:eastAsia="宋体" w:cs="宋体"/>
                <w:color w:val="000000"/>
                <w:sz w:val="24"/>
                <w:szCs w:val="24"/>
              </w:rPr>
            </w:pPr>
          </w:p>
        </w:tc>
        <w:tc>
          <w:tcPr>
            <w:tcW w:w="1020" w:type="dxa"/>
            <w:noWrap w:val="0"/>
            <w:vAlign w:val="top"/>
          </w:tcPr>
          <w:p w14:paraId="13338B43">
            <w:pPr>
              <w:spacing w:line="240" w:lineRule="auto"/>
              <w:rPr>
                <w:rFonts w:hint="eastAsia" w:ascii="宋体" w:hAnsi="宋体" w:eastAsia="宋体" w:cs="宋体"/>
                <w:color w:val="000000"/>
                <w:sz w:val="24"/>
                <w:szCs w:val="24"/>
              </w:rPr>
            </w:pPr>
          </w:p>
        </w:tc>
        <w:tc>
          <w:tcPr>
            <w:tcW w:w="921" w:type="dxa"/>
            <w:noWrap w:val="0"/>
            <w:vAlign w:val="top"/>
          </w:tcPr>
          <w:p w14:paraId="1CB466C7">
            <w:pPr>
              <w:spacing w:line="240" w:lineRule="auto"/>
              <w:rPr>
                <w:rFonts w:hint="eastAsia" w:ascii="宋体" w:hAnsi="宋体" w:eastAsia="宋体" w:cs="宋体"/>
                <w:color w:val="000000"/>
                <w:sz w:val="24"/>
                <w:szCs w:val="24"/>
              </w:rPr>
            </w:pPr>
          </w:p>
        </w:tc>
      </w:tr>
      <w:tr w14:paraId="67380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EDFF0A5">
            <w:pPr>
              <w:spacing w:line="240" w:lineRule="auto"/>
              <w:rPr>
                <w:rFonts w:hint="eastAsia" w:ascii="宋体" w:hAnsi="宋体" w:eastAsia="宋体" w:cs="宋体"/>
                <w:color w:val="000000"/>
                <w:sz w:val="24"/>
                <w:szCs w:val="24"/>
              </w:rPr>
            </w:pPr>
          </w:p>
        </w:tc>
        <w:tc>
          <w:tcPr>
            <w:tcW w:w="1418" w:type="dxa"/>
            <w:noWrap w:val="0"/>
            <w:vAlign w:val="top"/>
          </w:tcPr>
          <w:p w14:paraId="6A6D0D45">
            <w:pPr>
              <w:spacing w:line="240" w:lineRule="auto"/>
              <w:rPr>
                <w:rFonts w:hint="eastAsia" w:ascii="宋体" w:hAnsi="宋体" w:eastAsia="宋体" w:cs="宋体"/>
                <w:color w:val="000000"/>
                <w:sz w:val="24"/>
                <w:szCs w:val="24"/>
              </w:rPr>
            </w:pPr>
          </w:p>
        </w:tc>
        <w:tc>
          <w:tcPr>
            <w:tcW w:w="850" w:type="dxa"/>
            <w:noWrap w:val="0"/>
            <w:vAlign w:val="top"/>
          </w:tcPr>
          <w:p w14:paraId="270AD98A">
            <w:pPr>
              <w:spacing w:line="240" w:lineRule="auto"/>
              <w:rPr>
                <w:rFonts w:hint="eastAsia" w:ascii="宋体" w:hAnsi="宋体" w:eastAsia="宋体" w:cs="宋体"/>
                <w:color w:val="000000"/>
                <w:sz w:val="24"/>
                <w:szCs w:val="24"/>
              </w:rPr>
            </w:pPr>
          </w:p>
        </w:tc>
        <w:tc>
          <w:tcPr>
            <w:tcW w:w="1058" w:type="dxa"/>
            <w:noWrap w:val="0"/>
            <w:vAlign w:val="top"/>
          </w:tcPr>
          <w:p w14:paraId="22275674">
            <w:pPr>
              <w:spacing w:line="240" w:lineRule="auto"/>
              <w:rPr>
                <w:rFonts w:hint="eastAsia" w:ascii="宋体" w:hAnsi="宋体" w:eastAsia="宋体" w:cs="宋体"/>
                <w:color w:val="000000"/>
                <w:sz w:val="24"/>
                <w:szCs w:val="24"/>
              </w:rPr>
            </w:pPr>
          </w:p>
        </w:tc>
        <w:tc>
          <w:tcPr>
            <w:tcW w:w="880" w:type="dxa"/>
            <w:noWrap w:val="0"/>
            <w:vAlign w:val="top"/>
          </w:tcPr>
          <w:p w14:paraId="7682A7C6">
            <w:pPr>
              <w:spacing w:line="240" w:lineRule="auto"/>
              <w:rPr>
                <w:rFonts w:hint="eastAsia" w:ascii="宋体" w:hAnsi="宋体" w:eastAsia="宋体" w:cs="宋体"/>
                <w:color w:val="000000"/>
                <w:sz w:val="24"/>
                <w:szCs w:val="24"/>
              </w:rPr>
            </w:pPr>
          </w:p>
        </w:tc>
        <w:tc>
          <w:tcPr>
            <w:tcW w:w="1020" w:type="dxa"/>
            <w:noWrap w:val="0"/>
            <w:vAlign w:val="top"/>
          </w:tcPr>
          <w:p w14:paraId="15E7427E">
            <w:pPr>
              <w:spacing w:line="240" w:lineRule="auto"/>
              <w:rPr>
                <w:rFonts w:hint="eastAsia" w:ascii="宋体" w:hAnsi="宋体" w:eastAsia="宋体" w:cs="宋体"/>
                <w:color w:val="000000"/>
                <w:sz w:val="24"/>
                <w:szCs w:val="24"/>
              </w:rPr>
            </w:pPr>
          </w:p>
        </w:tc>
        <w:tc>
          <w:tcPr>
            <w:tcW w:w="1480" w:type="dxa"/>
            <w:noWrap w:val="0"/>
            <w:vAlign w:val="top"/>
          </w:tcPr>
          <w:p w14:paraId="5CD8B906">
            <w:pPr>
              <w:spacing w:line="240" w:lineRule="auto"/>
              <w:rPr>
                <w:rFonts w:hint="eastAsia" w:ascii="宋体" w:hAnsi="宋体" w:eastAsia="宋体" w:cs="宋体"/>
                <w:color w:val="000000"/>
                <w:sz w:val="24"/>
                <w:szCs w:val="24"/>
              </w:rPr>
            </w:pPr>
          </w:p>
        </w:tc>
        <w:tc>
          <w:tcPr>
            <w:tcW w:w="1020" w:type="dxa"/>
            <w:noWrap w:val="0"/>
            <w:vAlign w:val="top"/>
          </w:tcPr>
          <w:p w14:paraId="1FA81B55">
            <w:pPr>
              <w:spacing w:line="240" w:lineRule="auto"/>
              <w:rPr>
                <w:rFonts w:hint="eastAsia" w:ascii="宋体" w:hAnsi="宋体" w:eastAsia="宋体" w:cs="宋体"/>
                <w:color w:val="000000"/>
                <w:sz w:val="24"/>
                <w:szCs w:val="24"/>
              </w:rPr>
            </w:pPr>
          </w:p>
        </w:tc>
        <w:tc>
          <w:tcPr>
            <w:tcW w:w="921" w:type="dxa"/>
            <w:noWrap w:val="0"/>
            <w:vAlign w:val="top"/>
          </w:tcPr>
          <w:p w14:paraId="10697D9C">
            <w:pPr>
              <w:spacing w:line="240" w:lineRule="auto"/>
              <w:rPr>
                <w:rFonts w:hint="eastAsia" w:ascii="宋体" w:hAnsi="宋体" w:eastAsia="宋体" w:cs="宋体"/>
                <w:color w:val="000000"/>
                <w:sz w:val="24"/>
                <w:szCs w:val="24"/>
              </w:rPr>
            </w:pPr>
          </w:p>
        </w:tc>
      </w:tr>
      <w:tr w14:paraId="04D36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91E0720">
            <w:pPr>
              <w:spacing w:line="240" w:lineRule="auto"/>
              <w:rPr>
                <w:rFonts w:hint="eastAsia" w:ascii="宋体" w:hAnsi="宋体" w:eastAsia="宋体" w:cs="宋体"/>
                <w:color w:val="000000"/>
                <w:sz w:val="24"/>
                <w:szCs w:val="24"/>
              </w:rPr>
            </w:pPr>
          </w:p>
        </w:tc>
        <w:tc>
          <w:tcPr>
            <w:tcW w:w="1418" w:type="dxa"/>
            <w:noWrap w:val="0"/>
            <w:vAlign w:val="top"/>
          </w:tcPr>
          <w:p w14:paraId="4E0029D7">
            <w:pPr>
              <w:spacing w:line="240" w:lineRule="auto"/>
              <w:rPr>
                <w:rFonts w:hint="eastAsia" w:ascii="宋体" w:hAnsi="宋体" w:eastAsia="宋体" w:cs="宋体"/>
                <w:color w:val="000000"/>
                <w:sz w:val="24"/>
                <w:szCs w:val="24"/>
              </w:rPr>
            </w:pPr>
          </w:p>
        </w:tc>
        <w:tc>
          <w:tcPr>
            <w:tcW w:w="850" w:type="dxa"/>
            <w:noWrap w:val="0"/>
            <w:vAlign w:val="top"/>
          </w:tcPr>
          <w:p w14:paraId="3691EF52">
            <w:pPr>
              <w:spacing w:line="240" w:lineRule="auto"/>
              <w:rPr>
                <w:rFonts w:hint="eastAsia" w:ascii="宋体" w:hAnsi="宋体" w:eastAsia="宋体" w:cs="宋体"/>
                <w:color w:val="000000"/>
                <w:sz w:val="24"/>
                <w:szCs w:val="24"/>
              </w:rPr>
            </w:pPr>
          </w:p>
        </w:tc>
        <w:tc>
          <w:tcPr>
            <w:tcW w:w="1058" w:type="dxa"/>
            <w:noWrap w:val="0"/>
            <w:vAlign w:val="top"/>
          </w:tcPr>
          <w:p w14:paraId="3931C061">
            <w:pPr>
              <w:spacing w:line="240" w:lineRule="auto"/>
              <w:rPr>
                <w:rFonts w:hint="eastAsia" w:ascii="宋体" w:hAnsi="宋体" w:eastAsia="宋体" w:cs="宋体"/>
                <w:color w:val="000000"/>
                <w:sz w:val="24"/>
                <w:szCs w:val="24"/>
              </w:rPr>
            </w:pPr>
          </w:p>
        </w:tc>
        <w:tc>
          <w:tcPr>
            <w:tcW w:w="880" w:type="dxa"/>
            <w:noWrap w:val="0"/>
            <w:vAlign w:val="top"/>
          </w:tcPr>
          <w:p w14:paraId="13FC82B4">
            <w:pPr>
              <w:spacing w:line="240" w:lineRule="auto"/>
              <w:rPr>
                <w:rFonts w:hint="eastAsia" w:ascii="宋体" w:hAnsi="宋体" w:eastAsia="宋体" w:cs="宋体"/>
                <w:color w:val="000000"/>
                <w:sz w:val="24"/>
                <w:szCs w:val="24"/>
              </w:rPr>
            </w:pPr>
          </w:p>
        </w:tc>
        <w:tc>
          <w:tcPr>
            <w:tcW w:w="1020" w:type="dxa"/>
            <w:noWrap w:val="0"/>
            <w:vAlign w:val="top"/>
          </w:tcPr>
          <w:p w14:paraId="7DC61F56">
            <w:pPr>
              <w:spacing w:line="240" w:lineRule="auto"/>
              <w:rPr>
                <w:rFonts w:hint="eastAsia" w:ascii="宋体" w:hAnsi="宋体" w:eastAsia="宋体" w:cs="宋体"/>
                <w:color w:val="000000"/>
                <w:sz w:val="24"/>
                <w:szCs w:val="24"/>
              </w:rPr>
            </w:pPr>
          </w:p>
        </w:tc>
        <w:tc>
          <w:tcPr>
            <w:tcW w:w="1480" w:type="dxa"/>
            <w:noWrap w:val="0"/>
            <w:vAlign w:val="top"/>
          </w:tcPr>
          <w:p w14:paraId="1C47E5BE">
            <w:pPr>
              <w:spacing w:line="240" w:lineRule="auto"/>
              <w:rPr>
                <w:rFonts w:hint="eastAsia" w:ascii="宋体" w:hAnsi="宋体" w:eastAsia="宋体" w:cs="宋体"/>
                <w:color w:val="000000"/>
                <w:sz w:val="24"/>
                <w:szCs w:val="24"/>
              </w:rPr>
            </w:pPr>
          </w:p>
        </w:tc>
        <w:tc>
          <w:tcPr>
            <w:tcW w:w="1020" w:type="dxa"/>
            <w:noWrap w:val="0"/>
            <w:vAlign w:val="top"/>
          </w:tcPr>
          <w:p w14:paraId="49A326E1">
            <w:pPr>
              <w:spacing w:line="240" w:lineRule="auto"/>
              <w:rPr>
                <w:rFonts w:hint="eastAsia" w:ascii="宋体" w:hAnsi="宋体" w:eastAsia="宋体" w:cs="宋体"/>
                <w:color w:val="000000"/>
                <w:sz w:val="24"/>
                <w:szCs w:val="24"/>
              </w:rPr>
            </w:pPr>
          </w:p>
        </w:tc>
        <w:tc>
          <w:tcPr>
            <w:tcW w:w="921" w:type="dxa"/>
            <w:noWrap w:val="0"/>
            <w:vAlign w:val="top"/>
          </w:tcPr>
          <w:p w14:paraId="0FF4B0DD">
            <w:pPr>
              <w:spacing w:line="240" w:lineRule="auto"/>
              <w:rPr>
                <w:rFonts w:hint="eastAsia" w:ascii="宋体" w:hAnsi="宋体" w:eastAsia="宋体" w:cs="宋体"/>
                <w:color w:val="000000"/>
                <w:sz w:val="24"/>
                <w:szCs w:val="24"/>
              </w:rPr>
            </w:pPr>
          </w:p>
        </w:tc>
      </w:tr>
      <w:tr w14:paraId="0D11C6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2E8C3D9">
            <w:pPr>
              <w:spacing w:line="240" w:lineRule="auto"/>
              <w:rPr>
                <w:rFonts w:hint="eastAsia" w:ascii="宋体" w:hAnsi="宋体" w:eastAsia="宋体" w:cs="宋体"/>
                <w:color w:val="000000"/>
                <w:sz w:val="24"/>
                <w:szCs w:val="24"/>
              </w:rPr>
            </w:pPr>
          </w:p>
        </w:tc>
        <w:tc>
          <w:tcPr>
            <w:tcW w:w="1418" w:type="dxa"/>
            <w:noWrap w:val="0"/>
            <w:vAlign w:val="top"/>
          </w:tcPr>
          <w:p w14:paraId="535730B5">
            <w:pPr>
              <w:spacing w:line="240" w:lineRule="auto"/>
              <w:rPr>
                <w:rFonts w:hint="eastAsia" w:ascii="宋体" w:hAnsi="宋体" w:eastAsia="宋体" w:cs="宋体"/>
                <w:color w:val="000000"/>
                <w:sz w:val="24"/>
                <w:szCs w:val="24"/>
              </w:rPr>
            </w:pPr>
          </w:p>
        </w:tc>
        <w:tc>
          <w:tcPr>
            <w:tcW w:w="850" w:type="dxa"/>
            <w:noWrap w:val="0"/>
            <w:vAlign w:val="top"/>
          </w:tcPr>
          <w:p w14:paraId="001F4C16">
            <w:pPr>
              <w:spacing w:line="240" w:lineRule="auto"/>
              <w:rPr>
                <w:rFonts w:hint="eastAsia" w:ascii="宋体" w:hAnsi="宋体" w:eastAsia="宋体" w:cs="宋体"/>
                <w:color w:val="000000"/>
                <w:sz w:val="24"/>
                <w:szCs w:val="24"/>
              </w:rPr>
            </w:pPr>
          </w:p>
        </w:tc>
        <w:tc>
          <w:tcPr>
            <w:tcW w:w="1058" w:type="dxa"/>
            <w:noWrap w:val="0"/>
            <w:vAlign w:val="top"/>
          </w:tcPr>
          <w:p w14:paraId="5512431D">
            <w:pPr>
              <w:spacing w:line="240" w:lineRule="auto"/>
              <w:rPr>
                <w:rFonts w:hint="eastAsia" w:ascii="宋体" w:hAnsi="宋体" w:eastAsia="宋体" w:cs="宋体"/>
                <w:color w:val="000000"/>
                <w:sz w:val="24"/>
                <w:szCs w:val="24"/>
              </w:rPr>
            </w:pPr>
          </w:p>
        </w:tc>
        <w:tc>
          <w:tcPr>
            <w:tcW w:w="880" w:type="dxa"/>
            <w:noWrap w:val="0"/>
            <w:vAlign w:val="top"/>
          </w:tcPr>
          <w:p w14:paraId="17A5B580">
            <w:pPr>
              <w:spacing w:line="240" w:lineRule="auto"/>
              <w:rPr>
                <w:rFonts w:hint="eastAsia" w:ascii="宋体" w:hAnsi="宋体" w:eastAsia="宋体" w:cs="宋体"/>
                <w:color w:val="000000"/>
                <w:sz w:val="24"/>
                <w:szCs w:val="24"/>
              </w:rPr>
            </w:pPr>
          </w:p>
        </w:tc>
        <w:tc>
          <w:tcPr>
            <w:tcW w:w="1020" w:type="dxa"/>
            <w:noWrap w:val="0"/>
            <w:vAlign w:val="top"/>
          </w:tcPr>
          <w:p w14:paraId="0479A421">
            <w:pPr>
              <w:spacing w:line="240" w:lineRule="auto"/>
              <w:rPr>
                <w:rFonts w:hint="eastAsia" w:ascii="宋体" w:hAnsi="宋体" w:eastAsia="宋体" w:cs="宋体"/>
                <w:color w:val="000000"/>
                <w:sz w:val="24"/>
                <w:szCs w:val="24"/>
              </w:rPr>
            </w:pPr>
          </w:p>
        </w:tc>
        <w:tc>
          <w:tcPr>
            <w:tcW w:w="1480" w:type="dxa"/>
            <w:noWrap w:val="0"/>
            <w:vAlign w:val="top"/>
          </w:tcPr>
          <w:p w14:paraId="78B66219">
            <w:pPr>
              <w:spacing w:line="240" w:lineRule="auto"/>
              <w:rPr>
                <w:rFonts w:hint="eastAsia" w:ascii="宋体" w:hAnsi="宋体" w:eastAsia="宋体" w:cs="宋体"/>
                <w:color w:val="000000"/>
                <w:sz w:val="24"/>
                <w:szCs w:val="24"/>
              </w:rPr>
            </w:pPr>
          </w:p>
        </w:tc>
        <w:tc>
          <w:tcPr>
            <w:tcW w:w="1020" w:type="dxa"/>
            <w:noWrap w:val="0"/>
            <w:vAlign w:val="top"/>
          </w:tcPr>
          <w:p w14:paraId="1116BF73">
            <w:pPr>
              <w:spacing w:line="240" w:lineRule="auto"/>
              <w:rPr>
                <w:rFonts w:hint="eastAsia" w:ascii="宋体" w:hAnsi="宋体" w:eastAsia="宋体" w:cs="宋体"/>
                <w:color w:val="000000"/>
                <w:sz w:val="24"/>
                <w:szCs w:val="24"/>
              </w:rPr>
            </w:pPr>
          </w:p>
        </w:tc>
        <w:tc>
          <w:tcPr>
            <w:tcW w:w="921" w:type="dxa"/>
            <w:noWrap w:val="0"/>
            <w:vAlign w:val="top"/>
          </w:tcPr>
          <w:p w14:paraId="1DE43288">
            <w:pPr>
              <w:spacing w:line="240" w:lineRule="auto"/>
              <w:rPr>
                <w:rFonts w:hint="eastAsia" w:ascii="宋体" w:hAnsi="宋体" w:eastAsia="宋体" w:cs="宋体"/>
                <w:color w:val="000000"/>
                <w:sz w:val="24"/>
                <w:szCs w:val="24"/>
              </w:rPr>
            </w:pPr>
          </w:p>
        </w:tc>
      </w:tr>
      <w:tr w14:paraId="1B096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DC48BF6">
            <w:pPr>
              <w:spacing w:line="240" w:lineRule="auto"/>
              <w:rPr>
                <w:rFonts w:hint="eastAsia" w:ascii="宋体" w:hAnsi="宋体" w:eastAsia="宋体" w:cs="宋体"/>
                <w:color w:val="000000"/>
                <w:sz w:val="24"/>
                <w:szCs w:val="24"/>
              </w:rPr>
            </w:pPr>
          </w:p>
        </w:tc>
        <w:tc>
          <w:tcPr>
            <w:tcW w:w="1418" w:type="dxa"/>
            <w:noWrap w:val="0"/>
            <w:vAlign w:val="top"/>
          </w:tcPr>
          <w:p w14:paraId="789B1BEE">
            <w:pPr>
              <w:spacing w:line="240" w:lineRule="auto"/>
              <w:rPr>
                <w:rFonts w:hint="eastAsia" w:ascii="宋体" w:hAnsi="宋体" w:eastAsia="宋体" w:cs="宋体"/>
                <w:color w:val="000000"/>
                <w:sz w:val="24"/>
                <w:szCs w:val="24"/>
              </w:rPr>
            </w:pPr>
          </w:p>
        </w:tc>
        <w:tc>
          <w:tcPr>
            <w:tcW w:w="850" w:type="dxa"/>
            <w:noWrap w:val="0"/>
            <w:vAlign w:val="top"/>
          </w:tcPr>
          <w:p w14:paraId="59C49B7C">
            <w:pPr>
              <w:spacing w:line="240" w:lineRule="auto"/>
              <w:rPr>
                <w:rFonts w:hint="eastAsia" w:ascii="宋体" w:hAnsi="宋体" w:eastAsia="宋体" w:cs="宋体"/>
                <w:color w:val="000000"/>
                <w:sz w:val="24"/>
                <w:szCs w:val="24"/>
              </w:rPr>
            </w:pPr>
          </w:p>
        </w:tc>
        <w:tc>
          <w:tcPr>
            <w:tcW w:w="1058" w:type="dxa"/>
            <w:noWrap w:val="0"/>
            <w:vAlign w:val="top"/>
          </w:tcPr>
          <w:p w14:paraId="28CA6220">
            <w:pPr>
              <w:spacing w:line="240" w:lineRule="auto"/>
              <w:rPr>
                <w:rFonts w:hint="eastAsia" w:ascii="宋体" w:hAnsi="宋体" w:eastAsia="宋体" w:cs="宋体"/>
                <w:color w:val="000000"/>
                <w:sz w:val="24"/>
                <w:szCs w:val="24"/>
              </w:rPr>
            </w:pPr>
          </w:p>
        </w:tc>
        <w:tc>
          <w:tcPr>
            <w:tcW w:w="880" w:type="dxa"/>
            <w:noWrap w:val="0"/>
            <w:vAlign w:val="top"/>
          </w:tcPr>
          <w:p w14:paraId="64E8338D">
            <w:pPr>
              <w:spacing w:line="240" w:lineRule="auto"/>
              <w:rPr>
                <w:rFonts w:hint="eastAsia" w:ascii="宋体" w:hAnsi="宋体" w:eastAsia="宋体" w:cs="宋体"/>
                <w:color w:val="000000"/>
                <w:sz w:val="24"/>
                <w:szCs w:val="24"/>
              </w:rPr>
            </w:pPr>
          </w:p>
        </w:tc>
        <w:tc>
          <w:tcPr>
            <w:tcW w:w="1020" w:type="dxa"/>
            <w:noWrap w:val="0"/>
            <w:vAlign w:val="top"/>
          </w:tcPr>
          <w:p w14:paraId="65B7936E">
            <w:pPr>
              <w:spacing w:line="240" w:lineRule="auto"/>
              <w:rPr>
                <w:rFonts w:hint="eastAsia" w:ascii="宋体" w:hAnsi="宋体" w:eastAsia="宋体" w:cs="宋体"/>
                <w:color w:val="000000"/>
                <w:sz w:val="24"/>
                <w:szCs w:val="24"/>
              </w:rPr>
            </w:pPr>
          </w:p>
        </w:tc>
        <w:tc>
          <w:tcPr>
            <w:tcW w:w="1480" w:type="dxa"/>
            <w:noWrap w:val="0"/>
            <w:vAlign w:val="top"/>
          </w:tcPr>
          <w:p w14:paraId="788C8603">
            <w:pPr>
              <w:spacing w:line="240" w:lineRule="auto"/>
              <w:rPr>
                <w:rFonts w:hint="eastAsia" w:ascii="宋体" w:hAnsi="宋体" w:eastAsia="宋体" w:cs="宋体"/>
                <w:color w:val="000000"/>
                <w:sz w:val="24"/>
                <w:szCs w:val="24"/>
              </w:rPr>
            </w:pPr>
          </w:p>
        </w:tc>
        <w:tc>
          <w:tcPr>
            <w:tcW w:w="1020" w:type="dxa"/>
            <w:noWrap w:val="0"/>
            <w:vAlign w:val="top"/>
          </w:tcPr>
          <w:p w14:paraId="5AC6E9E5">
            <w:pPr>
              <w:spacing w:line="240" w:lineRule="auto"/>
              <w:rPr>
                <w:rFonts w:hint="eastAsia" w:ascii="宋体" w:hAnsi="宋体" w:eastAsia="宋体" w:cs="宋体"/>
                <w:color w:val="000000"/>
                <w:sz w:val="24"/>
                <w:szCs w:val="24"/>
              </w:rPr>
            </w:pPr>
          </w:p>
        </w:tc>
        <w:tc>
          <w:tcPr>
            <w:tcW w:w="921" w:type="dxa"/>
            <w:noWrap w:val="0"/>
            <w:vAlign w:val="top"/>
          </w:tcPr>
          <w:p w14:paraId="3B11C687">
            <w:pPr>
              <w:spacing w:line="240" w:lineRule="auto"/>
              <w:rPr>
                <w:rFonts w:hint="eastAsia" w:ascii="宋体" w:hAnsi="宋体" w:eastAsia="宋体" w:cs="宋体"/>
                <w:color w:val="000000"/>
                <w:sz w:val="24"/>
                <w:szCs w:val="24"/>
              </w:rPr>
            </w:pPr>
          </w:p>
        </w:tc>
      </w:tr>
    </w:tbl>
    <w:p w14:paraId="623751AF">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61BAA8C0">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99" w:name="_Toc296891268"/>
      <w:bookmarkStart w:id="1000" w:name="_Toc296346729"/>
      <w:bookmarkStart w:id="1001" w:name="_Toc296891056"/>
      <w:bookmarkStart w:id="1002" w:name="_Toc296944567"/>
      <w:bookmarkStart w:id="1003" w:name="_Toc296347227"/>
      <w:bookmarkStart w:id="1004" w:name="_Toc267261699"/>
      <w:bookmarkStart w:id="1005" w:name="_Toc296503228"/>
      <w:r>
        <w:rPr>
          <w:rFonts w:hint="eastAsia" w:ascii="宋体" w:hAnsi="宋体" w:eastAsia="宋体" w:cs="宋体"/>
          <w:color w:val="000000"/>
          <w:sz w:val="24"/>
          <w:szCs w:val="24"/>
        </w:rPr>
        <w:t>件6：</w:t>
      </w:r>
    </w:p>
    <w:bookmarkEnd w:id="999"/>
    <w:bookmarkEnd w:id="1000"/>
    <w:bookmarkEnd w:id="1001"/>
    <w:bookmarkEnd w:id="1002"/>
    <w:bookmarkEnd w:id="1003"/>
    <w:bookmarkEnd w:id="1004"/>
    <w:bookmarkEnd w:id="1005"/>
    <w:p w14:paraId="6963BA52">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2E72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CB231E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名    称</w:t>
            </w:r>
          </w:p>
        </w:tc>
        <w:tc>
          <w:tcPr>
            <w:tcW w:w="1418" w:type="dxa"/>
            <w:tcBorders>
              <w:top w:val="single" w:color="auto" w:sz="12" w:space="0"/>
              <w:bottom w:val="double" w:color="auto" w:sz="6" w:space="0"/>
            </w:tcBorders>
            <w:noWrap w:val="0"/>
            <w:vAlign w:val="center"/>
          </w:tcPr>
          <w:p w14:paraId="4BCF23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姓名</w:t>
            </w:r>
          </w:p>
        </w:tc>
        <w:tc>
          <w:tcPr>
            <w:tcW w:w="1134" w:type="dxa"/>
            <w:tcBorders>
              <w:top w:val="single" w:color="auto" w:sz="12" w:space="0"/>
              <w:bottom w:val="double" w:color="auto" w:sz="6" w:space="0"/>
            </w:tcBorders>
            <w:noWrap w:val="0"/>
            <w:vAlign w:val="center"/>
          </w:tcPr>
          <w:p w14:paraId="7219717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职务</w:t>
            </w:r>
          </w:p>
        </w:tc>
        <w:tc>
          <w:tcPr>
            <w:tcW w:w="1134" w:type="dxa"/>
            <w:tcBorders>
              <w:top w:val="single" w:color="auto" w:sz="12" w:space="0"/>
              <w:bottom w:val="double" w:color="auto" w:sz="6" w:space="0"/>
            </w:tcBorders>
            <w:noWrap w:val="0"/>
            <w:vAlign w:val="center"/>
          </w:tcPr>
          <w:p w14:paraId="3D38AB3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职称</w:t>
            </w:r>
          </w:p>
        </w:tc>
        <w:tc>
          <w:tcPr>
            <w:tcW w:w="4252" w:type="dxa"/>
            <w:tcBorders>
              <w:top w:val="single" w:color="auto" w:sz="12" w:space="0"/>
              <w:bottom w:val="double" w:color="auto" w:sz="6" w:space="0"/>
            </w:tcBorders>
            <w:noWrap w:val="0"/>
            <w:vAlign w:val="center"/>
          </w:tcPr>
          <w:p w14:paraId="75F5614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主要资历、经验及承担过的项目</w:t>
            </w:r>
          </w:p>
        </w:tc>
      </w:tr>
      <w:tr w14:paraId="7422D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BFC61A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一、总部人员</w:t>
            </w:r>
          </w:p>
        </w:tc>
      </w:tr>
      <w:tr w14:paraId="22D29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B8937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项目主管</w:t>
            </w:r>
          </w:p>
        </w:tc>
        <w:tc>
          <w:tcPr>
            <w:tcW w:w="1418" w:type="dxa"/>
            <w:tcBorders>
              <w:top w:val="nil"/>
            </w:tcBorders>
            <w:noWrap w:val="0"/>
            <w:vAlign w:val="center"/>
          </w:tcPr>
          <w:p w14:paraId="6203853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top w:val="nil"/>
            </w:tcBorders>
            <w:noWrap w:val="0"/>
            <w:vAlign w:val="center"/>
          </w:tcPr>
          <w:p w14:paraId="1EB145F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top w:val="nil"/>
            </w:tcBorders>
            <w:noWrap w:val="0"/>
            <w:vAlign w:val="center"/>
          </w:tcPr>
          <w:p w14:paraId="1C86A86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tcBorders>
              <w:top w:val="nil"/>
            </w:tcBorders>
            <w:noWrap w:val="0"/>
            <w:vAlign w:val="center"/>
          </w:tcPr>
          <w:p w14:paraId="4EC1FE3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0027C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88EF3E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662F09C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A5512E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1F06B9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7BA30C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C4A9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5219C1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其他人员</w:t>
            </w:r>
          </w:p>
        </w:tc>
        <w:tc>
          <w:tcPr>
            <w:tcW w:w="1418" w:type="dxa"/>
            <w:noWrap w:val="0"/>
            <w:vAlign w:val="center"/>
          </w:tcPr>
          <w:p w14:paraId="717D041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CAB422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5CBA8A9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26B7A42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BA15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2A9F81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5C3D2D2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0FB2E4E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4AAE0F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6400A9D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68D83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655EAF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二、现场人员</w:t>
            </w:r>
          </w:p>
        </w:tc>
      </w:tr>
      <w:tr w14:paraId="37AD75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E12AA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项目经理</w:t>
            </w:r>
          </w:p>
        </w:tc>
        <w:tc>
          <w:tcPr>
            <w:tcW w:w="1418" w:type="dxa"/>
            <w:noWrap w:val="0"/>
            <w:vAlign w:val="center"/>
          </w:tcPr>
          <w:p w14:paraId="2F0D558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36D4FC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81FD66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5666657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CE276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05B8C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项目副经理</w:t>
            </w:r>
          </w:p>
        </w:tc>
        <w:tc>
          <w:tcPr>
            <w:tcW w:w="1418" w:type="dxa"/>
            <w:noWrap w:val="0"/>
            <w:vAlign w:val="center"/>
          </w:tcPr>
          <w:p w14:paraId="0F26829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46B4801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422DF26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52AE0BD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6583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F63A31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技术负责人</w:t>
            </w:r>
          </w:p>
        </w:tc>
        <w:tc>
          <w:tcPr>
            <w:tcW w:w="1418" w:type="dxa"/>
            <w:noWrap w:val="0"/>
            <w:vAlign w:val="center"/>
          </w:tcPr>
          <w:p w14:paraId="7FC15A3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56EACF6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1458C1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66B61B4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462D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812D6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造价管理</w:t>
            </w:r>
          </w:p>
        </w:tc>
        <w:tc>
          <w:tcPr>
            <w:tcW w:w="1418" w:type="dxa"/>
            <w:noWrap w:val="0"/>
            <w:vAlign w:val="center"/>
          </w:tcPr>
          <w:p w14:paraId="5710489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01BA0EC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4BF798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77CF11A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03C5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639AB2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质量管理</w:t>
            </w:r>
          </w:p>
        </w:tc>
        <w:tc>
          <w:tcPr>
            <w:tcW w:w="1418" w:type="dxa"/>
            <w:noWrap w:val="0"/>
            <w:vAlign w:val="center"/>
          </w:tcPr>
          <w:p w14:paraId="3A68A4E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03E609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1503642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1E185CD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739A7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CB2EB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材料管理</w:t>
            </w:r>
          </w:p>
        </w:tc>
        <w:tc>
          <w:tcPr>
            <w:tcW w:w="1418" w:type="dxa"/>
            <w:noWrap w:val="0"/>
            <w:vAlign w:val="center"/>
          </w:tcPr>
          <w:p w14:paraId="37C3EC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EBC292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C0EDCD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2433967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BEE6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EA135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计划管理</w:t>
            </w:r>
          </w:p>
        </w:tc>
        <w:tc>
          <w:tcPr>
            <w:tcW w:w="1418" w:type="dxa"/>
            <w:noWrap w:val="0"/>
            <w:vAlign w:val="center"/>
          </w:tcPr>
          <w:p w14:paraId="0B8738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066206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36A59E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0761702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5E92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D27EF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安全管理</w:t>
            </w:r>
          </w:p>
        </w:tc>
        <w:tc>
          <w:tcPr>
            <w:tcW w:w="1418" w:type="dxa"/>
            <w:noWrap w:val="0"/>
            <w:vAlign w:val="center"/>
          </w:tcPr>
          <w:p w14:paraId="3528F78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766BFB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1EFA10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4EE1742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CF2A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22B38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其他人员</w:t>
            </w:r>
          </w:p>
        </w:tc>
        <w:tc>
          <w:tcPr>
            <w:tcW w:w="1418" w:type="dxa"/>
            <w:noWrap w:val="0"/>
            <w:vAlign w:val="center"/>
          </w:tcPr>
          <w:p w14:paraId="797DFB6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6A0B9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6A8047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3E0CB02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4830C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A46B6C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bottom w:val="nil"/>
            </w:tcBorders>
            <w:noWrap w:val="0"/>
            <w:vAlign w:val="center"/>
          </w:tcPr>
          <w:p w14:paraId="6DED204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nil"/>
            </w:tcBorders>
            <w:noWrap w:val="0"/>
            <w:vAlign w:val="center"/>
          </w:tcPr>
          <w:p w14:paraId="2F1CB4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nil"/>
            </w:tcBorders>
            <w:noWrap w:val="0"/>
            <w:vAlign w:val="center"/>
          </w:tcPr>
          <w:p w14:paraId="2520993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tcBorders>
              <w:bottom w:val="nil"/>
            </w:tcBorders>
            <w:noWrap w:val="0"/>
            <w:vAlign w:val="center"/>
          </w:tcPr>
          <w:p w14:paraId="23B3D41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1882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EBCE3C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353D205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43B7F02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65CA22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45D8B56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9039E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1326A5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3603BB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FCA0AA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1F6C3C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3FB5AE6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EB38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BD7552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36CC741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C9B32C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4DE921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1C85D3F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69AB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74072B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bottom w:val="single" w:color="auto" w:sz="12" w:space="0"/>
            </w:tcBorders>
            <w:noWrap w:val="0"/>
            <w:vAlign w:val="center"/>
          </w:tcPr>
          <w:p w14:paraId="29E7DF2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single" w:color="auto" w:sz="12" w:space="0"/>
            </w:tcBorders>
            <w:noWrap w:val="0"/>
            <w:vAlign w:val="center"/>
          </w:tcPr>
          <w:p w14:paraId="6F8620D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single" w:color="auto" w:sz="12" w:space="0"/>
            </w:tcBorders>
            <w:noWrap w:val="0"/>
            <w:vAlign w:val="center"/>
          </w:tcPr>
          <w:p w14:paraId="493F4A9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tcBorders>
              <w:bottom w:val="single" w:color="auto" w:sz="12" w:space="0"/>
            </w:tcBorders>
            <w:noWrap w:val="0"/>
            <w:vAlign w:val="center"/>
          </w:tcPr>
          <w:p w14:paraId="21CD7E0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bl>
    <w:p w14:paraId="4A9B6D83">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1006" w:name="_Toc296891269"/>
      <w:bookmarkStart w:id="1007" w:name="_Toc296503229"/>
      <w:bookmarkStart w:id="1008" w:name="_Toc296891057"/>
      <w:bookmarkStart w:id="1009" w:name="_Toc296347228"/>
      <w:bookmarkStart w:id="1010" w:name="_Toc296944568"/>
      <w:bookmarkStart w:id="1011" w:name="_Toc296346730"/>
      <w:r>
        <w:rPr>
          <w:rFonts w:hint="eastAsia" w:ascii="宋体" w:hAnsi="宋体" w:eastAsia="宋体" w:cs="宋体"/>
          <w:color w:val="000000"/>
          <w:sz w:val="24"/>
          <w:szCs w:val="24"/>
        </w:rPr>
        <w:t>件7：</w:t>
      </w:r>
    </w:p>
    <w:bookmarkEnd w:id="1006"/>
    <w:bookmarkEnd w:id="1007"/>
    <w:bookmarkEnd w:id="1008"/>
    <w:bookmarkEnd w:id="1009"/>
    <w:bookmarkEnd w:id="1010"/>
    <w:bookmarkEnd w:id="1011"/>
    <w:p w14:paraId="76B8211D">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分包人主要施工管理人员表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F8DF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D8F96D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名    称</w:t>
            </w:r>
          </w:p>
        </w:tc>
        <w:tc>
          <w:tcPr>
            <w:tcW w:w="1418" w:type="dxa"/>
            <w:tcBorders>
              <w:top w:val="single" w:color="auto" w:sz="12" w:space="0"/>
              <w:bottom w:val="double" w:color="auto" w:sz="6" w:space="0"/>
            </w:tcBorders>
            <w:noWrap w:val="0"/>
            <w:vAlign w:val="center"/>
          </w:tcPr>
          <w:p w14:paraId="60D8B39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姓名</w:t>
            </w:r>
          </w:p>
        </w:tc>
        <w:tc>
          <w:tcPr>
            <w:tcW w:w="1134" w:type="dxa"/>
            <w:tcBorders>
              <w:top w:val="single" w:color="auto" w:sz="12" w:space="0"/>
              <w:bottom w:val="double" w:color="auto" w:sz="6" w:space="0"/>
            </w:tcBorders>
            <w:noWrap w:val="0"/>
            <w:vAlign w:val="center"/>
          </w:tcPr>
          <w:p w14:paraId="56A2185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职务</w:t>
            </w:r>
          </w:p>
        </w:tc>
        <w:tc>
          <w:tcPr>
            <w:tcW w:w="1134" w:type="dxa"/>
            <w:tcBorders>
              <w:top w:val="single" w:color="auto" w:sz="12" w:space="0"/>
              <w:bottom w:val="double" w:color="auto" w:sz="6" w:space="0"/>
            </w:tcBorders>
            <w:noWrap w:val="0"/>
            <w:vAlign w:val="center"/>
          </w:tcPr>
          <w:p w14:paraId="0A983F8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职称</w:t>
            </w:r>
          </w:p>
        </w:tc>
        <w:tc>
          <w:tcPr>
            <w:tcW w:w="4252" w:type="dxa"/>
            <w:tcBorders>
              <w:top w:val="single" w:color="auto" w:sz="12" w:space="0"/>
              <w:bottom w:val="double" w:color="auto" w:sz="6" w:space="0"/>
            </w:tcBorders>
            <w:noWrap w:val="0"/>
            <w:vAlign w:val="center"/>
          </w:tcPr>
          <w:p w14:paraId="6209EE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主要资历、经验及承担过的项目</w:t>
            </w:r>
          </w:p>
        </w:tc>
      </w:tr>
      <w:tr w14:paraId="0007EF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F521FB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一、总部人员</w:t>
            </w:r>
          </w:p>
        </w:tc>
      </w:tr>
      <w:tr w14:paraId="16401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BAE667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项目主管</w:t>
            </w:r>
          </w:p>
        </w:tc>
        <w:tc>
          <w:tcPr>
            <w:tcW w:w="1418" w:type="dxa"/>
            <w:tcBorders>
              <w:top w:val="nil"/>
            </w:tcBorders>
            <w:noWrap w:val="0"/>
            <w:vAlign w:val="center"/>
          </w:tcPr>
          <w:p w14:paraId="1722E36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top w:val="nil"/>
            </w:tcBorders>
            <w:noWrap w:val="0"/>
            <w:vAlign w:val="center"/>
          </w:tcPr>
          <w:p w14:paraId="0D1F1F5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top w:val="nil"/>
            </w:tcBorders>
            <w:noWrap w:val="0"/>
            <w:vAlign w:val="center"/>
          </w:tcPr>
          <w:p w14:paraId="4346AB1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tcBorders>
              <w:top w:val="nil"/>
            </w:tcBorders>
            <w:noWrap w:val="0"/>
            <w:vAlign w:val="center"/>
          </w:tcPr>
          <w:p w14:paraId="613631C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8405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36CFF23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0FC4328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447929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5EC8A91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4D8E625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D3F9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E546F9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其他人员</w:t>
            </w:r>
          </w:p>
        </w:tc>
        <w:tc>
          <w:tcPr>
            <w:tcW w:w="1418" w:type="dxa"/>
            <w:noWrap w:val="0"/>
            <w:vAlign w:val="center"/>
          </w:tcPr>
          <w:p w14:paraId="5DED0CF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5D31754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7C1623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1E5EDC2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65B74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DA7DBD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46C90FE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D3B5E7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58F3DE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269D04F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B2D73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77F586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二、现场人员</w:t>
            </w:r>
          </w:p>
        </w:tc>
      </w:tr>
      <w:tr w14:paraId="1060AC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8948C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项目经理</w:t>
            </w:r>
          </w:p>
        </w:tc>
        <w:tc>
          <w:tcPr>
            <w:tcW w:w="1418" w:type="dxa"/>
            <w:noWrap w:val="0"/>
            <w:vAlign w:val="center"/>
          </w:tcPr>
          <w:p w14:paraId="328BEAF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ABBA0F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3C7B59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06EE641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AD6DB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F1ED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项目副经理</w:t>
            </w:r>
          </w:p>
        </w:tc>
        <w:tc>
          <w:tcPr>
            <w:tcW w:w="1418" w:type="dxa"/>
            <w:noWrap w:val="0"/>
            <w:vAlign w:val="center"/>
          </w:tcPr>
          <w:p w14:paraId="782051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1FE9664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1B919C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31CA293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2F3B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46513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技术负责人</w:t>
            </w:r>
          </w:p>
        </w:tc>
        <w:tc>
          <w:tcPr>
            <w:tcW w:w="1418" w:type="dxa"/>
            <w:noWrap w:val="0"/>
            <w:vAlign w:val="center"/>
          </w:tcPr>
          <w:p w14:paraId="3941394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0C12CF8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DEE58D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1C582A4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ED4E2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C0AB4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造价管理</w:t>
            </w:r>
          </w:p>
        </w:tc>
        <w:tc>
          <w:tcPr>
            <w:tcW w:w="1418" w:type="dxa"/>
            <w:noWrap w:val="0"/>
            <w:vAlign w:val="center"/>
          </w:tcPr>
          <w:p w14:paraId="24981BB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DCC70B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4F7B134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1738CA3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101B4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4384A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质量管理</w:t>
            </w:r>
          </w:p>
        </w:tc>
        <w:tc>
          <w:tcPr>
            <w:tcW w:w="1418" w:type="dxa"/>
            <w:noWrap w:val="0"/>
            <w:vAlign w:val="center"/>
          </w:tcPr>
          <w:p w14:paraId="340E3EC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521B72C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458CC96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0D90A29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BC84D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69DA55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材料管理</w:t>
            </w:r>
          </w:p>
        </w:tc>
        <w:tc>
          <w:tcPr>
            <w:tcW w:w="1418" w:type="dxa"/>
            <w:noWrap w:val="0"/>
            <w:vAlign w:val="center"/>
          </w:tcPr>
          <w:p w14:paraId="5DC13F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3D6F04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C750A9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420EBB7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701B9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A25C37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计划管理</w:t>
            </w:r>
          </w:p>
        </w:tc>
        <w:tc>
          <w:tcPr>
            <w:tcW w:w="1418" w:type="dxa"/>
            <w:noWrap w:val="0"/>
            <w:vAlign w:val="center"/>
          </w:tcPr>
          <w:p w14:paraId="451E9FE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15FDF1D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11853FC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185ECBE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E29D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066CE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安全管理</w:t>
            </w:r>
          </w:p>
        </w:tc>
        <w:tc>
          <w:tcPr>
            <w:tcW w:w="1418" w:type="dxa"/>
            <w:noWrap w:val="0"/>
            <w:vAlign w:val="center"/>
          </w:tcPr>
          <w:p w14:paraId="15A8F9D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0AACA5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25589A7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690D841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5DEC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9BF2BA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其他人员</w:t>
            </w:r>
          </w:p>
        </w:tc>
        <w:tc>
          <w:tcPr>
            <w:tcW w:w="1418" w:type="dxa"/>
            <w:noWrap w:val="0"/>
            <w:vAlign w:val="center"/>
          </w:tcPr>
          <w:p w14:paraId="19C5A1F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053D1B8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5A72262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2D4EF97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F492F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1FBF81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bottom w:val="nil"/>
            </w:tcBorders>
            <w:noWrap w:val="0"/>
            <w:vAlign w:val="center"/>
          </w:tcPr>
          <w:p w14:paraId="2A22702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nil"/>
            </w:tcBorders>
            <w:noWrap w:val="0"/>
            <w:vAlign w:val="center"/>
          </w:tcPr>
          <w:p w14:paraId="4CAF5AB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nil"/>
            </w:tcBorders>
            <w:noWrap w:val="0"/>
            <w:vAlign w:val="center"/>
          </w:tcPr>
          <w:p w14:paraId="1171B25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tcBorders>
              <w:bottom w:val="nil"/>
            </w:tcBorders>
            <w:noWrap w:val="0"/>
            <w:vAlign w:val="center"/>
          </w:tcPr>
          <w:p w14:paraId="6327509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6D73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CA6BD5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424F688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5285A6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6BD0BF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0ABF2A2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ABD3A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CC3B7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0759A2C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371900C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6929EDA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05E09F8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CE382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ABAC1F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center"/>
          </w:tcPr>
          <w:p w14:paraId="20755D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7A96FF5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noWrap w:val="0"/>
            <w:vAlign w:val="center"/>
          </w:tcPr>
          <w:p w14:paraId="4500E3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noWrap w:val="0"/>
            <w:vAlign w:val="center"/>
          </w:tcPr>
          <w:p w14:paraId="687BB2A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6B2C6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3F2C08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bottom w:val="single" w:color="auto" w:sz="12" w:space="0"/>
            </w:tcBorders>
            <w:noWrap w:val="0"/>
            <w:vAlign w:val="center"/>
          </w:tcPr>
          <w:p w14:paraId="0198C47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single" w:color="auto" w:sz="12" w:space="0"/>
            </w:tcBorders>
            <w:noWrap w:val="0"/>
            <w:vAlign w:val="center"/>
          </w:tcPr>
          <w:p w14:paraId="683018B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134" w:type="dxa"/>
            <w:tcBorders>
              <w:bottom w:val="single" w:color="auto" w:sz="12" w:space="0"/>
            </w:tcBorders>
            <w:noWrap w:val="0"/>
            <w:vAlign w:val="center"/>
          </w:tcPr>
          <w:p w14:paraId="42BEA08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252" w:type="dxa"/>
            <w:tcBorders>
              <w:bottom w:val="single" w:color="auto" w:sz="12" w:space="0"/>
            </w:tcBorders>
            <w:noWrap w:val="0"/>
            <w:vAlign w:val="center"/>
          </w:tcPr>
          <w:p w14:paraId="474A0A8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bl>
    <w:p w14:paraId="1CF52C09">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1012" w:name="_Toc267261701"/>
      <w:r>
        <w:rPr>
          <w:rFonts w:hint="eastAsia" w:ascii="宋体" w:hAnsi="宋体" w:eastAsia="宋体" w:cs="宋体"/>
          <w:color w:val="000000"/>
          <w:sz w:val="24"/>
          <w:szCs w:val="24"/>
        </w:rPr>
        <w:t>附</w:t>
      </w:r>
      <w:bookmarkStart w:id="1013" w:name="_Toc296503231"/>
      <w:bookmarkStart w:id="1014" w:name="_Toc296891271"/>
      <w:bookmarkStart w:id="1015" w:name="_Toc296944570"/>
      <w:bookmarkStart w:id="1016" w:name="_Toc296891059"/>
      <w:bookmarkStart w:id="1017" w:name="_Toc296346732"/>
      <w:bookmarkStart w:id="1018" w:name="_Toc296347230"/>
      <w:r>
        <w:rPr>
          <w:rFonts w:hint="eastAsia" w:ascii="宋体" w:hAnsi="宋体" w:eastAsia="宋体" w:cs="宋体"/>
          <w:color w:val="000000"/>
          <w:sz w:val="24"/>
          <w:szCs w:val="24"/>
        </w:rPr>
        <w:t>件8：</w:t>
      </w:r>
    </w:p>
    <w:bookmarkEnd w:id="1012"/>
    <w:bookmarkEnd w:id="1013"/>
    <w:bookmarkEnd w:id="1014"/>
    <w:bookmarkEnd w:id="1015"/>
    <w:bookmarkEnd w:id="1016"/>
    <w:bookmarkEnd w:id="1017"/>
    <w:bookmarkEnd w:id="1018"/>
    <w:p w14:paraId="588BCBBC">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履约担保</w:t>
      </w:r>
    </w:p>
    <w:p w14:paraId="5E89FEDC">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1EAA1999">
      <w:pPr>
        <w:spacing w:line="240" w:lineRule="auto"/>
        <w:rPr>
          <w:rFonts w:hint="eastAsia" w:ascii="宋体" w:hAnsi="宋体" w:eastAsia="宋体" w:cs="宋体"/>
          <w:color w:val="000000"/>
          <w:sz w:val="24"/>
          <w:szCs w:val="24"/>
        </w:rPr>
      </w:pPr>
    </w:p>
    <w:p w14:paraId="190FE003">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p>
    <w:p w14:paraId="03FC3770">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12188A9F">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E42784">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7D987138">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4B69CF6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4E01E0BB">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7333E8E2">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1B4D140D">
      <w:pPr>
        <w:spacing w:line="240" w:lineRule="auto"/>
        <w:rPr>
          <w:rFonts w:hint="eastAsia" w:ascii="宋体" w:hAnsi="宋体" w:eastAsia="宋体" w:cs="宋体"/>
          <w:color w:val="000000"/>
          <w:sz w:val="24"/>
          <w:szCs w:val="24"/>
        </w:rPr>
      </w:pPr>
    </w:p>
    <w:p w14:paraId="280A9681">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 保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7A018203">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64D71A13">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54D4989E">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7967B50">
      <w:pPr>
        <w:spacing w:line="24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38C826FA">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10E14262">
      <w:pPr>
        <w:spacing w:line="240" w:lineRule="auto"/>
        <w:jc w:val="left"/>
        <w:rPr>
          <w:rFonts w:hint="eastAsia" w:ascii="宋体" w:hAnsi="宋体" w:eastAsia="宋体" w:cs="宋体"/>
          <w:color w:val="000000"/>
          <w:sz w:val="24"/>
          <w:szCs w:val="24"/>
          <w:u w:val="single"/>
        </w:rPr>
      </w:pPr>
    </w:p>
    <w:p w14:paraId="4293E979">
      <w:pPr>
        <w:spacing w:line="240" w:lineRule="auto"/>
        <w:ind w:left="1899" w:hanging="1519" w:hangingChars="63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971E5AF">
      <w:pPr>
        <w:spacing w:line="240" w:lineRule="auto"/>
        <w:ind w:left="1899" w:hanging="1519" w:hangingChars="633"/>
        <w:rPr>
          <w:rFonts w:hint="eastAsia" w:ascii="宋体" w:hAnsi="宋体" w:eastAsia="宋体" w:cs="宋体"/>
          <w:color w:val="000000"/>
          <w:sz w:val="24"/>
          <w:szCs w:val="24"/>
        </w:rPr>
      </w:pPr>
    </w:p>
    <w:p w14:paraId="124DEF3C">
      <w:pPr>
        <w:spacing w:line="240" w:lineRule="auto"/>
        <w:ind w:left="1899" w:hanging="1519" w:hangingChars="633"/>
        <w:rPr>
          <w:rFonts w:hint="eastAsia" w:ascii="宋体" w:hAnsi="宋体" w:eastAsia="宋体" w:cs="宋体"/>
          <w:color w:val="000000"/>
          <w:sz w:val="24"/>
          <w:szCs w:val="24"/>
        </w:rPr>
      </w:pPr>
    </w:p>
    <w:p w14:paraId="5B4D0259">
      <w:pPr>
        <w:spacing w:line="240" w:lineRule="auto"/>
        <w:ind w:left="1899" w:hanging="1519" w:hangingChars="633"/>
        <w:rPr>
          <w:rFonts w:hint="eastAsia" w:ascii="宋体" w:hAnsi="宋体" w:eastAsia="宋体" w:cs="宋体"/>
          <w:color w:val="000000"/>
          <w:sz w:val="24"/>
          <w:szCs w:val="24"/>
        </w:rPr>
      </w:pPr>
    </w:p>
    <w:p w14:paraId="4F4103FC">
      <w:pPr>
        <w:spacing w:line="240" w:lineRule="auto"/>
        <w:ind w:left="1899" w:hanging="1519" w:hangingChars="633"/>
        <w:rPr>
          <w:rFonts w:hint="eastAsia" w:ascii="宋体" w:hAnsi="宋体" w:eastAsia="宋体" w:cs="宋体"/>
          <w:color w:val="000000"/>
          <w:sz w:val="24"/>
          <w:szCs w:val="24"/>
        </w:rPr>
      </w:pPr>
    </w:p>
    <w:p w14:paraId="3D4C2C50">
      <w:pPr>
        <w:spacing w:line="240" w:lineRule="auto"/>
        <w:ind w:left="1899" w:hanging="1519" w:hangingChars="633"/>
        <w:rPr>
          <w:rFonts w:hint="eastAsia" w:ascii="宋体" w:hAnsi="宋体" w:eastAsia="宋体" w:cs="宋体"/>
          <w:color w:val="000000"/>
          <w:sz w:val="24"/>
          <w:szCs w:val="24"/>
        </w:rPr>
      </w:pPr>
    </w:p>
    <w:p w14:paraId="0C5B42DA">
      <w:pPr>
        <w:spacing w:line="240" w:lineRule="auto"/>
        <w:ind w:left="1899" w:hanging="1519" w:hangingChars="633"/>
        <w:rPr>
          <w:rFonts w:hint="eastAsia" w:ascii="宋体" w:hAnsi="宋体" w:eastAsia="宋体" w:cs="宋体"/>
          <w:color w:val="000000"/>
          <w:sz w:val="24"/>
          <w:szCs w:val="24"/>
        </w:rPr>
      </w:pPr>
    </w:p>
    <w:p w14:paraId="14B5201E">
      <w:pPr>
        <w:spacing w:line="240" w:lineRule="auto"/>
        <w:ind w:left="1899" w:hanging="1519" w:hangingChars="633"/>
        <w:rPr>
          <w:rFonts w:hint="eastAsia" w:ascii="宋体" w:hAnsi="宋体" w:eastAsia="宋体" w:cs="宋体"/>
          <w:color w:val="000000"/>
          <w:sz w:val="24"/>
          <w:szCs w:val="24"/>
        </w:rPr>
      </w:pPr>
    </w:p>
    <w:p w14:paraId="005170ED">
      <w:pPr>
        <w:spacing w:line="240" w:lineRule="auto"/>
        <w:ind w:left="1899" w:hanging="1519" w:hangingChars="633"/>
        <w:rPr>
          <w:rFonts w:hint="eastAsia" w:ascii="宋体" w:hAnsi="宋体" w:eastAsia="宋体" w:cs="宋体"/>
          <w:color w:val="000000"/>
          <w:sz w:val="24"/>
          <w:szCs w:val="24"/>
        </w:rPr>
      </w:pPr>
    </w:p>
    <w:p w14:paraId="3AE8B73E">
      <w:pPr>
        <w:spacing w:line="240" w:lineRule="auto"/>
        <w:ind w:left="1899" w:hanging="1519" w:hangingChars="633"/>
        <w:rPr>
          <w:rFonts w:hint="eastAsia" w:ascii="宋体" w:hAnsi="宋体" w:eastAsia="宋体" w:cs="宋体"/>
          <w:color w:val="000000"/>
          <w:sz w:val="24"/>
          <w:szCs w:val="24"/>
        </w:rPr>
      </w:pPr>
    </w:p>
    <w:p w14:paraId="035DABA3">
      <w:pPr>
        <w:spacing w:line="240" w:lineRule="auto"/>
        <w:ind w:left="1899" w:hanging="1519" w:hangingChars="633"/>
        <w:rPr>
          <w:rFonts w:hint="eastAsia" w:ascii="宋体" w:hAnsi="宋体" w:eastAsia="宋体" w:cs="宋体"/>
          <w:color w:val="000000"/>
          <w:sz w:val="24"/>
          <w:szCs w:val="24"/>
        </w:rPr>
      </w:pPr>
    </w:p>
    <w:p w14:paraId="75517F0C">
      <w:pPr>
        <w:spacing w:line="240" w:lineRule="auto"/>
        <w:ind w:left="1899" w:hanging="1519" w:hangingChars="633"/>
        <w:rPr>
          <w:rFonts w:hint="eastAsia" w:ascii="宋体" w:hAnsi="宋体" w:eastAsia="宋体" w:cs="宋体"/>
          <w:color w:val="000000"/>
          <w:sz w:val="24"/>
          <w:szCs w:val="24"/>
        </w:rPr>
      </w:pPr>
    </w:p>
    <w:p w14:paraId="615D961F">
      <w:pPr>
        <w:spacing w:line="240" w:lineRule="auto"/>
        <w:ind w:left="1899" w:hanging="1519" w:hangingChars="633"/>
        <w:rPr>
          <w:rFonts w:hint="eastAsia" w:ascii="宋体" w:hAnsi="宋体" w:eastAsia="宋体" w:cs="宋体"/>
          <w:color w:val="000000"/>
          <w:sz w:val="24"/>
          <w:szCs w:val="24"/>
        </w:rPr>
      </w:pPr>
    </w:p>
    <w:p w14:paraId="3F6EAB7F">
      <w:pPr>
        <w:spacing w:line="240" w:lineRule="auto"/>
        <w:rPr>
          <w:rFonts w:hint="eastAsia" w:ascii="宋体" w:hAnsi="宋体" w:eastAsia="宋体" w:cs="宋体"/>
          <w:color w:val="000000"/>
          <w:sz w:val="24"/>
          <w:szCs w:val="24"/>
        </w:rPr>
      </w:pPr>
    </w:p>
    <w:p w14:paraId="5FAD809F">
      <w:pPr>
        <w:spacing w:line="240" w:lineRule="auto"/>
        <w:rPr>
          <w:rFonts w:hint="eastAsia" w:ascii="宋体" w:hAnsi="宋体" w:eastAsia="宋体" w:cs="宋体"/>
          <w:color w:val="000000"/>
          <w:sz w:val="24"/>
          <w:szCs w:val="24"/>
        </w:rPr>
      </w:pPr>
    </w:p>
    <w:p w14:paraId="293F7D53">
      <w:pPr>
        <w:spacing w:line="240" w:lineRule="auto"/>
        <w:rPr>
          <w:rFonts w:hint="eastAsia" w:ascii="宋体" w:hAnsi="宋体" w:eastAsia="宋体" w:cs="宋体"/>
          <w:color w:val="000000"/>
          <w:sz w:val="24"/>
          <w:szCs w:val="24"/>
        </w:rPr>
      </w:pPr>
    </w:p>
    <w:p w14:paraId="1E1E25CD">
      <w:pPr>
        <w:spacing w:line="240" w:lineRule="auto"/>
        <w:rPr>
          <w:rFonts w:hint="eastAsia" w:ascii="宋体" w:hAnsi="宋体" w:eastAsia="宋体" w:cs="宋体"/>
          <w:color w:val="000000"/>
          <w:sz w:val="24"/>
          <w:szCs w:val="24"/>
        </w:rPr>
      </w:pPr>
    </w:p>
    <w:p w14:paraId="58E57204">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1019" w:name="_Toc296891272"/>
      <w:bookmarkStart w:id="1020" w:name="_Toc296891060"/>
      <w:bookmarkStart w:id="1021" w:name="_Toc296346733"/>
      <w:bookmarkStart w:id="1022" w:name="_Toc296347231"/>
      <w:bookmarkStart w:id="1023" w:name="_Toc296503232"/>
      <w:bookmarkStart w:id="1024" w:name="_Toc267261702"/>
      <w:bookmarkStart w:id="1025" w:name="_Toc296944571"/>
      <w:r>
        <w:rPr>
          <w:rFonts w:hint="eastAsia" w:ascii="宋体" w:hAnsi="宋体" w:eastAsia="宋体" w:cs="宋体"/>
          <w:color w:val="000000"/>
          <w:sz w:val="24"/>
          <w:szCs w:val="24"/>
        </w:rPr>
        <w:t>件9 ：</w:t>
      </w:r>
    </w:p>
    <w:bookmarkEnd w:id="1019"/>
    <w:bookmarkEnd w:id="1020"/>
    <w:bookmarkEnd w:id="1021"/>
    <w:bookmarkEnd w:id="1022"/>
    <w:bookmarkEnd w:id="1023"/>
    <w:bookmarkEnd w:id="1024"/>
    <w:bookmarkEnd w:id="1025"/>
    <w:p w14:paraId="77632254">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预付款担保</w:t>
      </w:r>
    </w:p>
    <w:p w14:paraId="3F3CA87C">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14:paraId="2E6B9678">
      <w:pPr>
        <w:spacing w:line="240" w:lineRule="auto"/>
        <w:rPr>
          <w:rFonts w:hint="eastAsia" w:ascii="宋体" w:hAnsi="宋体" w:eastAsia="宋体" w:cs="宋体"/>
          <w:color w:val="000000"/>
          <w:sz w:val="24"/>
          <w:szCs w:val="24"/>
        </w:rPr>
      </w:pPr>
    </w:p>
    <w:p w14:paraId="4458EDF9">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14:paraId="7BE61719">
      <w:pPr>
        <w:spacing w:line="24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w:t>
      </w:r>
    </w:p>
    <w:p w14:paraId="77AD6378">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7AD38A0A">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AAD22A">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担保有效期自预付款支付给承包人起生效，至你方签发的进度款支付证书说明已完全扣清止。</w:t>
      </w:r>
    </w:p>
    <w:p w14:paraId="0FC9026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0A3A9477">
      <w:pPr>
        <w:spacing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14:paraId="1D92E67D">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6F4C290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48628A34">
      <w:pPr>
        <w:spacing w:line="240" w:lineRule="auto"/>
        <w:rPr>
          <w:rFonts w:hint="eastAsia" w:ascii="宋体" w:hAnsi="宋体" w:eastAsia="宋体" w:cs="宋体"/>
          <w:color w:val="000000"/>
          <w:sz w:val="24"/>
          <w:szCs w:val="24"/>
        </w:rPr>
      </w:pPr>
    </w:p>
    <w:p w14:paraId="25AD4656">
      <w:pPr>
        <w:spacing w:line="240" w:lineRule="auto"/>
        <w:rPr>
          <w:rFonts w:hint="eastAsia" w:ascii="宋体" w:hAnsi="宋体" w:eastAsia="宋体" w:cs="宋体"/>
          <w:color w:val="000000"/>
          <w:sz w:val="24"/>
          <w:szCs w:val="24"/>
        </w:rPr>
      </w:pPr>
    </w:p>
    <w:p w14:paraId="203A5AB8">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0272EBD4">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5716E5D9">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17F8FE58">
      <w:pPr>
        <w:spacing w:line="24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3486F11D">
      <w:pPr>
        <w:spacing w:line="24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418026A1">
      <w:pPr>
        <w:spacing w:line="24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006DC108">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0E15A49">
      <w:pPr>
        <w:spacing w:line="240" w:lineRule="auto"/>
        <w:rPr>
          <w:rFonts w:hint="eastAsia" w:ascii="宋体" w:hAnsi="宋体" w:eastAsia="宋体" w:cs="宋体"/>
          <w:color w:val="000000"/>
          <w:sz w:val="24"/>
          <w:szCs w:val="24"/>
          <w:u w:val="single"/>
        </w:rPr>
      </w:pPr>
    </w:p>
    <w:p w14:paraId="0A8F0E4E">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A1FD64C">
      <w:pPr>
        <w:spacing w:line="24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w:t>
      </w:r>
      <w:bookmarkStart w:id="1026" w:name="_Toc296891061"/>
      <w:bookmarkStart w:id="1027" w:name="_Toc296891273"/>
      <w:bookmarkStart w:id="1028" w:name="_Toc296503233"/>
      <w:bookmarkStart w:id="1029" w:name="_Toc296346734"/>
      <w:bookmarkStart w:id="1030" w:name="_Toc296944572"/>
      <w:bookmarkStart w:id="1031" w:name="_Toc296347232"/>
      <w:r>
        <w:rPr>
          <w:rFonts w:hint="eastAsia" w:ascii="宋体" w:hAnsi="宋体" w:eastAsia="宋体" w:cs="宋体"/>
          <w:color w:val="000000"/>
          <w:sz w:val="24"/>
          <w:szCs w:val="24"/>
        </w:rPr>
        <w:t xml:space="preserve">件10:  </w:t>
      </w:r>
    </w:p>
    <w:bookmarkEnd w:id="1026"/>
    <w:bookmarkEnd w:id="1027"/>
    <w:bookmarkEnd w:id="1028"/>
    <w:bookmarkEnd w:id="1029"/>
    <w:bookmarkEnd w:id="1030"/>
    <w:bookmarkEnd w:id="1031"/>
    <w:p w14:paraId="0409A06B">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支付担保</w:t>
      </w:r>
    </w:p>
    <w:p w14:paraId="67218939">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w:t>
      </w:r>
    </w:p>
    <w:p w14:paraId="5B2CA6F2">
      <w:pPr>
        <w:spacing w:line="240" w:lineRule="auto"/>
        <w:jc w:val="left"/>
        <w:rPr>
          <w:rFonts w:hint="eastAsia" w:ascii="宋体" w:hAnsi="宋体" w:eastAsia="宋体" w:cs="宋体"/>
          <w:color w:val="000000"/>
          <w:sz w:val="24"/>
          <w:szCs w:val="24"/>
        </w:rPr>
      </w:pPr>
    </w:p>
    <w:p w14:paraId="4D8B54FC">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鉴于你方作为承包人已经与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（发包人名称）（以下称“发包人”）于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（工程名称）《建设工程施工合同》（以下称“主合同”），应发包人的申请，我方愿就发包人履行主合同约定的工程款支付义务以保证的方式向你方提供如下担保：</w:t>
      </w:r>
    </w:p>
    <w:p w14:paraId="0F76C86D">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一、保证的范围及保证金额</w:t>
      </w:r>
    </w:p>
    <w:p w14:paraId="43B8F799">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我方的保证范围是主合同约定的工程款。</w:t>
      </w:r>
    </w:p>
    <w:p w14:paraId="7E3042B4">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本保函所称主合同约定的工程款是指主合同约定的除工程质量保证金以外的合同价款。</w:t>
      </w:r>
    </w:p>
    <w:p w14:paraId="0A4A6F94">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我方保证的金额是主合同约定的工程款的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%，数额最高不超过人民币元（大写：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48C73B">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二、保证的方式及保证期间</w:t>
      </w:r>
    </w:p>
    <w:p w14:paraId="0B6A6082">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我方保证的方式为：连带责任保证。</w:t>
      </w:r>
    </w:p>
    <w:p w14:paraId="38858C1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我方保证的期间为：自本合同生效之日起至主合同约定的工程款支付完毕之日后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日内。</w:t>
      </w:r>
    </w:p>
    <w:p w14:paraId="2688BA0D">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你方与发包人协议变更工程款支付日期的，经我方书面同意后，保证期间按照变更后的支付日期做相应调整。</w:t>
      </w:r>
    </w:p>
    <w:p w14:paraId="5997B882">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三、承担保证责任的形式</w:t>
      </w:r>
    </w:p>
    <w:p w14:paraId="2DA268E6">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我方承担保证责任的形式是代为支付。发包人未按主合同约定向你方支付工程款的，由我方在保证金额内代为支付。</w:t>
      </w:r>
    </w:p>
    <w:p w14:paraId="4742CF17">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四、代偿的安排</w:t>
      </w:r>
    </w:p>
    <w:p w14:paraId="33BC5EFF">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你方要求我方承担保证责任的，应向我方发出书面索赔通知及发包人未支付主合同约定工程款的证明材料。索赔通知应写明要求索赔的金额，支付款项应到达的账号。</w:t>
      </w:r>
    </w:p>
    <w:p w14:paraId="3340853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4165B7C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我方收到你方的书面索赔通知及相应的证明材料后７天内无条件支付。</w:t>
      </w:r>
    </w:p>
    <w:p w14:paraId="6EE0F4BC">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五、保证责任的解除</w:t>
      </w:r>
    </w:p>
    <w:p w14:paraId="0A4BA71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在本保函承诺的保证期间内，你方未书面向我方主张保证责任的，自保证期间届满次日起，我方保证责任解除。</w:t>
      </w:r>
    </w:p>
    <w:p w14:paraId="5B248BF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发包人按主合同约定履行了工程款的全部支付义务的，自本保函承诺的保证期间届满次日起，我方保证责任解除。</w:t>
      </w:r>
    </w:p>
    <w:p w14:paraId="234A6FC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我方按照本保函向你方履行保证责任所支付金额达到本保函保证金额时，自我方向你方支付（支付款项从我方账户划出）之日起，保证责任即解除。</w:t>
      </w:r>
    </w:p>
    <w:p w14:paraId="50CFDF7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按照法律法规的规定或出现应解除我方保证责任的其他情形的，我方在本保函项下的保证责任亦解除。</w:t>
      </w:r>
    </w:p>
    <w:p w14:paraId="052E8A70">
      <w:pPr>
        <w:spacing w:line="240" w:lineRule="auto"/>
        <w:jc w:val="left"/>
        <w:rPr>
          <w:rFonts w:hint="eastAsia" w:ascii="宋体" w:hAnsi="宋体" w:eastAsia="宋体" w:cs="宋体"/>
          <w:color w:val="000000"/>
          <w:sz w:val="24"/>
          <w:szCs w:val="24"/>
        </w:rPr>
      </w:pPr>
    </w:p>
    <w:p w14:paraId="24771A60">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我方解除保证责任后，你方应自我方保证责任解除之日起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个工作日内，将本保函原件返还我方。</w:t>
      </w:r>
    </w:p>
    <w:p w14:paraId="066E0006">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六、免责条款</w:t>
      </w:r>
    </w:p>
    <w:p w14:paraId="3FBD4A2A">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因你方违约致使发包人不能履行义务的，我方不承担保证责任。</w:t>
      </w:r>
    </w:p>
    <w:p w14:paraId="46134375">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依照法律法规的规定或你方与发包人的另行约定，免除发包人部分或全部义务的，我方亦免除其相应的保证责任。</w:t>
      </w:r>
    </w:p>
    <w:p w14:paraId="49177280">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7FAB3618">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因不可抗力造成发包人不能履行义务的，我方不承担保证责任。</w:t>
      </w:r>
    </w:p>
    <w:p w14:paraId="753340BC">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七、争议解决</w:t>
      </w:r>
    </w:p>
    <w:p w14:paraId="480B048B">
      <w:pPr>
        <w:spacing w:after="120" w:line="24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因本保函或本保函相关事项发生的纠纷，可由双方协商解决，协商不成的，按下列第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3401FD1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374D8A81">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p>
    <w:p w14:paraId="50184BCF">
      <w:pPr>
        <w:spacing w:line="24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八、保函的生效</w:t>
      </w:r>
    </w:p>
    <w:p w14:paraId="71CB548B">
      <w:pPr>
        <w:spacing w:line="24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本保函自我方法定代表人（或其授权代理人）签字并加盖公章之日起生效。</w:t>
      </w:r>
    </w:p>
    <w:p w14:paraId="68754F1B">
      <w:pPr>
        <w:spacing w:line="240" w:lineRule="auto"/>
        <w:ind w:firstLine="480" w:firstLineChars="200"/>
        <w:jc w:val="left"/>
        <w:rPr>
          <w:rFonts w:hint="eastAsia" w:ascii="宋体" w:hAnsi="宋体" w:eastAsia="宋体" w:cs="宋体"/>
          <w:color w:val="000000"/>
          <w:sz w:val="24"/>
          <w:szCs w:val="24"/>
        </w:rPr>
      </w:pPr>
    </w:p>
    <w:p w14:paraId="2282685D">
      <w:pPr>
        <w:spacing w:line="240" w:lineRule="auto"/>
        <w:ind w:right="600"/>
        <w:jc w:val="left"/>
        <w:rPr>
          <w:rFonts w:hint="eastAsia" w:ascii="宋体" w:hAnsi="宋体" w:eastAsia="宋体" w:cs="宋体"/>
          <w:color w:val="000000"/>
          <w:sz w:val="24"/>
          <w:szCs w:val="24"/>
        </w:rPr>
      </w:pPr>
    </w:p>
    <w:p w14:paraId="78D92DB0">
      <w:pPr>
        <w:spacing w:line="240" w:lineRule="auto"/>
        <w:ind w:right="600"/>
        <w:jc w:val="left"/>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（盖章）</w:t>
      </w:r>
    </w:p>
    <w:p w14:paraId="0E2D57B4">
      <w:pPr>
        <w:spacing w:line="240" w:lineRule="auto"/>
        <w:ind w:right="1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016A15EC">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7B06247B">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903CE66">
      <w:pPr>
        <w:spacing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085D7E23">
      <w:pPr>
        <w:spacing w:line="240" w:lineRule="auto"/>
        <w:ind w:right="150" w:firstLine="480" w:firstLineChars="200"/>
        <w:jc w:val="left"/>
        <w:rPr>
          <w:rFonts w:hint="eastAsia" w:ascii="宋体" w:hAnsi="宋体" w:eastAsia="宋体" w:cs="宋体"/>
          <w:color w:val="000000"/>
          <w:sz w:val="24"/>
          <w:szCs w:val="24"/>
          <w:u w:val="single"/>
        </w:rPr>
      </w:pPr>
    </w:p>
    <w:p w14:paraId="2708FF2D">
      <w:pPr>
        <w:spacing w:line="240" w:lineRule="auto"/>
        <w:ind w:right="15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441328F">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附件11：</w:t>
      </w:r>
    </w:p>
    <w:p w14:paraId="7CE12B3E">
      <w:pPr>
        <w:spacing w:before="156" w:beforeLines="50" w:after="156" w:afterLines="50" w:line="240" w:lineRule="auto"/>
        <w:jc w:val="center"/>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11-1：材料暂估价表</w:t>
      </w:r>
    </w:p>
    <w:tbl>
      <w:tblPr>
        <w:tblStyle w:val="6"/>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708BD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5F5BE05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984" w:type="dxa"/>
            <w:tcBorders>
              <w:top w:val="single" w:color="auto" w:sz="12" w:space="0"/>
              <w:bottom w:val="double" w:color="auto" w:sz="6" w:space="0"/>
            </w:tcBorders>
            <w:noWrap w:val="0"/>
            <w:vAlign w:val="top"/>
          </w:tcPr>
          <w:p w14:paraId="1A27B77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名称</w:t>
            </w:r>
          </w:p>
        </w:tc>
        <w:tc>
          <w:tcPr>
            <w:tcW w:w="851" w:type="dxa"/>
            <w:tcBorders>
              <w:top w:val="single" w:color="auto" w:sz="12" w:space="0"/>
              <w:bottom w:val="double" w:color="auto" w:sz="6" w:space="0"/>
            </w:tcBorders>
            <w:noWrap w:val="0"/>
            <w:vAlign w:val="top"/>
          </w:tcPr>
          <w:p w14:paraId="3F8EF00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单位</w:t>
            </w:r>
          </w:p>
        </w:tc>
        <w:tc>
          <w:tcPr>
            <w:tcW w:w="774" w:type="dxa"/>
            <w:tcBorders>
              <w:top w:val="single" w:color="auto" w:sz="12" w:space="0"/>
              <w:bottom w:val="double" w:color="auto" w:sz="6" w:space="0"/>
            </w:tcBorders>
            <w:noWrap w:val="0"/>
            <w:vAlign w:val="top"/>
          </w:tcPr>
          <w:p w14:paraId="7D1542A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数量</w:t>
            </w:r>
          </w:p>
        </w:tc>
        <w:tc>
          <w:tcPr>
            <w:tcW w:w="1352" w:type="dxa"/>
            <w:tcBorders>
              <w:top w:val="single" w:color="auto" w:sz="12" w:space="0"/>
              <w:bottom w:val="double" w:color="auto" w:sz="6" w:space="0"/>
            </w:tcBorders>
            <w:noWrap w:val="0"/>
            <w:vAlign w:val="top"/>
          </w:tcPr>
          <w:p w14:paraId="110F3E4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单价（元）</w:t>
            </w:r>
          </w:p>
        </w:tc>
        <w:tc>
          <w:tcPr>
            <w:tcW w:w="1418" w:type="dxa"/>
            <w:tcBorders>
              <w:top w:val="single" w:color="auto" w:sz="12" w:space="0"/>
              <w:bottom w:val="double" w:color="auto" w:sz="6" w:space="0"/>
            </w:tcBorders>
            <w:noWrap w:val="0"/>
            <w:vAlign w:val="top"/>
          </w:tcPr>
          <w:p w14:paraId="6A669FF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合价（元）</w:t>
            </w:r>
          </w:p>
        </w:tc>
        <w:tc>
          <w:tcPr>
            <w:tcW w:w="1701" w:type="dxa"/>
            <w:tcBorders>
              <w:top w:val="single" w:color="auto" w:sz="12" w:space="0"/>
              <w:bottom w:val="double" w:color="auto" w:sz="6" w:space="0"/>
            </w:tcBorders>
            <w:noWrap w:val="0"/>
            <w:vAlign w:val="top"/>
          </w:tcPr>
          <w:p w14:paraId="0CFE588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备注</w:t>
            </w:r>
          </w:p>
        </w:tc>
      </w:tr>
      <w:tr w14:paraId="37763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1D1A150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tcBorders>
              <w:top w:val="double" w:color="auto" w:sz="6" w:space="0"/>
              <w:bottom w:val="single" w:color="auto" w:sz="6" w:space="0"/>
            </w:tcBorders>
            <w:noWrap w:val="0"/>
            <w:vAlign w:val="top"/>
          </w:tcPr>
          <w:p w14:paraId="4DA5788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double" w:color="auto" w:sz="6" w:space="0"/>
              <w:bottom w:val="single" w:color="auto" w:sz="6" w:space="0"/>
            </w:tcBorders>
            <w:noWrap w:val="0"/>
            <w:vAlign w:val="top"/>
          </w:tcPr>
          <w:p w14:paraId="2EEBB41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tcBorders>
              <w:top w:val="double" w:color="auto" w:sz="6" w:space="0"/>
              <w:bottom w:val="single" w:color="auto" w:sz="6" w:space="0"/>
            </w:tcBorders>
            <w:noWrap w:val="0"/>
            <w:vAlign w:val="top"/>
          </w:tcPr>
          <w:p w14:paraId="38A26C4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tcBorders>
              <w:top w:val="double" w:color="auto" w:sz="6" w:space="0"/>
              <w:bottom w:val="single" w:color="auto" w:sz="6" w:space="0"/>
            </w:tcBorders>
            <w:noWrap w:val="0"/>
            <w:vAlign w:val="top"/>
          </w:tcPr>
          <w:p w14:paraId="5217C5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double" w:color="auto" w:sz="6" w:space="0"/>
              <w:bottom w:val="single" w:color="auto" w:sz="6" w:space="0"/>
            </w:tcBorders>
            <w:noWrap w:val="0"/>
            <w:vAlign w:val="top"/>
          </w:tcPr>
          <w:p w14:paraId="4DE0AA6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tcBorders>
              <w:top w:val="double" w:color="auto" w:sz="6" w:space="0"/>
              <w:bottom w:val="single" w:color="auto" w:sz="6" w:space="0"/>
            </w:tcBorders>
            <w:noWrap w:val="0"/>
            <w:vAlign w:val="top"/>
          </w:tcPr>
          <w:p w14:paraId="5BB0A7F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C6F35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B9FF68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tcBorders>
              <w:top w:val="nil"/>
            </w:tcBorders>
            <w:noWrap w:val="0"/>
            <w:vAlign w:val="top"/>
          </w:tcPr>
          <w:p w14:paraId="350094F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top"/>
          </w:tcPr>
          <w:p w14:paraId="788AA14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tcBorders>
              <w:top w:val="nil"/>
            </w:tcBorders>
            <w:noWrap w:val="0"/>
            <w:vAlign w:val="top"/>
          </w:tcPr>
          <w:p w14:paraId="3B6485A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tcBorders>
              <w:top w:val="nil"/>
            </w:tcBorders>
            <w:noWrap w:val="0"/>
            <w:vAlign w:val="top"/>
          </w:tcPr>
          <w:p w14:paraId="0050214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nil"/>
            </w:tcBorders>
            <w:noWrap w:val="0"/>
            <w:vAlign w:val="top"/>
          </w:tcPr>
          <w:p w14:paraId="77EA4B6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tcBorders>
              <w:top w:val="nil"/>
            </w:tcBorders>
            <w:noWrap w:val="0"/>
            <w:vAlign w:val="top"/>
          </w:tcPr>
          <w:p w14:paraId="6CE47FF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C32F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DC8DD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0A895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EA44CA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40FF0F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3EE0327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301648A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00193BC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199FA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04205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45A23EA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7238C97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07E554E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500C342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6FA9A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2B2BD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8BAFA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07572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74435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3C6E234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112A67F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6A9FC73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3C10FF1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4E57D04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2A43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B9A8CF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1407BE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14B22F3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54BAB0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2322226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4D17B7D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229FB81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DF31E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68139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2CDEEBF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23D3EB1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4AA0DF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5AA50AB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4F400EE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5E597F3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54814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6119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B36CE7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4A15E50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DEC2A3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0A2767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1DAB08B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7736D6B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9E052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B1030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660C78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26DD371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6D204E7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17E434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4C86199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3E9B2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6E00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0DCB3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204CF02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0F5A993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7135A5B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12286C2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5B8544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457B399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048C2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652A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DF46CA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CA5DA2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7AAC239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50A9040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43BFE80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F6F66B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1AB9B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0B444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7A8B6D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41742D0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6C7F0A3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F63F13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D7E9E6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40DC9C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193BF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DE75D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113CD5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2016B6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45A34C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3CA9D33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3B1582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07A11A9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BE2EF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B7D3F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1581BE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2E65C1F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762B308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5226F7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08696B8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B64F13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99280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BBB51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1D668A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76FA8BD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AC3459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33303A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187B9F9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7EF9C0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5ACB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4CB4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6772C7B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7342989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16D7D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1A02B12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061B162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58333C9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176EC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02594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54B9F2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0B64C6C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29781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BD828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2920AEE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054194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4C7E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BE9CB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1E7464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319ED73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E10BA2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246084C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156D639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F4C738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BD96B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FEC9C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E717C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1D52629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CAB9CA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0FC69CF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16F0E88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65FEA1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1F50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86900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D8A18A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37AB9B7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1E89CF1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39E67D8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0E4166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48F26D3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3A64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2097E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4217ED0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8BCC16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7236849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6C934D6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2C853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BD005A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E771C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09DF2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25E4DF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2042BF2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086649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768EE3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52C7CE2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5A35A2B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292A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6BD72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DBD637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4629EAA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69E5CC4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0814FFA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724BCC5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72866CD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AC2E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F9E81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6542801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1A117D3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6DD260C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030A0CB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010788B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01D989A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15DE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0896E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4F8517C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7E49286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0229486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61D231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1617924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2596C66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bl>
    <w:p w14:paraId="61D6BA40">
      <w:pPr>
        <w:spacing w:before="156" w:beforeLines="50" w:after="156" w:afterLines="50" w:line="240" w:lineRule="auto"/>
        <w:rPr>
          <w:rFonts w:hint="eastAsia" w:ascii="宋体" w:hAnsi="宋体" w:eastAsia="宋体" w:cs="宋体"/>
          <w:color w:val="000000"/>
          <w:sz w:val="24"/>
          <w:szCs w:val="24"/>
        </w:rPr>
      </w:pPr>
    </w:p>
    <w:p w14:paraId="58A930B3">
      <w:pPr>
        <w:spacing w:before="156" w:beforeLines="50" w:after="156" w:afterLines="50" w:line="240" w:lineRule="auto"/>
        <w:jc w:val="center"/>
        <w:rPr>
          <w:rFonts w:hint="eastAsia" w:ascii="宋体" w:hAnsi="宋体" w:eastAsia="宋体" w:cs="宋体"/>
          <w:color w:val="000000"/>
          <w:sz w:val="24"/>
          <w:szCs w:val="24"/>
        </w:rPr>
      </w:pPr>
    </w:p>
    <w:p w14:paraId="48CD721E">
      <w:pPr>
        <w:spacing w:before="156" w:beforeLines="50" w:after="156" w:afterLines="50" w:line="240" w:lineRule="auto"/>
        <w:jc w:val="center"/>
        <w:rPr>
          <w:rFonts w:hint="eastAsia" w:ascii="宋体" w:hAnsi="宋体" w:eastAsia="宋体" w:cs="宋体"/>
          <w:color w:val="000000"/>
          <w:sz w:val="24"/>
          <w:szCs w:val="24"/>
        </w:rPr>
      </w:pPr>
    </w:p>
    <w:p w14:paraId="4AB41881">
      <w:pPr>
        <w:spacing w:before="156" w:beforeLines="50" w:after="156" w:afterLines="50" w:line="240" w:lineRule="auto"/>
        <w:jc w:val="center"/>
        <w:rPr>
          <w:rFonts w:hint="eastAsia" w:ascii="宋体" w:hAnsi="宋体" w:eastAsia="宋体" w:cs="宋体"/>
          <w:color w:val="000000"/>
          <w:sz w:val="24"/>
          <w:szCs w:val="24"/>
        </w:rPr>
      </w:pPr>
    </w:p>
    <w:p w14:paraId="4A9F9E25">
      <w:pPr>
        <w:spacing w:before="156" w:beforeLines="50" w:after="156" w:afterLines="50" w:line="240" w:lineRule="auto"/>
        <w:jc w:val="center"/>
        <w:rPr>
          <w:rFonts w:hint="eastAsia" w:ascii="宋体" w:hAnsi="宋体" w:eastAsia="宋体" w:cs="宋体"/>
          <w:color w:val="000000"/>
          <w:sz w:val="24"/>
          <w:szCs w:val="24"/>
        </w:rPr>
      </w:pPr>
    </w:p>
    <w:p w14:paraId="080BA525">
      <w:pPr>
        <w:spacing w:before="156" w:beforeLines="50" w:after="156" w:afterLines="50" w:line="240" w:lineRule="auto"/>
        <w:jc w:val="center"/>
        <w:rPr>
          <w:rFonts w:hint="eastAsia" w:ascii="宋体" w:hAnsi="宋体" w:eastAsia="宋体" w:cs="宋体"/>
          <w:color w:val="000000"/>
          <w:sz w:val="24"/>
          <w:szCs w:val="24"/>
        </w:rPr>
      </w:pPr>
    </w:p>
    <w:p w14:paraId="78F5EB0F">
      <w:pPr>
        <w:spacing w:before="156" w:beforeLines="50" w:after="156" w:afterLines="50" w:line="240" w:lineRule="auto"/>
        <w:jc w:val="center"/>
        <w:rPr>
          <w:rFonts w:hint="eastAsia" w:ascii="宋体" w:hAnsi="宋体" w:eastAsia="宋体" w:cs="宋体"/>
          <w:color w:val="000000"/>
          <w:sz w:val="24"/>
          <w:szCs w:val="24"/>
        </w:rPr>
      </w:pPr>
    </w:p>
    <w:p w14:paraId="486468C5">
      <w:pPr>
        <w:spacing w:before="156" w:beforeLines="50" w:after="156" w:afterLines="50" w:line="240" w:lineRule="auto"/>
        <w:jc w:val="center"/>
        <w:rPr>
          <w:rFonts w:hint="eastAsia" w:ascii="宋体" w:hAnsi="宋体" w:eastAsia="宋体" w:cs="宋体"/>
          <w:color w:val="000000"/>
          <w:sz w:val="24"/>
          <w:szCs w:val="24"/>
        </w:rPr>
      </w:pPr>
    </w:p>
    <w:p w14:paraId="6BED323A">
      <w:pPr>
        <w:spacing w:before="156" w:beforeLines="50" w:after="156" w:afterLines="50" w:line="240" w:lineRule="auto"/>
        <w:jc w:val="center"/>
        <w:rPr>
          <w:rFonts w:hint="eastAsia" w:ascii="宋体" w:hAnsi="宋体" w:eastAsia="宋体" w:cs="宋体"/>
          <w:color w:val="000000"/>
          <w:sz w:val="24"/>
          <w:szCs w:val="24"/>
        </w:rPr>
      </w:pPr>
    </w:p>
    <w:p w14:paraId="626EF00F">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11-2：工程设备暂估价表</w:t>
      </w:r>
    </w:p>
    <w:tbl>
      <w:tblPr>
        <w:tblStyle w:val="6"/>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6E4B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18E518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984" w:type="dxa"/>
            <w:tcBorders>
              <w:top w:val="single" w:color="auto" w:sz="12" w:space="0"/>
              <w:bottom w:val="double" w:color="auto" w:sz="6" w:space="0"/>
            </w:tcBorders>
            <w:noWrap w:val="0"/>
            <w:vAlign w:val="top"/>
          </w:tcPr>
          <w:p w14:paraId="3277018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名称</w:t>
            </w:r>
          </w:p>
        </w:tc>
        <w:tc>
          <w:tcPr>
            <w:tcW w:w="851" w:type="dxa"/>
            <w:tcBorders>
              <w:top w:val="single" w:color="auto" w:sz="12" w:space="0"/>
              <w:bottom w:val="double" w:color="auto" w:sz="6" w:space="0"/>
            </w:tcBorders>
            <w:noWrap w:val="0"/>
            <w:vAlign w:val="top"/>
          </w:tcPr>
          <w:p w14:paraId="67675BA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单位</w:t>
            </w:r>
          </w:p>
        </w:tc>
        <w:tc>
          <w:tcPr>
            <w:tcW w:w="774" w:type="dxa"/>
            <w:tcBorders>
              <w:top w:val="single" w:color="auto" w:sz="12" w:space="0"/>
              <w:bottom w:val="double" w:color="auto" w:sz="6" w:space="0"/>
            </w:tcBorders>
            <w:noWrap w:val="0"/>
            <w:vAlign w:val="top"/>
          </w:tcPr>
          <w:p w14:paraId="750BD29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数量</w:t>
            </w:r>
          </w:p>
        </w:tc>
        <w:tc>
          <w:tcPr>
            <w:tcW w:w="1352" w:type="dxa"/>
            <w:tcBorders>
              <w:top w:val="single" w:color="auto" w:sz="12" w:space="0"/>
              <w:bottom w:val="double" w:color="auto" w:sz="6" w:space="0"/>
            </w:tcBorders>
            <w:noWrap w:val="0"/>
            <w:vAlign w:val="top"/>
          </w:tcPr>
          <w:p w14:paraId="4DC340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单价（元）</w:t>
            </w:r>
          </w:p>
        </w:tc>
        <w:tc>
          <w:tcPr>
            <w:tcW w:w="1418" w:type="dxa"/>
            <w:tcBorders>
              <w:top w:val="single" w:color="auto" w:sz="12" w:space="0"/>
              <w:bottom w:val="double" w:color="auto" w:sz="6" w:space="0"/>
            </w:tcBorders>
            <w:noWrap w:val="0"/>
            <w:vAlign w:val="top"/>
          </w:tcPr>
          <w:p w14:paraId="76D176A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合价（元）</w:t>
            </w:r>
          </w:p>
        </w:tc>
        <w:tc>
          <w:tcPr>
            <w:tcW w:w="1701" w:type="dxa"/>
            <w:tcBorders>
              <w:top w:val="single" w:color="auto" w:sz="12" w:space="0"/>
              <w:bottom w:val="double" w:color="auto" w:sz="6" w:space="0"/>
            </w:tcBorders>
            <w:noWrap w:val="0"/>
            <w:vAlign w:val="top"/>
          </w:tcPr>
          <w:p w14:paraId="62254F5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备注</w:t>
            </w:r>
          </w:p>
        </w:tc>
      </w:tr>
      <w:tr w14:paraId="531CA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11D230C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tcBorders>
              <w:top w:val="double" w:color="auto" w:sz="6" w:space="0"/>
              <w:bottom w:val="single" w:color="auto" w:sz="6" w:space="0"/>
            </w:tcBorders>
            <w:noWrap w:val="0"/>
            <w:vAlign w:val="top"/>
          </w:tcPr>
          <w:p w14:paraId="715CD9F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double" w:color="auto" w:sz="6" w:space="0"/>
              <w:bottom w:val="single" w:color="auto" w:sz="6" w:space="0"/>
            </w:tcBorders>
            <w:noWrap w:val="0"/>
            <w:vAlign w:val="top"/>
          </w:tcPr>
          <w:p w14:paraId="17933AF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tcBorders>
              <w:top w:val="double" w:color="auto" w:sz="6" w:space="0"/>
              <w:bottom w:val="single" w:color="auto" w:sz="6" w:space="0"/>
            </w:tcBorders>
            <w:noWrap w:val="0"/>
            <w:vAlign w:val="top"/>
          </w:tcPr>
          <w:p w14:paraId="643500F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tcBorders>
              <w:top w:val="double" w:color="auto" w:sz="6" w:space="0"/>
              <w:bottom w:val="single" w:color="auto" w:sz="6" w:space="0"/>
            </w:tcBorders>
            <w:noWrap w:val="0"/>
            <w:vAlign w:val="top"/>
          </w:tcPr>
          <w:p w14:paraId="57BA25A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double" w:color="auto" w:sz="6" w:space="0"/>
              <w:bottom w:val="single" w:color="auto" w:sz="6" w:space="0"/>
            </w:tcBorders>
            <w:noWrap w:val="0"/>
            <w:vAlign w:val="top"/>
          </w:tcPr>
          <w:p w14:paraId="4217BEA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tcBorders>
              <w:top w:val="double" w:color="auto" w:sz="6" w:space="0"/>
              <w:bottom w:val="single" w:color="auto" w:sz="6" w:space="0"/>
            </w:tcBorders>
            <w:noWrap w:val="0"/>
            <w:vAlign w:val="top"/>
          </w:tcPr>
          <w:p w14:paraId="55C3C4E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CDAC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0E89C5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tcBorders>
              <w:top w:val="nil"/>
            </w:tcBorders>
            <w:noWrap w:val="0"/>
            <w:vAlign w:val="top"/>
          </w:tcPr>
          <w:p w14:paraId="256B317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tcBorders>
              <w:top w:val="nil"/>
            </w:tcBorders>
            <w:noWrap w:val="0"/>
            <w:vAlign w:val="top"/>
          </w:tcPr>
          <w:p w14:paraId="59FA15C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tcBorders>
              <w:top w:val="nil"/>
            </w:tcBorders>
            <w:noWrap w:val="0"/>
            <w:vAlign w:val="top"/>
          </w:tcPr>
          <w:p w14:paraId="71CFBF9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tcBorders>
              <w:top w:val="nil"/>
            </w:tcBorders>
            <w:noWrap w:val="0"/>
            <w:vAlign w:val="top"/>
          </w:tcPr>
          <w:p w14:paraId="30FB57A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tcBorders>
              <w:top w:val="nil"/>
            </w:tcBorders>
            <w:noWrap w:val="0"/>
            <w:vAlign w:val="top"/>
          </w:tcPr>
          <w:p w14:paraId="537C0B1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tcBorders>
              <w:top w:val="nil"/>
            </w:tcBorders>
            <w:noWrap w:val="0"/>
            <w:vAlign w:val="top"/>
          </w:tcPr>
          <w:p w14:paraId="29D2298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77C93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B667C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B1BB3A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73D225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5A973C0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7CA3E99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4EE0956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25B3E86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E3EB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002A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33D73F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380ECBB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962C16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7F520CE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09C7C2F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69D611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C028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E4226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EDFDA6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32D8BFC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94064A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07161E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587CB94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D9BE95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BC55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E6C1D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B3B5B0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1F846FC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2D14CA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2F9F1A4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7AA3E93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74329E1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D16FA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01B28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9E90EB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6EE2400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3CAF1D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500315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BFB5C4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8022FB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A2D5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B1A71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B2C6AD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E256B7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719F295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040E047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56BCC0D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7565DCD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F807E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28F4D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61F50FF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67BBAE7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6B45583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2C7D998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10FDB31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DDDC0A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7A71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DEDB3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D73403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224ADDF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73DAD99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34906AE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727C20C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1F17E4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791CC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D2D0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646920B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2F0327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1270CA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6C83B69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F6C74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26253F3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87BEC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A560B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708291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0C61ADF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1CC4FD6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30EA51D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7C2640C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7C0ECE3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D1BC9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BB03C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164186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CEDCB3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5502CE9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46CC60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064A2E5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41E9B1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3B39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2D51D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4B1BC44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0624168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43ADE3C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6AD2415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13F41D3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0B37C5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26F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500636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5F0C77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1FFDD9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9D0311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3C0690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775BBF8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2186363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86662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47F8A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895A3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1FCB884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6133966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2ED650B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576D5FA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2C18DC1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782DF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57391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623C50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5D01721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07F005F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0B56F87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0D3738E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6DA752E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83332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1AA88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053EFD5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0737043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0676ED8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61462A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307B5EB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381A34D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A7D1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E7DC5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C36502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613FD1E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32D2499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10A4888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00501FA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10644CE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76520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F0AB7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2A7BC5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40DEABB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15A1EA7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01A01EB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3D8D0B1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4D78BB2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F7BC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CA9FC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B07C7D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4BC4DF5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453F2C5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32F60F9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61C221C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7AEAAC6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01ED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8717C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4C635B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003A5A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299167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10E4719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4174918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0381872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8ED68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8D9AE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B9EB63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442A72A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46D4DD2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74E8220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5D1091E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090AECB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40BF6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CC379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16C23B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1AA5DF7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4F971DB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526E5E4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488F71E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5CBA635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7730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62AB3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2725FB0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851" w:type="dxa"/>
            <w:noWrap w:val="0"/>
            <w:vAlign w:val="top"/>
          </w:tcPr>
          <w:p w14:paraId="788F37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774" w:type="dxa"/>
            <w:noWrap w:val="0"/>
            <w:vAlign w:val="top"/>
          </w:tcPr>
          <w:p w14:paraId="467E23C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352" w:type="dxa"/>
            <w:noWrap w:val="0"/>
            <w:vAlign w:val="top"/>
          </w:tcPr>
          <w:p w14:paraId="68903A9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418" w:type="dxa"/>
            <w:noWrap w:val="0"/>
            <w:vAlign w:val="top"/>
          </w:tcPr>
          <w:p w14:paraId="3776A1D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701" w:type="dxa"/>
            <w:noWrap w:val="0"/>
            <w:vAlign w:val="top"/>
          </w:tcPr>
          <w:p w14:paraId="0219CC1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bl>
    <w:p w14:paraId="53107324">
      <w:pPr>
        <w:spacing w:line="240" w:lineRule="auto"/>
        <w:rPr>
          <w:rFonts w:hint="eastAsia" w:ascii="宋体" w:hAnsi="宋体" w:eastAsia="宋体" w:cs="宋体"/>
          <w:color w:val="000000"/>
          <w:sz w:val="24"/>
          <w:szCs w:val="24"/>
        </w:rPr>
      </w:pPr>
    </w:p>
    <w:p w14:paraId="41243D43">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11-3：专业工程暂估价表</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5247D5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D80740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984" w:type="dxa"/>
            <w:tcBorders>
              <w:top w:val="single" w:color="auto" w:sz="12" w:space="0"/>
              <w:bottom w:val="double" w:color="auto" w:sz="6" w:space="0"/>
            </w:tcBorders>
            <w:noWrap w:val="0"/>
            <w:vAlign w:val="top"/>
          </w:tcPr>
          <w:p w14:paraId="12DE36E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专业工程名称</w:t>
            </w:r>
          </w:p>
        </w:tc>
        <w:tc>
          <w:tcPr>
            <w:tcW w:w="4678" w:type="dxa"/>
            <w:tcBorders>
              <w:top w:val="single" w:color="auto" w:sz="12" w:space="0"/>
              <w:bottom w:val="double" w:color="auto" w:sz="6" w:space="0"/>
            </w:tcBorders>
            <w:noWrap w:val="0"/>
            <w:vAlign w:val="top"/>
          </w:tcPr>
          <w:p w14:paraId="7447E67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工程内容</w:t>
            </w:r>
          </w:p>
        </w:tc>
        <w:tc>
          <w:tcPr>
            <w:tcW w:w="1276" w:type="dxa"/>
            <w:tcBorders>
              <w:top w:val="single" w:color="auto" w:sz="12" w:space="0"/>
              <w:bottom w:val="double" w:color="auto" w:sz="6" w:space="0"/>
            </w:tcBorders>
            <w:noWrap w:val="0"/>
            <w:vAlign w:val="top"/>
          </w:tcPr>
          <w:p w14:paraId="280F858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金额</w:t>
            </w:r>
          </w:p>
        </w:tc>
      </w:tr>
      <w:tr w14:paraId="4378BC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7052F4F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tcBorders>
              <w:top w:val="double" w:color="auto" w:sz="6" w:space="0"/>
              <w:bottom w:val="single" w:color="auto" w:sz="6" w:space="0"/>
            </w:tcBorders>
            <w:noWrap w:val="0"/>
            <w:vAlign w:val="top"/>
          </w:tcPr>
          <w:p w14:paraId="6F69987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tcBorders>
              <w:top w:val="double" w:color="auto" w:sz="6" w:space="0"/>
              <w:bottom w:val="single" w:color="auto" w:sz="6" w:space="0"/>
            </w:tcBorders>
            <w:noWrap w:val="0"/>
            <w:vAlign w:val="top"/>
          </w:tcPr>
          <w:p w14:paraId="7B5737E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tcBorders>
              <w:top w:val="double" w:color="auto" w:sz="6" w:space="0"/>
              <w:bottom w:val="single" w:color="auto" w:sz="6" w:space="0"/>
            </w:tcBorders>
            <w:noWrap w:val="0"/>
            <w:vAlign w:val="top"/>
          </w:tcPr>
          <w:p w14:paraId="206DCD3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45BCD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14D725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tcBorders>
              <w:top w:val="nil"/>
            </w:tcBorders>
            <w:noWrap w:val="0"/>
            <w:vAlign w:val="top"/>
          </w:tcPr>
          <w:p w14:paraId="6F6E8A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tcBorders>
              <w:top w:val="nil"/>
            </w:tcBorders>
            <w:noWrap w:val="0"/>
            <w:vAlign w:val="top"/>
          </w:tcPr>
          <w:p w14:paraId="4E87D99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tcBorders>
              <w:top w:val="nil"/>
            </w:tcBorders>
            <w:noWrap w:val="0"/>
            <w:vAlign w:val="top"/>
          </w:tcPr>
          <w:p w14:paraId="136AA56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7ACA7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81A0C7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tcBorders>
              <w:top w:val="nil"/>
            </w:tcBorders>
            <w:noWrap w:val="0"/>
            <w:vAlign w:val="top"/>
          </w:tcPr>
          <w:p w14:paraId="28BEDB4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tcBorders>
              <w:top w:val="nil"/>
            </w:tcBorders>
            <w:noWrap w:val="0"/>
            <w:vAlign w:val="top"/>
          </w:tcPr>
          <w:p w14:paraId="23E2907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tcBorders>
              <w:top w:val="nil"/>
            </w:tcBorders>
            <w:noWrap w:val="0"/>
            <w:vAlign w:val="top"/>
          </w:tcPr>
          <w:p w14:paraId="53A7366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CFEB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B761C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D45AF5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27D6875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29F41E3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4102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DC654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7A16C18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2908934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377FF89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975C1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400A69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7B4A4D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4648CC6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58DB329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D161F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E1F202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6704E3D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7A502B7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54153E2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88411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79E8D0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9C670D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5ABC7EF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2077AD2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E98A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6404C6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2942D4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11BCD05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08D0E92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E191A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58CC1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4BBD547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4EED517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6552C33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FEF2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1A7165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A07F4B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50B6D3C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7F63A16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CDFE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40261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6376063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7BE541D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1EC3058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353CC1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6CA3C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2887E2A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371D6B6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567F610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04EC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486192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44BBCC7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470B021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1913646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E650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3EB6C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DF7076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7656A1D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10CCF79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A519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E34AEA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CFB7A0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7B215572">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57DBF8D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CB1E8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42FC2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5B0524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129675F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0964DCD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1D828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101945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F6C770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1FEE2D5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1B3BE07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620DC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5B61F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8F19AB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63DD788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13ABA42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217C0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3BB997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25245689">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7FF7FF0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3085310E">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2688F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DB76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4F03808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56B8EE4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30A4C31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E8D73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F3F42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69572E1">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4884336D">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7969039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47EBFB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FC1EF0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5F855A14">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3B2EBC6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0587B9D0">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7DAAB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07DCF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33226EF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4C197CAC">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75754773">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529EE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F2454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17234486">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2658615A">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00CAA9FB">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15C1A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E1A369F">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984" w:type="dxa"/>
            <w:noWrap w:val="0"/>
            <w:vAlign w:val="top"/>
          </w:tcPr>
          <w:p w14:paraId="2BE69778">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4678" w:type="dxa"/>
            <w:noWrap w:val="0"/>
            <w:vAlign w:val="top"/>
          </w:tcPr>
          <w:p w14:paraId="2E63FD0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c>
          <w:tcPr>
            <w:tcW w:w="1276" w:type="dxa"/>
            <w:noWrap w:val="0"/>
            <w:vAlign w:val="top"/>
          </w:tcPr>
          <w:p w14:paraId="641DE6F7">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p>
        </w:tc>
      </w:tr>
      <w:tr w14:paraId="00F7A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23FC195">
            <w:pPr>
              <w:keepNext/>
              <w:widowControl w:val="0"/>
              <w:adjustRightInd w:val="0"/>
              <w:spacing w:after="0" w:afterLines="0" w:line="240" w:lineRule="auto"/>
              <w:ind w:left="63" w:leftChars="30" w:right="63" w:rightChars="30"/>
              <w:jc w:val="center"/>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小计：</w:t>
            </w:r>
          </w:p>
        </w:tc>
      </w:tr>
    </w:tbl>
    <w:p w14:paraId="3407D7BA"/>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8B8C6">
    <w:pPr>
      <w:pStyle w:val="5"/>
      <w:rPr>
        <w:rFonts w:ascii="Times New Roman" w:hAnsi="Times New Roman" w:eastAsia="宋体" w:cs="Times New Roman"/>
      </w:rPr>
    </w:pPr>
    <w:r>
      <w:rPr>
        <w:rFonts w:ascii="Times New Roman" w:hAnsi="Times New Roman" w:eastAsia="宋体" w:cs="Times New Roman"/>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5407EB">
                          <w:pPr>
                            <w:pStyle w:val="5"/>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83</w:t>
                          </w:r>
                          <w:r>
                            <w:rPr>
                              <w:rFonts w:ascii="Times New Roman" w:hAnsi="Times New Roman" w:eastAsia="宋体" w:cs="Times New Roma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05407EB">
                    <w:pPr>
                      <w:pStyle w:val="5"/>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83</w:t>
                    </w:r>
                    <w:r>
                      <w:rPr>
                        <w:rFonts w:ascii="Times New Roman" w:hAnsi="Times New Roman" w:eastAsia="宋体" w:cs="Times New Roma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85196"/>
    <w:rsid w:val="1E232418"/>
    <w:rsid w:val="20861BB8"/>
    <w:rsid w:val="62FA4C34"/>
    <w:rsid w:val="65091B88"/>
    <w:rsid w:val="78CE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next w:val="1"/>
    <w:qFormat/>
    <w:uiPriority w:val="0"/>
    <w:pPr>
      <w:keepNext/>
      <w:widowControl w:val="0"/>
      <w:spacing w:line="320" w:lineRule="exact"/>
      <w:jc w:val="both"/>
      <w:outlineLvl w:val="2"/>
    </w:pPr>
    <w:rPr>
      <w:rFonts w:ascii="楷体_GB2312" w:hAnsi="Times New Roman" w:eastAsia="楷体_GB2312" w:cs="Times New Roman"/>
      <w:kern w:val="2"/>
      <w:sz w:val="32"/>
      <w:lang w:val="en-US" w:eastAsia="zh-CN" w:bidi="ar-SA"/>
    </w:rPr>
  </w:style>
  <w:style w:type="paragraph" w:styleId="4">
    <w:name w:val="heading 5"/>
    <w:next w:val="1"/>
    <w:qFormat/>
    <w:uiPriority w:val="0"/>
    <w:pPr>
      <w:keepNext/>
      <w:keepLines/>
      <w:widowControl w:val="0"/>
      <w:spacing w:before="280" w:beforeLines="0" w:after="290" w:afterLines="0" w:line="372" w:lineRule="auto"/>
      <w:jc w:val="both"/>
      <w:outlineLvl w:val="4"/>
    </w:pPr>
    <w:rPr>
      <w:rFonts w:ascii="Calibri" w:hAnsi="Calibri" w:eastAsia="宋体" w:cs="Times New Roman"/>
      <w:b/>
      <w:bCs/>
      <w:kern w:val="2"/>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footer"/>
    <w:qFormat/>
    <w:uiPriority w:val="0"/>
    <w:pPr>
      <w:widowControl w:val="0"/>
      <w:tabs>
        <w:tab w:val="center" w:pos="4153"/>
        <w:tab w:val="right" w:pos="8306"/>
      </w:tabs>
      <w:snapToGrid w:val="0"/>
      <w:spacing w:line="720" w:lineRule="exact"/>
      <w:jc w:val="left"/>
    </w:pPr>
    <w:rPr>
      <w:rFonts w:ascii="Times New Roman" w:hAnsi="Times New Roman" w:eastAsia="宋体" w:cs="Times New Roman"/>
      <w:kern w:val="2"/>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8864</Words>
  <Characters>9391</Characters>
  <Lines>0</Lines>
  <Paragraphs>0</Paragraphs>
  <TotalTime>14</TotalTime>
  <ScaleCrop>false</ScaleCrop>
  <LinksUpToDate>false</LinksUpToDate>
  <CharactersWithSpaces>10149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2024-03-01T05:31:00Z</dcterms:created>
  <dc:creator>24987</dc:creator>
  <cp:lastModifiedBy>李鹏</cp:lastModifiedBy>
  <dcterms:modified xsi:type="dcterms:W3CDTF">2025-10-20T02:26:20Z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E50027F4084D43129FB0B2FD6BBF29BD_12</vt:lpwstr>
  </property>
  <property fmtid="{D5CDD505-2E9C-101B-9397-08002B2CF9AE}" pid="4" name="KSOTemplateDocerSaveRecord">
    <vt:lpwstr>eyJoZGlkIjoiYjJjOTQxYzhjODMyMDAzZmE0MDJkMWFkNmJlNDkwYTUiLCJ1c2VySWQiOiI1NzIwNTk3NzUifQ==</vt:lpwstr>
  </property>
</Properties>
</file>