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版本号：DZDL-2025-055Z20251017001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蓝田县国有王顺山生态林场管护站基础设施改造提升项目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DZDL-2025-055Z</w:t>
      </w:r>
      <w:r>
        <w:br/>
      </w:r>
      <w:r>
        <w:br/>
      </w:r>
      <w:r>
        <w:br/>
      </w:r>
    </w:p>
    <w:p>
      <w:pPr>
        <w:pStyle w:val="null3"/>
        <w:jc w:val="center"/>
        <w:outlineLvl w:val="2"/>
      </w:pPr>
      <w:r>
        <w:rPr>
          <w:rFonts w:ascii="仿宋_GB2312" w:hAnsi="仿宋_GB2312" w:cs="仿宋_GB2312" w:eastAsia="仿宋_GB2312"/>
          <w:sz w:val="28"/>
          <w:b/>
        </w:rPr>
        <w:t>西安市蓝田县林业局（本级）</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西安市蓝田县林业局（本级）</w:t>
      </w:r>
      <w:r>
        <w:rPr>
          <w:rFonts w:ascii="仿宋_GB2312" w:hAnsi="仿宋_GB2312" w:cs="仿宋_GB2312" w:eastAsia="仿宋_GB2312"/>
        </w:rPr>
        <w:t>委托，拟对</w:t>
      </w:r>
      <w:r>
        <w:rPr>
          <w:rFonts w:ascii="仿宋_GB2312" w:hAnsi="仿宋_GB2312" w:cs="仿宋_GB2312" w:eastAsia="仿宋_GB2312"/>
        </w:rPr>
        <w:t>蓝田县国有王顺山生态林场管护站基础设施改造提升项目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DZDL-2025-055Z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蓝田县国有王顺山生态林场管护站基础设施改造提升项目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国有王顺山生态林场2025年省级财政衔接推进乡村振兴补助资金（欠发达国有林场巩固提升任务）管护站基础设施改造提升项目室外屋顶修缮、外墙抗渗保温处理、室外门口处改造、室内地面更换、室内门窗更换、内墙粉刷、办公室、厨房、卫生间修缮改造、室外入户供水主管更换、走廊公共电路改造、吸顶灯更换、室外屋顶修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采购包1（蓝田县国有王顺山生态林场管护站基础设施改造提升项目）：属于专门面向中小企业采购。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1、供应商具有独立承担民事责任的能力：具有独立承担民事责任能力的企业法人或其他组织或注册地在中国境内的外资企业，提供合法有效的（三证合一）统一社会信用代码的营业执照。</w:t>
      </w:r>
    </w:p>
    <w:p>
      <w:pPr>
        <w:pStyle w:val="null3"/>
      </w:pPr>
      <w:r>
        <w:rPr>
          <w:rFonts w:ascii="仿宋_GB2312" w:hAnsi="仿宋_GB2312" w:cs="仿宋_GB2312" w:eastAsia="仿宋_GB2312"/>
        </w:rPr>
        <w:t>2、拟派项目负责人资质和专业要求。：证书等级：二级注册建造师 专业：建筑工程 补充说明：在本单位注册，且无在建工程（提供无在建工程承诺书）</w:t>
      </w:r>
    </w:p>
    <w:p>
      <w:pPr>
        <w:pStyle w:val="null3"/>
      </w:pPr>
      <w:r>
        <w:rPr>
          <w:rFonts w:ascii="仿宋_GB2312" w:hAnsi="仿宋_GB2312" w:cs="仿宋_GB2312" w:eastAsia="仿宋_GB2312"/>
        </w:rPr>
        <w:t>3、供应商应授权合法的人员参加磋商全过程：供应商应授权合法的人员参加磋商响应全过程，其中法定代表人直接磋商响应的，须提交法定代表人身份证明书和身份证。法定代表人授权他人参加磋商响应的，须出具法定代表人授权委托书及被授权人身份证。</w:t>
      </w:r>
    </w:p>
    <w:p>
      <w:pPr>
        <w:pStyle w:val="null3"/>
      </w:pPr>
      <w:r>
        <w:rPr>
          <w:rFonts w:ascii="仿宋_GB2312" w:hAnsi="仿宋_GB2312" w:cs="仿宋_GB2312" w:eastAsia="仿宋_GB2312"/>
        </w:rPr>
        <w:t>4、有依法缴纳税收的良好记录：供应商须提供磋商截止时间前一年内任意1个月的缴税证明（注：依法免税或零申报的供应商应提供相关文件证明）。</w:t>
      </w:r>
    </w:p>
    <w:p>
      <w:pPr>
        <w:pStyle w:val="null3"/>
      </w:pPr>
      <w:r>
        <w:rPr>
          <w:rFonts w:ascii="仿宋_GB2312" w:hAnsi="仿宋_GB2312" w:cs="仿宋_GB2312" w:eastAsia="仿宋_GB2312"/>
        </w:rPr>
        <w:t>5、有社会保障资金的良好记录：供应商须提供磋商截止时间前一年内任意1个月的社会保险缴纳证明（注：依法不需要缴纳社会保障资金的供应商应提供相关文件证明）。</w:t>
      </w:r>
    </w:p>
    <w:p>
      <w:pPr>
        <w:pStyle w:val="null3"/>
      </w:pPr>
      <w:r>
        <w:rPr>
          <w:rFonts w:ascii="仿宋_GB2312" w:hAnsi="仿宋_GB2312" w:cs="仿宋_GB2312" w:eastAsia="仿宋_GB2312"/>
        </w:rPr>
        <w:t>6、企业资质：供应商须具备建设行政主管部门颁发的建筑工程施工总承包三级或装饰装修专业承包二级及以上资质，并具有合格有效的安全生产许可证</w:t>
      </w:r>
    </w:p>
    <w:p>
      <w:pPr>
        <w:pStyle w:val="null3"/>
      </w:pPr>
      <w:r>
        <w:rPr>
          <w:rFonts w:ascii="仿宋_GB2312" w:hAnsi="仿宋_GB2312" w:cs="仿宋_GB2312" w:eastAsia="仿宋_GB2312"/>
        </w:rPr>
        <w:t>7、供应商具有履行合同所必需的设备和专业技术能力：供应商须提供具有履行合同所必需的设备和专业技术能力的承诺函</w:t>
      </w:r>
    </w:p>
    <w:p>
      <w:pPr>
        <w:pStyle w:val="null3"/>
      </w:pPr>
      <w:r>
        <w:rPr>
          <w:rFonts w:ascii="仿宋_GB2312" w:hAnsi="仿宋_GB2312" w:cs="仿宋_GB2312" w:eastAsia="仿宋_GB2312"/>
        </w:rPr>
        <w:t>8、供应商参加政府采购活动前三年内在经营活动中没有重大违法记录：供应商应具备良好的商业信誉，提供参加政府采购活动前3年内在经营活动中没有重大违法记录的书面声明</w:t>
      </w:r>
    </w:p>
    <w:p>
      <w:pPr>
        <w:pStyle w:val="null3"/>
      </w:pPr>
      <w:r>
        <w:rPr>
          <w:rFonts w:ascii="仿宋_GB2312" w:hAnsi="仿宋_GB2312" w:cs="仿宋_GB2312" w:eastAsia="仿宋_GB2312"/>
        </w:rPr>
        <w:t>9、供应商信用信息：未在“信用中国”网站（www.creditchina.gov. cn）列入失信被执行人、重大税收违法案件当事人名单，未在“中国政府采购网”（ccgp.gov.cn）政府采购列入严重违法失信行为记录名单。（代理机构开标现场查询）</w:t>
      </w:r>
    </w:p>
    <w:p>
      <w:pPr>
        <w:pStyle w:val="null3"/>
      </w:pPr>
      <w:r>
        <w:rPr>
          <w:rFonts w:ascii="仿宋_GB2312" w:hAnsi="仿宋_GB2312" w:cs="仿宋_GB2312" w:eastAsia="仿宋_GB2312"/>
        </w:rPr>
        <w:t>10、非联合体磋商：提供非联合体磋商声明</w:t>
      </w:r>
    </w:p>
    <w:p>
      <w:pPr>
        <w:pStyle w:val="null3"/>
      </w:pPr>
      <w:r>
        <w:rPr>
          <w:rFonts w:ascii="仿宋_GB2312" w:hAnsi="仿宋_GB2312" w:cs="仿宋_GB2312" w:eastAsia="仿宋_GB2312"/>
        </w:rPr>
        <w:t>11、本采购包专门面向中小企业采购：参与的供应商、工程的施工单位全部为符合政策要求的中小企业。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西安市蓝田县林业局（本级）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蓝田县向阳路12号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梁卫鹏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13991874065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19802988926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中标单位在领取中标通知书前，须向采购代理机构一次性支付代理服务费。 银行户名：鼎正众创建设集团有限公司 开户行名称：中国建设银行股份有限公司西安高新科技支行 账 号：61001925700052502502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西安市蓝田县林业局（本级）</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西安市蓝田县林业局（本级）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西安市蓝田县林业局（本级）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地址：西安市高新区科技路48号创业广场B座1506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1,270,000.00</w:t>
      </w:r>
    </w:p>
    <w:p>
      <w:pPr>
        <w:pStyle w:val="null3"/>
      </w:pPr>
      <w:r>
        <w:rPr>
          <w:rFonts w:ascii="仿宋_GB2312" w:hAnsi="仿宋_GB2312" w:cs="仿宋_GB2312" w:eastAsia="仿宋_GB2312"/>
        </w:rPr>
        <w:t>采购包最高限价（元）: 1,270,000.00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1,270,000.00</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1.工程内容</w:t>
            </w:r>
          </w:p>
          <w:p>
            <w:pPr>
              <w:pStyle w:val="null3"/>
              <w:jc w:val="both"/>
            </w:pPr>
            <w:r>
              <w:rPr>
                <w:rFonts w:ascii="仿宋_GB2312" w:hAnsi="仿宋_GB2312" w:cs="仿宋_GB2312" w:eastAsia="仿宋_GB2312"/>
                <w:sz w:val="24"/>
              </w:rPr>
              <w:t>蓝田县国有王顺山生态林场</w:t>
            </w:r>
            <w:r>
              <w:rPr>
                <w:rFonts w:ascii="仿宋_GB2312" w:hAnsi="仿宋_GB2312" w:cs="仿宋_GB2312" w:eastAsia="仿宋_GB2312"/>
                <w:sz w:val="24"/>
              </w:rPr>
              <w:t>2025年省级财政衔接推进乡村振兴补助资金（欠发达国有林场巩固提升任务）管护站基础设施改造提升项目室外屋顶修缮、外墙抗渗保温处理、室外门口处改造、室内地面更换、室内门窗更换、内墙粉刷、办公室、厨房、卫生间修缮改造、室外入户供水主管更换、走廊公共电路改造、吸顶灯更换、室外屋顶修缮</w:t>
            </w:r>
            <w:r>
              <w:rPr>
                <w:rFonts w:ascii="仿宋_GB2312" w:hAnsi="仿宋_GB2312" w:cs="仿宋_GB2312" w:eastAsia="仿宋_GB2312"/>
                <w:sz w:val="24"/>
              </w:rPr>
              <w:t>。具体内容详见附件（工程量清单）</w:t>
            </w:r>
          </w:p>
          <w:p>
            <w:pPr>
              <w:pStyle w:val="null3"/>
              <w:jc w:val="both"/>
            </w:pPr>
            <w:r>
              <w:rPr>
                <w:rFonts w:ascii="仿宋_GB2312" w:hAnsi="仿宋_GB2312" w:cs="仿宋_GB2312" w:eastAsia="仿宋_GB2312"/>
                <w:sz w:val="24"/>
              </w:rPr>
              <w:t>2.工程地点</w:t>
            </w:r>
          </w:p>
          <w:p>
            <w:pPr>
              <w:pStyle w:val="null3"/>
              <w:jc w:val="both"/>
            </w:pPr>
            <w:r>
              <w:rPr>
                <w:rFonts w:ascii="仿宋_GB2312" w:hAnsi="仿宋_GB2312" w:cs="仿宋_GB2312" w:eastAsia="仿宋_GB2312"/>
                <w:sz w:val="24"/>
              </w:rPr>
              <w:t>王顺山生态林场</w:t>
            </w:r>
          </w:p>
          <w:p>
            <w:pPr>
              <w:pStyle w:val="null3"/>
              <w:jc w:val="both"/>
            </w:pPr>
            <w:r>
              <w:rPr>
                <w:rFonts w:ascii="仿宋_GB2312" w:hAnsi="仿宋_GB2312" w:cs="仿宋_GB2312" w:eastAsia="仿宋_GB2312"/>
                <w:sz w:val="24"/>
              </w:rPr>
              <w:t>3.计划工期：</w:t>
            </w:r>
            <w:r>
              <w:rPr>
                <w:rFonts w:ascii="仿宋_GB2312" w:hAnsi="仿宋_GB2312" w:cs="仿宋_GB2312" w:eastAsia="仿宋_GB2312"/>
                <w:sz w:val="24"/>
              </w:rPr>
              <w:t>50</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rPr>
              <w:t>4.质量保修期：</w:t>
            </w:r>
            <w:r>
              <w:rPr>
                <w:rFonts w:ascii="仿宋_GB2312" w:hAnsi="仿宋_GB2312" w:cs="仿宋_GB2312" w:eastAsia="仿宋_GB2312"/>
                <w:sz w:val="24"/>
              </w:rPr>
              <w:t>1</w:t>
            </w:r>
            <w:r>
              <w:rPr>
                <w:rFonts w:ascii="仿宋_GB2312" w:hAnsi="仿宋_GB2312" w:cs="仿宋_GB2312" w:eastAsia="仿宋_GB2312"/>
                <w:sz w:val="24"/>
              </w:rPr>
              <w:t>年（自竣工验收合格之日起计算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5、质量要求：符合国家现行有关施工质量验收规范“合格”要求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财务报告（包括三表一注，成立时间至提交磋商响应文件截止时间不足一年的可提供成立后任意时段的资产负债表),或其参加磋商响应前三个月内基本存款账户开户银行出具的资信证明，或信用担保机构出具的投标担保函。（以上三种形式的资料提供任何一种即可）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证书等级：二级注册建造师 专业：建筑工程 补充说明：在本单位注册，且无在建工程（提供无在建工程承诺书）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供应商应授权合法的人员参加磋商响应全过程，其中法定代表人直接磋商响应的，须提交法定代表人身份证明书和身份证。法定代表人授权他人参加磋商响应的，须出具法定代表人授权委托书及被授权人身份证。</w:t>
            </w:r>
          </w:p>
        </w:tc>
        <w:tc>
          <w:tcPr>
            <w:tcW w:type="dxa" w:w="1661"/>
          </w:tcPr>
          <w:p>
            <w:pPr>
              <w:pStyle w:val="null3"/>
            </w:pPr>
            <w:r>
              <w:rPr>
                <w:rFonts w:ascii="仿宋_GB2312" w:hAnsi="仿宋_GB2312" w:cs="仿宋_GB2312" w:eastAsia="仿宋_GB2312"/>
              </w:rPr>
              <w:t>供应商应提交的相关资格证明材料 法定代表人身份证明和法定代表人委托书.docx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供应商须提供磋商截止时间前一年内任意1个月的缴税证明（注：依法免税或零申报的供应商应提供相关文件证明）。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有社会保障资金的良好记录</w:t>
            </w:r>
          </w:p>
        </w:tc>
        <w:tc>
          <w:tcPr>
            <w:tcW w:type="dxa" w:w="3322"/>
          </w:tcPr>
          <w:p>
            <w:pPr>
              <w:pStyle w:val="null3"/>
            </w:pPr>
            <w:r>
              <w:rPr>
                <w:rFonts w:ascii="仿宋_GB2312" w:hAnsi="仿宋_GB2312" w:cs="仿宋_GB2312" w:eastAsia="仿宋_GB2312"/>
              </w:rPr>
              <w:t>供应商须提供磋商截止时间前一年内任意1个月的社会保险缴纳证明（注：依法不需要缴纳社会保障资金的供应商应提供相关文件证明）。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供应商须具备建设行政主管部门颁发的建筑工程施工总承包三级或装饰装修专业承包二级及以上资质，并具有合格有效的安全生产许可证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未在“信用中国”网站（www.creditchina.gov. cn）列入失信被执行人、重大税收违法案件当事人名单，未在“中国政府采购网”（ccgp.gov.cn）政府采购列入严重违法失信行为记录名单。（代理机构开标现场查询）</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供应商名称</w:t>
            </w:r>
          </w:p>
        </w:tc>
        <w:tc>
          <w:tcPr>
            <w:tcW w:type="dxa" w:w="3322"/>
          </w:tcPr>
          <w:p>
            <w:pPr>
              <w:pStyle w:val="null3"/>
            </w:pPr>
            <w:r>
              <w:rPr>
                <w:rFonts w:ascii="仿宋_GB2312" w:hAnsi="仿宋_GB2312" w:cs="仿宋_GB2312" w:eastAsia="仿宋_GB2312"/>
              </w:rPr>
              <w:t>供应商名称与其证明材料相符，字章一致</w:t>
            </w:r>
          </w:p>
        </w:tc>
        <w:tc>
          <w:tcPr>
            <w:tcW w:type="dxa" w:w="1661"/>
          </w:tcPr>
          <w:p>
            <w:pPr>
              <w:pStyle w:val="null3"/>
            </w:pPr>
            <w:r>
              <w:rPr>
                <w:rFonts w:ascii="仿宋_GB2312" w:hAnsi="仿宋_GB2312" w:cs="仿宋_GB2312" w:eastAsia="仿宋_GB2312"/>
              </w:rPr>
              <w:t>响应文件封面 报价函 供应商类似项目业绩一览表 法定代表人身份证明和法定代表人委托书.docx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相对应标包最高限价金额或采购金额。</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已标价工程量清单 中小企业声明函 报价函 供应商应提交的相关资格证明材料 标的清单 法定代表人身份证明和法定代表人委托书.docx 相关承诺书.docx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技术服务合同条款及其他商务要求应答表 标的清单 响应实施方案.docx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质量保修期</w:t>
            </w:r>
          </w:p>
        </w:tc>
        <w:tc>
          <w:tcPr>
            <w:tcW w:type="dxa" w:w="3322"/>
          </w:tcPr>
          <w:p>
            <w:pPr>
              <w:pStyle w:val="null3"/>
            </w:pPr>
            <w:r>
              <w:rPr>
                <w:rFonts w:ascii="仿宋_GB2312" w:hAnsi="仿宋_GB2312" w:cs="仿宋_GB2312" w:eastAsia="仿宋_GB2312"/>
              </w:rPr>
              <w:t>满足磋商文件中要求的质量保修期</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工程量清单</w:t>
            </w:r>
          </w:p>
        </w:tc>
        <w:tc>
          <w:tcPr>
            <w:tcW w:type="dxa" w:w="3322"/>
          </w:tcPr>
          <w:p>
            <w:pPr>
              <w:pStyle w:val="null3"/>
            </w:pPr>
            <w:r>
              <w:rPr>
                <w:rFonts w:ascii="仿宋_GB2312" w:hAnsi="仿宋_GB2312" w:cs="仿宋_GB2312" w:eastAsia="仿宋_GB2312"/>
              </w:rPr>
              <w:t>与磋商文件工程量清单一致</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详细、全面、合理、针对性强，施工准备完整，工艺规范、各部分措施具体。方案可行性高，专业性强，充分满足采购需求计10-14（含）；方案内容一般、基本可行，计5-10（含）分；方案内容较差计0-5（含）分。本项满分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项目人员组成</w:t>
            </w:r>
          </w:p>
        </w:tc>
        <w:tc>
          <w:tcPr>
            <w:tcW w:type="dxa" w:w="2492"/>
          </w:tcPr>
          <w:p>
            <w:pPr>
              <w:pStyle w:val="null3"/>
            </w:pPr>
            <w:r>
              <w:rPr>
                <w:rFonts w:ascii="仿宋_GB2312" w:hAnsi="仿宋_GB2312" w:cs="仿宋_GB2312" w:eastAsia="仿宋_GB2312"/>
              </w:rPr>
              <w:t>项目经理部组成及劳动力投入，人员专业搭配合理，数量充足，经验丰富，证明材料详尽计4-8（含）分，人员专业搭配较为合理，数量较充足，经验不足，证明材料不够详尽计0-4（含）分。本项满分8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确保本项目质量的技术组织措施，措施内容科学可行、有针对性且内容详细计4-8（含）分，措施内容一般、针对性不强、内容简单计0-4（含）分。本项满分8分。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生产和文明施工的技术组织措施，措施内容科学可行，有针对性且内容丰富计4-8（含）分， 措施内容一般、针对性不强、内容简单计0-4（含）分，本项满分8分。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确保工期的技术组织措施，措施内容科学可行、有针对性且内容详细计4-8（含）分，措施内容一般、针对性不强、内容简单计0-4（含）分。本项满分8分。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配备齐全、针对性强计4-8（含）分；配备较差计0-4（含）分。本项满分8分。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包括但不限于①工程验收方案②维修措施③保修责任及保修承诺。根据供应商提供保修承诺进行综合对比，内容完整、合理、针对性强计4-6（含）分;基本满足施工要求计2-4（含）分:方案较差计0-2（含）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提供供应商2022年1月1日至磋商截止日同类项目施工合同（以合同签订时间为准），每提供1份得2分，最高得10分。（响应文件中提供合同复印件加盖公章）。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磋商报价得分=（磋商基准价/最后磋商报价）×30，计算结果保留两位小数。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