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版本号：DCZX2025-ZCCS-GC113820251023001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蓝田县小寨镇乡村旅游高质量发展项目(一期)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DCZX2025-ZCCS-GC1138</w:t>
      </w:r>
      <w:r>
        <w:br/>
      </w:r>
      <w:r>
        <w:br/>
      </w:r>
      <w:r>
        <w:br/>
      </w:r>
    </w:p>
    <w:p>
      <w:pPr>
        <w:pStyle w:val="null3"/>
        <w:jc w:val="center"/>
        <w:outlineLvl w:val="2"/>
      </w:pPr>
      <w:r>
        <w:rPr>
          <w:rFonts w:ascii="仿宋_GB2312" w:hAnsi="仿宋_GB2312" w:cs="仿宋_GB2312" w:eastAsia="仿宋_GB2312"/>
          <w:sz w:val="28"/>
          <w:b/>
        </w:rPr>
        <w:t>西安市蓝田县小寨镇人民政府（本级）</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西安市蓝田县小寨镇人民政府（本级）</w:t>
      </w:r>
      <w:r>
        <w:rPr>
          <w:rFonts w:ascii="仿宋_GB2312" w:hAnsi="仿宋_GB2312" w:cs="仿宋_GB2312" w:eastAsia="仿宋_GB2312"/>
        </w:rPr>
        <w:t>委托，拟对</w:t>
      </w:r>
      <w:r>
        <w:rPr>
          <w:rFonts w:ascii="仿宋_GB2312" w:hAnsi="仿宋_GB2312" w:cs="仿宋_GB2312" w:eastAsia="仿宋_GB2312"/>
        </w:rPr>
        <w:t>蓝田县小寨镇乡村旅游高质量发展项目(一期)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DCZX2025-ZCCS-GC1138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蓝田县小寨镇乡村旅游高质量发展项目(一期)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主要包括水泥混凝土路面、新建水渠及盖板、周边绿化、挡墙护坡、给排水等配套工程等。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采购包1（蓝田县小寨镇乡村旅游高质量发展项目（一期））：属于专门面向中小企业采购。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 ：投标供应商须具备行业主管部门颁发的公路工程施工总承包三级及以上资质，并具备合格有效的安全生产许可证；</w:t>
      </w:r>
    </w:p>
    <w:p>
      <w:pPr>
        <w:pStyle w:val="null3"/>
      </w:pPr>
      <w:r>
        <w:rPr>
          <w:rFonts w:ascii="仿宋_GB2312" w:hAnsi="仿宋_GB2312" w:cs="仿宋_GB2312" w:eastAsia="仿宋_GB2312"/>
        </w:rPr>
        <w:t>2、拟派项目负责人资质和专业要求 ：投标供应商拟派项目经理须具备行业主管部门颁发的公路工程专业，二级及以上注册建造师职业资格，并具备合格有效的B类安全生产考核证书，在本单位注册且无在建工程（提供承诺）；</w:t>
      </w:r>
    </w:p>
    <w:p>
      <w:pPr>
        <w:pStyle w:val="null3"/>
      </w:pPr>
      <w:r>
        <w:rPr>
          <w:rFonts w:ascii="仿宋_GB2312" w:hAnsi="仿宋_GB2312" w:cs="仿宋_GB2312" w:eastAsia="仿宋_GB2312"/>
        </w:rPr>
        <w:t>3、投标供应商基本信息：投标供应商在“全国公路建设市场信用信息管理系统（全国公路建设市场监督管理系统）”可查询；</w:t>
      </w:r>
    </w:p>
    <w:p>
      <w:pPr>
        <w:pStyle w:val="null3"/>
      </w:pPr>
      <w:r>
        <w:rPr>
          <w:rFonts w:ascii="仿宋_GB2312" w:hAnsi="仿宋_GB2312" w:cs="仿宋_GB2312" w:eastAsia="仿宋_GB2312"/>
        </w:rPr>
        <w:t>4、身份证明 ：法定代表人授权书（法定代表人直接参加磋商，须提供法定代表人身份证明）</w:t>
      </w:r>
    </w:p>
    <w:p>
      <w:pPr>
        <w:pStyle w:val="null3"/>
      </w:pPr>
      <w:r>
        <w:rPr>
          <w:rFonts w:ascii="仿宋_GB2312" w:hAnsi="仿宋_GB2312" w:cs="仿宋_GB2312" w:eastAsia="仿宋_GB2312"/>
        </w:rPr>
        <w:t>5、中小企业声明函 ：本项目专门面向中小企业采购，仅限符合《政府采购促进中小企业发展管理办法》的通知(财库〔2020〕46 号) 条件的中小企业参与，并提供中小企业声明函，残疾人福利企业、监狱企业视同小微企业。</w:t>
      </w:r>
    </w:p>
    <w:p>
      <w:pPr>
        <w:pStyle w:val="null3"/>
      </w:pPr>
      <w:r>
        <w:rPr>
          <w:rFonts w:ascii="仿宋_GB2312" w:hAnsi="仿宋_GB2312" w:cs="仿宋_GB2312" w:eastAsia="仿宋_GB2312"/>
        </w:rPr>
        <w:t>6、承诺书 ：投标供应商不得在各级诚信信息平台被列为投标受限制的行为人（提供承诺）；</w:t>
      </w:r>
    </w:p>
    <w:p>
      <w:pPr>
        <w:pStyle w:val="null3"/>
      </w:pPr>
      <w:r>
        <w:rPr>
          <w:rFonts w:ascii="仿宋_GB2312" w:hAnsi="仿宋_GB2312" w:cs="仿宋_GB2312" w:eastAsia="仿宋_GB2312"/>
        </w:rPr>
        <w:t>7、信用信息 ：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8、非联合体声明 ：本项目不接受联合体投标；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西安市蓝田县小寨镇人民政府（本级）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蓝田县小寨镇小寨村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029-82961701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采购包1：3,660,496.00元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（备注：项目名称+项目编号） 3、领取成交通知书前，需提供与电子版一致的响应文件，胶装成册。4、成交供应商在领取成交通知书时须携带法定代表人授权书及加盖单位公章的被授权人身份证复印件。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西安市蓝田县小寨镇人民政府（本级）</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西安市蓝田县小寨镇人民政府（本级）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西安市蓝田县小寨镇人民政府（本级）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3,660,496.00</w:t>
      </w:r>
    </w:p>
    <w:p>
      <w:pPr>
        <w:pStyle w:val="null3"/>
      </w:pPr>
      <w:r>
        <w:rPr>
          <w:rFonts w:ascii="仿宋_GB2312" w:hAnsi="仿宋_GB2312" w:cs="仿宋_GB2312" w:eastAsia="仿宋_GB2312"/>
        </w:rPr>
        <w:t>采购包最高限价（元）: 3,660,496.00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乡村旅游高质量发展</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3,660,496.00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标的名称：乡村旅游高质量发展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一、计划工期：</w:t>
            </w:r>
          </w:p>
          <w:p>
            <w:pPr>
              <w:pStyle w:val="null3"/>
              <w:ind w:firstLine="480"/>
              <w:jc w:val="both"/>
            </w:pPr>
            <w:r>
              <w:rPr>
                <w:rFonts w:ascii="仿宋_GB2312" w:hAnsi="仿宋_GB2312" w:cs="仿宋_GB2312" w:eastAsia="仿宋_GB2312"/>
                <w:sz w:val="24"/>
              </w:rPr>
              <w:t>60日历天。</w:t>
            </w:r>
          </w:p>
          <w:p>
            <w:pPr>
              <w:pStyle w:val="null3"/>
              <w:jc w:val="both"/>
            </w:pPr>
            <w:r>
              <w:rPr>
                <w:rFonts w:ascii="仿宋_GB2312" w:hAnsi="仿宋_GB2312" w:cs="仿宋_GB2312" w:eastAsia="仿宋_GB2312"/>
                <w:sz w:val="24"/>
                <w:b/>
              </w:rPr>
              <w:t>二、质保期：</w:t>
            </w:r>
          </w:p>
          <w:p>
            <w:pPr>
              <w:pStyle w:val="null3"/>
              <w:ind w:firstLine="480"/>
              <w:jc w:val="both"/>
            </w:pPr>
            <w:r>
              <w:rPr>
                <w:rFonts w:ascii="仿宋_GB2312" w:hAnsi="仿宋_GB2312" w:cs="仿宋_GB2312" w:eastAsia="仿宋_GB2312"/>
                <w:sz w:val="24"/>
              </w:rPr>
              <w:t>道路工程为设计文件规定的该工程的合理使用年限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给排水管道，为</w:t>
            </w:r>
            <w:r>
              <w:rPr>
                <w:rFonts w:ascii="仿宋_GB2312" w:hAnsi="仿宋_GB2312" w:cs="仿宋_GB2312" w:eastAsia="仿宋_GB2312"/>
                <w:sz w:val="24"/>
              </w:rPr>
              <w:t>2年。</w:t>
            </w:r>
          </w:p>
          <w:p>
            <w:pPr>
              <w:pStyle w:val="null3"/>
              <w:ind w:firstLine="480"/>
              <w:jc w:val="both"/>
            </w:pPr>
            <w:r>
              <w:rPr>
                <w:rFonts w:ascii="仿宋_GB2312" w:hAnsi="仿宋_GB2312" w:cs="仿宋_GB2312" w:eastAsia="仿宋_GB2312"/>
                <w:sz w:val="24"/>
              </w:rPr>
              <w:t>园林绿化保修养护期，为</w:t>
            </w:r>
            <w:r>
              <w:rPr>
                <w:rFonts w:ascii="仿宋_GB2312" w:hAnsi="仿宋_GB2312" w:cs="仿宋_GB2312" w:eastAsia="仿宋_GB2312"/>
                <w:sz w:val="24"/>
              </w:rPr>
              <w:t>1年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三、缺陷责任期：</w:t>
            </w:r>
          </w:p>
          <w:p>
            <w:pPr>
              <w:pStyle w:val="null3"/>
              <w:ind w:firstLine="480"/>
              <w:jc w:val="both"/>
            </w:pPr>
            <w:r>
              <w:rPr>
                <w:rFonts w:ascii="仿宋_GB2312" w:hAnsi="仿宋_GB2312" w:cs="仿宋_GB2312" w:eastAsia="仿宋_GB2312"/>
                <w:sz w:val="24"/>
              </w:rPr>
              <w:t>自竣工验收之日起</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b/>
              </w:rPr>
              <w:t>四、付款条件及比例：</w:t>
            </w:r>
          </w:p>
          <w:p>
            <w:pPr>
              <w:pStyle w:val="null3"/>
              <w:ind w:firstLine="480"/>
              <w:jc w:val="both"/>
            </w:pPr>
            <w:r>
              <w:rPr>
                <w:rFonts w:ascii="仿宋_GB2312" w:hAnsi="仿宋_GB2312" w:cs="仿宋_GB2312" w:eastAsia="仿宋_GB2312"/>
                <w:sz w:val="24"/>
              </w:rPr>
              <w:t>1、合同签订后，甲方向乙方支付合同价款的40%作为预付款。</w:t>
            </w:r>
          </w:p>
          <w:p>
            <w:pPr>
              <w:pStyle w:val="null3"/>
              <w:ind w:firstLine="480"/>
              <w:jc w:val="both"/>
            </w:pPr>
            <w:r>
              <w:rPr>
                <w:rFonts w:ascii="仿宋_GB2312" w:hAnsi="仿宋_GB2312" w:cs="仿宋_GB2312" w:eastAsia="仿宋_GB2312"/>
                <w:sz w:val="24"/>
              </w:rPr>
              <w:t>2、乙方完成合同工程量7</w:t>
            </w:r>
            <w:r>
              <w:rPr>
                <w:rFonts w:ascii="仿宋_GB2312" w:hAnsi="仿宋_GB2312" w:cs="仿宋_GB2312" w:eastAsia="仿宋_GB2312"/>
                <w:sz w:val="24"/>
              </w:rPr>
              <w:t>5</w:t>
            </w:r>
            <w:r>
              <w:rPr>
                <w:rFonts w:ascii="仿宋_GB2312" w:hAnsi="仿宋_GB2312" w:cs="仿宋_GB2312" w:eastAsia="仿宋_GB2312"/>
                <w:sz w:val="24"/>
              </w:rPr>
              <w:t>%时，甲方向乙方支付至合同总价款的7</w:t>
            </w:r>
            <w:r>
              <w:rPr>
                <w:rFonts w:ascii="仿宋_GB2312" w:hAnsi="仿宋_GB2312" w:cs="仿宋_GB2312" w:eastAsia="仿宋_GB2312"/>
                <w:sz w:val="24"/>
              </w:rPr>
              <w:t>5</w:t>
            </w:r>
            <w:r>
              <w:rPr>
                <w:rFonts w:ascii="仿宋_GB2312" w:hAnsi="仿宋_GB2312" w:cs="仿宋_GB2312" w:eastAsia="仿宋_GB2312"/>
                <w:sz w:val="24"/>
              </w:rPr>
              <w:t>%作为工程进度款。</w:t>
            </w:r>
          </w:p>
          <w:p>
            <w:pPr>
              <w:pStyle w:val="null3"/>
              <w:ind w:firstLine="480"/>
              <w:jc w:val="both"/>
            </w:pPr>
            <w:r>
              <w:rPr>
                <w:rFonts w:ascii="仿宋_GB2312" w:hAnsi="仿宋_GB2312" w:cs="仿宋_GB2312" w:eastAsia="仿宋_GB2312"/>
                <w:sz w:val="24"/>
              </w:rPr>
              <w:t>3、乙方完成全部工程量时，经甲方组织有关部门验收合格后，支付至合同总价款的90%。</w:t>
            </w:r>
          </w:p>
          <w:p>
            <w:pPr>
              <w:pStyle w:val="null3"/>
              <w:ind w:firstLine="480"/>
              <w:jc w:val="both"/>
            </w:pPr>
            <w:r>
              <w:rPr>
                <w:rFonts w:ascii="仿宋_GB2312" w:hAnsi="仿宋_GB2312" w:cs="仿宋_GB2312" w:eastAsia="仿宋_GB2312"/>
                <w:sz w:val="24"/>
              </w:rPr>
              <w:t>4、经政府相关审计部门审计完成后，支付至审计结算价款的100%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五、质量要求</w:t>
            </w:r>
          </w:p>
          <w:p>
            <w:pPr>
              <w:pStyle w:val="null3"/>
              <w:jc w:val="left"/>
            </w:pPr>
            <w:r>
              <w:rPr>
                <w:rFonts w:ascii="仿宋_GB2312" w:hAnsi="仿宋_GB2312" w:cs="仿宋_GB2312" w:eastAsia="仿宋_GB2312"/>
                <w:sz w:val="24"/>
              </w:rPr>
              <w:t xml:space="preserve">    达到国家现行行业施工验收规范</w:t>
            </w:r>
            <w:r>
              <w:rPr>
                <w:rFonts w:ascii="仿宋_GB2312" w:hAnsi="仿宋_GB2312" w:cs="仿宋_GB2312" w:eastAsia="仿宋_GB2312"/>
                <w:sz w:val="24"/>
              </w:rPr>
              <w:t>“合格”标准。</w:t>
            </w:r>
          </w:p>
          <w:p>
            <w:pPr>
              <w:pStyle w:val="null3"/>
              <w:jc w:val="left"/>
            </w:pPr>
            <w:r>
              <w:rPr>
                <w:rFonts w:ascii="仿宋_GB2312" w:hAnsi="仿宋_GB2312" w:cs="仿宋_GB2312" w:eastAsia="仿宋_GB2312"/>
                <w:sz w:val="24"/>
                <w:b/>
              </w:rPr>
              <w:t>六、合同定价方式</w:t>
            </w:r>
          </w:p>
          <w:p>
            <w:pPr>
              <w:pStyle w:val="null3"/>
              <w:jc w:val="both"/>
            </w:pPr>
            <w:r>
              <w:rPr>
                <w:rFonts w:ascii="仿宋_GB2312" w:hAnsi="仿宋_GB2312" w:cs="仿宋_GB2312" w:eastAsia="仿宋_GB2312"/>
                <w:sz w:val="24"/>
              </w:rPr>
              <w:t xml:space="preserve">    本合同价款采用</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w:t>
            </w:r>
            <w:r>
              <w:rPr>
                <w:rFonts w:ascii="仿宋_GB2312" w:hAnsi="仿宋_GB2312" w:cs="仿宋_GB2312" w:eastAsia="仿宋_GB2312"/>
                <w:sz w:val="24"/>
                <w:b/>
                <w:u w:val="single"/>
              </w:rPr>
              <w:t>固定</w:t>
            </w:r>
            <w:r>
              <w:rPr>
                <w:rFonts w:ascii="仿宋_GB2312" w:hAnsi="仿宋_GB2312" w:cs="仿宋_GB2312" w:eastAsia="仿宋_GB2312"/>
                <w:sz w:val="24"/>
                <w:b/>
                <w:u w:val="single"/>
              </w:rPr>
              <w:t>总价</w:t>
            </w:r>
            <w:r>
              <w:rPr>
                <w:rFonts w:ascii="仿宋_GB2312" w:hAnsi="仿宋_GB2312" w:cs="仿宋_GB2312" w:eastAsia="仿宋_GB2312"/>
                <w:sz w:val="24"/>
                <w:u w:val="single"/>
              </w:rPr>
              <w:t>）</w:t>
            </w:r>
            <w:r>
              <w:rPr>
                <w:rFonts w:ascii="仿宋_GB2312" w:hAnsi="仿宋_GB2312" w:cs="仿宋_GB2312" w:eastAsia="仿宋_GB2312"/>
                <w:sz w:val="21"/>
                <w:u w:val="single"/>
              </w:rPr>
              <w:t xml:space="preserve"> </w:t>
            </w:r>
            <w:r>
              <w:rPr>
                <w:rFonts w:ascii="仿宋_GB2312" w:hAnsi="仿宋_GB2312" w:cs="仿宋_GB2312" w:eastAsia="仿宋_GB2312"/>
                <w:sz w:val="24"/>
              </w:rPr>
              <w:t>方式确定</w:t>
            </w:r>
            <w:r>
              <w:rPr>
                <w:rFonts w:ascii="仿宋_GB2312" w:hAnsi="仿宋_GB2312" w:cs="仿宋_GB2312" w:eastAsia="仿宋_GB2312"/>
                <w:sz w:val="24"/>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竞争性磋商文件第六章6.3.4：“（五）若采用项目包干价的，供应商直接给出其完成本项目全部工作内容所需的总价，不再提供已标价工程量清单（报价格式要求见第六章）。”为系统自动生成内容，无法更改，本项目需要提供已标价工程量清单。 （3）“若供应商的最后报价只有一个总价，则供应商应当提交相应调整部分的报价构成及明细，并结合首次报价提供的已标价工程量清单，重新计算总报价。”为系统自动生成，无法更改，本项目二次报价只需填报项目总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（2）提供2024年度经审计的财务报告（成立时间至提交磋商响应文件截止时间不足一年的可提供成立后任意时段的资产负债表），或磋商响应文件递交截止日前六个月内银行出具的资信证明； (3)提供磋商响应文件递交截止日前一年内已缴存的至少一个月的社会保障资金缴存单据或社保机构开具的社会保险参保缴费情况证明，依法不需要缴纳社会保障资金的单位应提供相关证明材料； (4)提供磋商响应文件递交截止日前一年内已缴纳的至少一个月的纳税证明或完税证明，依法免税的单位应提供相关证明材料；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提供2024年度经审计的财务报告（成立时间至提交磋商响应文件截止时间不足一年的可提供成立后任意时段的资产负债表），或磋商响应文件递交截止日前六个月内银行出具的资信证明。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投标供应商须具备行业主管部门颁发的公路工程施工总承包三级及以上资质，并具备合格有效的安全生产许可证；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投标供应商拟派项目经理须具备行业主管部门颁发的公路工程专业，二级及以上注册建造师职业资格，并具备合格有效的B类安全生产考核证书，在本单位注册且无在建工程（提供承诺）；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投标供应商基本信息</w:t>
            </w:r>
          </w:p>
        </w:tc>
        <w:tc>
          <w:tcPr>
            <w:tcW w:type="dxa" w:w="3322"/>
          </w:tcPr>
          <w:p>
            <w:pPr>
              <w:pStyle w:val="null3"/>
            </w:pPr>
            <w:r>
              <w:rPr>
                <w:rFonts w:ascii="仿宋_GB2312" w:hAnsi="仿宋_GB2312" w:cs="仿宋_GB2312" w:eastAsia="仿宋_GB2312"/>
              </w:rPr>
              <w:t>投标供应商在“全国公路建设市场信用信息管理系统（全国公路建设市场监督管理系统）”可查询；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条件的中小企业参与，并提供中小企业声明函，残疾人福利企业、监狱企业视同小微企业。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投标供应商不得在各级诚信信息平台被列为投标受限制的行为人（提供承诺）；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已标价工程量清单.docx 中小企业声明函 残疾人福利性单位声明函 拒绝政府采购领域商业贿赂承诺书.docx 报价函 标的清单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已标价工程量清单.docx 中小企业声明函 残疾人福利性单位声明函 拒绝政府采购领域商业贿赂承诺书.docx 报价函 标的清单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技术方案内容完全满足所有评审标准得6.5分；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2022年10月01日（以合同签订日期为准）类似项目业绩（以合同复印件或扫描件加盖公章为准）每个有效业绩得1分，满分共计5分。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