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9300C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sz w:val="28"/>
          <w:szCs w:val="24"/>
          <w:lang w:val="en-US" w:eastAsia="zh-CN"/>
        </w:rPr>
      </w:pPr>
      <w:r>
        <w:rPr>
          <w:rFonts w:hint="eastAsia"/>
          <w:b/>
          <w:bCs/>
          <w:color w:val="auto"/>
          <w:kern w:val="44"/>
          <w:sz w:val="36"/>
          <w:szCs w:val="48"/>
          <w:highlight w:val="none"/>
          <w:lang w:val="en-US" w:eastAsia="zh-CN"/>
        </w:rPr>
        <w:t>合同条款及格式</w:t>
      </w:r>
      <w:r>
        <w:rPr>
          <w:rFonts w:hint="eastAsia"/>
          <w:b/>
          <w:bCs/>
          <w:color w:val="auto"/>
          <w:kern w:val="44"/>
          <w:sz w:val="32"/>
          <w:szCs w:val="44"/>
          <w:highlight w:val="none"/>
          <w:lang w:val="en-US" w:eastAsia="zh-CN"/>
        </w:rPr>
        <w:br w:type="textWrapping"/>
      </w:r>
      <w:r>
        <w:rPr>
          <w:rFonts w:hint="eastAsia"/>
          <w:b/>
          <w:bCs/>
          <w:color w:val="auto"/>
          <w:kern w:val="44"/>
          <w:sz w:val="32"/>
          <w:szCs w:val="44"/>
          <w:highlight w:val="none"/>
          <w:lang w:val="en-US" w:eastAsia="zh-CN"/>
        </w:rPr>
        <w:br w:type="textWrapping"/>
      </w:r>
      <w:r>
        <w:rPr>
          <w:rFonts w:hint="eastAsia"/>
          <w:b/>
          <w:bCs/>
          <w:color w:val="auto"/>
          <w:kern w:val="44"/>
          <w:sz w:val="32"/>
          <w:szCs w:val="44"/>
          <w:highlight w:val="none"/>
          <w:lang w:val="en-US" w:eastAsia="zh-CN"/>
        </w:rPr>
        <w:t xml:space="preserve">                                           </w:t>
      </w:r>
      <w:r>
        <w:rPr>
          <w:rFonts w:hint="eastAsia"/>
          <w:sz w:val="28"/>
          <w:szCs w:val="36"/>
          <w:lang w:val="en-US" w:eastAsia="zh-CN"/>
        </w:rPr>
        <w:t>合同编号：</w:t>
      </w:r>
    </w:p>
    <w:p w14:paraId="44031049">
      <w:pPr>
        <w:widowControl/>
        <w:spacing w:line="560" w:lineRule="exact"/>
        <w:jc w:val="center"/>
        <w:rPr>
          <w:rFonts w:ascii="宋体" w:hAnsi="宋体" w:cs="Times New Roman"/>
          <w:b/>
          <w:bCs/>
          <w:kern w:val="0"/>
          <w:sz w:val="32"/>
          <w:szCs w:val="32"/>
        </w:rPr>
      </w:pPr>
    </w:p>
    <w:p w14:paraId="6AAD607D">
      <w:pPr>
        <w:widowControl/>
        <w:spacing w:line="560" w:lineRule="exact"/>
        <w:jc w:val="center"/>
        <w:rPr>
          <w:rFonts w:ascii="宋体" w:hAnsi="宋体" w:cs="Times New Roman"/>
          <w:b/>
          <w:bCs/>
          <w:kern w:val="0"/>
          <w:sz w:val="32"/>
          <w:szCs w:val="32"/>
        </w:rPr>
      </w:pPr>
    </w:p>
    <w:p w14:paraId="11DCDA7D">
      <w:pPr>
        <w:widowControl/>
        <w:spacing w:line="560" w:lineRule="exact"/>
        <w:jc w:val="center"/>
        <w:rPr>
          <w:rFonts w:ascii="宋体" w:hAnsi="宋体" w:cs="Times New Roman"/>
          <w:b/>
          <w:bCs/>
          <w:kern w:val="0"/>
          <w:sz w:val="32"/>
          <w:szCs w:val="32"/>
        </w:rPr>
      </w:pPr>
    </w:p>
    <w:p w14:paraId="6DB0C761">
      <w:pPr>
        <w:widowControl/>
        <w:spacing w:line="560" w:lineRule="exact"/>
        <w:ind w:left="0" w:leftChars="0" w:firstLine="0" w:firstLineChars="0"/>
        <w:jc w:val="both"/>
        <w:rPr>
          <w:rFonts w:ascii="宋体" w:hAnsi="宋体" w:cs="Times New Roman"/>
          <w:b/>
          <w:bCs/>
          <w:kern w:val="0"/>
          <w:sz w:val="32"/>
          <w:szCs w:val="32"/>
        </w:rPr>
      </w:pPr>
    </w:p>
    <w:p w14:paraId="20EEBAE4">
      <w:pPr>
        <w:widowControl/>
        <w:spacing w:line="560" w:lineRule="exact"/>
        <w:ind w:left="0" w:leftChars="0" w:firstLine="0" w:firstLineChars="0"/>
        <w:jc w:val="center"/>
        <w:outlineLvl w:val="0"/>
        <w:rPr>
          <w:rFonts w:ascii="宋体" w:hAnsi="宋体" w:cs="Times New Roman"/>
          <w:b/>
          <w:bCs/>
          <w:kern w:val="0"/>
          <w:sz w:val="56"/>
          <w:szCs w:val="56"/>
        </w:rPr>
      </w:pPr>
      <w:bookmarkStart w:id="0" w:name="_Toc14045"/>
      <w:bookmarkStart w:id="1" w:name="_Toc5686"/>
      <w:bookmarkStart w:id="2" w:name="_Toc17866"/>
      <w:r>
        <w:rPr>
          <w:rFonts w:ascii="宋体" w:hAnsi="宋体" w:cs="Times New Roman"/>
          <w:b/>
          <w:bCs/>
          <w:kern w:val="0"/>
          <w:sz w:val="56"/>
          <w:szCs w:val="56"/>
        </w:rPr>
        <w:t>陕西省建设工程施工合同</w:t>
      </w:r>
      <w:bookmarkEnd w:id="0"/>
      <w:bookmarkEnd w:id="1"/>
      <w:bookmarkEnd w:id="2"/>
    </w:p>
    <w:p w14:paraId="1F9F6362">
      <w:pPr>
        <w:widowControl/>
        <w:spacing w:line="560" w:lineRule="exact"/>
        <w:jc w:val="center"/>
        <w:rPr>
          <w:rFonts w:ascii="宋体" w:hAnsi="宋体" w:cs="Times New Roman"/>
          <w:b/>
          <w:bCs/>
          <w:kern w:val="0"/>
          <w:sz w:val="28"/>
          <w:szCs w:val="28"/>
        </w:rPr>
      </w:pPr>
    </w:p>
    <w:p w14:paraId="598093E4">
      <w:pPr>
        <w:widowControl/>
        <w:spacing w:line="560" w:lineRule="exact"/>
        <w:jc w:val="center"/>
        <w:rPr>
          <w:rFonts w:ascii="宋体" w:hAnsi="宋体" w:cs="Times New Roman"/>
          <w:b/>
          <w:bCs/>
          <w:kern w:val="0"/>
          <w:sz w:val="28"/>
          <w:szCs w:val="28"/>
        </w:rPr>
      </w:pPr>
    </w:p>
    <w:p w14:paraId="3CDDC290">
      <w:pPr>
        <w:widowControl/>
        <w:spacing w:line="560" w:lineRule="exact"/>
        <w:jc w:val="center"/>
        <w:rPr>
          <w:rFonts w:ascii="宋体" w:hAnsi="宋体" w:cs="Times New Roman"/>
          <w:b/>
          <w:bCs/>
          <w:kern w:val="0"/>
          <w:sz w:val="28"/>
          <w:szCs w:val="28"/>
        </w:rPr>
      </w:pPr>
    </w:p>
    <w:p w14:paraId="16FA1DA5">
      <w:pPr>
        <w:pStyle w:val="2"/>
        <w:rPr>
          <w:rFonts w:ascii="宋体" w:hAnsi="宋体" w:cs="Times New Roman"/>
          <w:b/>
          <w:bCs/>
          <w:kern w:val="0"/>
          <w:sz w:val="28"/>
          <w:szCs w:val="28"/>
        </w:rPr>
      </w:pPr>
    </w:p>
    <w:p w14:paraId="24392003">
      <w:pPr>
        <w:pStyle w:val="2"/>
        <w:rPr>
          <w:rFonts w:ascii="宋体" w:hAnsi="宋体" w:cs="Times New Roman"/>
          <w:b/>
          <w:bCs/>
          <w:kern w:val="0"/>
          <w:sz w:val="28"/>
          <w:szCs w:val="28"/>
        </w:rPr>
      </w:pPr>
    </w:p>
    <w:p w14:paraId="2BA30B4B">
      <w:pPr>
        <w:pStyle w:val="2"/>
        <w:rPr>
          <w:rFonts w:ascii="宋体" w:hAnsi="宋体" w:cs="Times New Roman"/>
          <w:b/>
          <w:bCs/>
          <w:kern w:val="0"/>
          <w:sz w:val="28"/>
          <w:szCs w:val="28"/>
        </w:rPr>
      </w:pPr>
    </w:p>
    <w:p w14:paraId="646F0D2B">
      <w:pPr>
        <w:pStyle w:val="2"/>
        <w:rPr>
          <w:rFonts w:hint="eastAsia" w:ascii="宋体" w:hAnsi="宋体" w:cs="Times New Roman"/>
          <w:b/>
          <w:bCs/>
          <w:kern w:val="0"/>
          <w:sz w:val="28"/>
          <w:szCs w:val="28"/>
        </w:rPr>
      </w:pPr>
    </w:p>
    <w:p w14:paraId="20EF2299">
      <w:pPr>
        <w:pStyle w:val="2"/>
        <w:rPr>
          <w:rFonts w:hint="eastAsia" w:ascii="宋体" w:hAnsi="宋体" w:cs="Times New Roman"/>
          <w:b/>
          <w:bCs/>
          <w:kern w:val="0"/>
          <w:sz w:val="28"/>
          <w:szCs w:val="28"/>
        </w:rPr>
      </w:pPr>
    </w:p>
    <w:p w14:paraId="372CC10C">
      <w:pPr>
        <w:widowControl/>
        <w:tabs>
          <w:tab w:val="left" w:pos="1800"/>
        </w:tabs>
        <w:spacing w:line="360" w:lineRule="auto"/>
        <w:ind w:firstLine="1256" w:firstLineChars="447"/>
        <w:rPr>
          <w:rFonts w:ascii="宋体" w:hAnsi="宋体" w:cs="Times New Roman"/>
          <w:b/>
          <w:bCs/>
          <w:kern w:val="0"/>
          <w:sz w:val="28"/>
          <w:szCs w:val="28"/>
        </w:rPr>
      </w:pPr>
      <w:r>
        <w:rPr>
          <w:rFonts w:hint="eastAsia" w:ascii="宋体" w:hAnsi="宋体" w:cs="Times New Roman"/>
          <w:b/>
          <w:bCs/>
          <w:kern w:val="0"/>
          <w:sz w:val="28"/>
          <w:szCs w:val="28"/>
          <w:lang w:eastAsia="zh-CN"/>
        </w:rPr>
        <w:t>　</w:t>
      </w:r>
      <w:r>
        <w:rPr>
          <w:rFonts w:hint="eastAsia" w:ascii="宋体" w:hAnsi="宋体" w:cs="Times New Roman"/>
          <w:b/>
          <w:bCs/>
          <w:kern w:val="0"/>
          <w:sz w:val="28"/>
          <w:szCs w:val="28"/>
          <w:lang w:val="en-US" w:eastAsia="zh-CN"/>
        </w:rPr>
        <w:t xml:space="preserve">    </w:t>
      </w:r>
      <w:r>
        <w:rPr>
          <w:rFonts w:ascii="宋体" w:hAnsi="宋体" w:cs="Times New Roman"/>
          <w:b/>
          <w:bCs/>
          <w:kern w:val="0"/>
          <w:sz w:val="28"/>
          <w:szCs w:val="28"/>
        </w:rPr>
        <w:t>陕  西  省  建 设 厅</w:t>
      </w:r>
    </w:p>
    <w:p w14:paraId="04E20DFD">
      <w:pPr>
        <w:widowControl/>
        <w:tabs>
          <w:tab w:val="left" w:pos="1800"/>
        </w:tabs>
        <w:spacing w:line="360" w:lineRule="auto"/>
        <w:ind w:firstLine="1256" w:firstLineChars="447"/>
        <w:rPr>
          <w:rFonts w:hint="default" w:ascii="宋体" w:hAnsi="宋体" w:eastAsia="宋体" w:cs="Times New Roman"/>
          <w:b/>
          <w:bCs/>
          <w:kern w:val="0"/>
          <w:sz w:val="28"/>
          <w:szCs w:val="28"/>
          <w:lang w:val="en-US" w:eastAsia="zh-CN"/>
        </w:rPr>
      </w:pPr>
      <w:r>
        <w:rPr>
          <w:rFonts w:hint="eastAsia" w:ascii="宋体" w:hAnsi="宋体" w:cs="Times New Roman"/>
          <w:b/>
          <w:bCs/>
          <w:kern w:val="0"/>
          <w:sz w:val="28"/>
          <w:szCs w:val="28"/>
          <w:lang w:eastAsia="zh-CN"/>
        </w:rPr>
        <w:t>　</w:t>
      </w:r>
      <w:r>
        <w:rPr>
          <w:rFonts w:hint="eastAsia" w:ascii="宋体" w:hAnsi="宋体" w:cs="Times New Roman"/>
          <w:b/>
          <w:bCs/>
          <w:kern w:val="0"/>
          <w:sz w:val="28"/>
          <w:szCs w:val="28"/>
          <w:lang w:val="en-US" w:eastAsia="zh-CN"/>
        </w:rPr>
        <w:t xml:space="preserve">    </w:t>
      </w:r>
      <w:r>
        <w:rPr>
          <w:rFonts w:ascii="宋体" w:hAnsi="宋体" w:cs="Times New Roman"/>
          <w:b/>
          <w:bCs/>
          <w:kern w:val="0"/>
          <w:sz w:val="28"/>
          <w:szCs w:val="28"/>
        </w:rPr>
        <w:t>陕西省工商行政管理局</w:t>
      </w:r>
      <w:r>
        <w:rPr>
          <w:rFonts w:hint="eastAsia" w:ascii="宋体" w:hAnsi="宋体" w:cs="Times New Roman"/>
          <w:b/>
          <w:bCs/>
          <w:kern w:val="0"/>
          <w:sz w:val="28"/>
          <w:szCs w:val="28"/>
          <w:lang w:val="en-US" w:eastAsia="zh-CN"/>
        </w:rPr>
        <w:t xml:space="preserve">               </w:t>
      </w:r>
      <w:r>
        <w:rPr>
          <w:rFonts w:hint="eastAsia" w:ascii="宋体" w:hAnsi="宋体" w:cs="Times New Roman"/>
          <w:b/>
          <w:bCs/>
          <w:kern w:val="0"/>
          <w:sz w:val="52"/>
          <w:szCs w:val="52"/>
          <w:lang w:val="en-US" w:eastAsia="zh-CN"/>
        </w:rPr>
        <w:t>制</w:t>
      </w:r>
    </w:p>
    <w:p w14:paraId="76D29536">
      <w:pPr>
        <w:widowControl/>
        <w:tabs>
          <w:tab w:val="left" w:pos="1800"/>
        </w:tabs>
        <w:spacing w:line="360" w:lineRule="auto"/>
        <w:ind w:firstLine="1256" w:firstLineChars="447"/>
        <w:rPr>
          <w:rFonts w:hint="eastAsia" w:ascii="宋体" w:hAnsi="宋体" w:cs="Times New Roman"/>
          <w:b/>
          <w:bCs/>
          <w:kern w:val="0"/>
          <w:sz w:val="28"/>
          <w:szCs w:val="28"/>
        </w:rPr>
      </w:pPr>
      <w:r>
        <w:rPr>
          <w:rFonts w:hint="eastAsia" w:ascii="宋体" w:hAnsi="宋体" w:cs="Times New Roman"/>
          <w:b/>
          <w:bCs/>
          <w:kern w:val="0"/>
          <w:sz w:val="28"/>
          <w:szCs w:val="28"/>
          <w:lang w:eastAsia="zh-CN"/>
        </w:rPr>
        <w:t>　</w:t>
      </w:r>
      <w:r>
        <w:rPr>
          <w:rFonts w:hint="eastAsia" w:ascii="宋体" w:hAnsi="宋体" w:cs="Times New Roman"/>
          <w:b/>
          <w:bCs/>
          <w:kern w:val="0"/>
          <w:sz w:val="28"/>
          <w:szCs w:val="28"/>
          <w:lang w:val="en-US" w:eastAsia="zh-CN"/>
        </w:rPr>
        <w:t xml:space="preserve">      </w:t>
      </w:r>
      <w:r>
        <w:rPr>
          <w:rFonts w:ascii="宋体" w:hAnsi="宋体" w:cs="Times New Roman"/>
          <w:b/>
          <w:bCs/>
          <w:kern w:val="0"/>
          <w:sz w:val="28"/>
          <w:szCs w:val="28"/>
        </w:rPr>
        <w:t>二○二</w:t>
      </w:r>
      <w:r>
        <w:rPr>
          <w:rFonts w:hint="eastAsia" w:ascii="宋体" w:hAnsi="宋体" w:cs="Times New Roman"/>
          <w:b/>
          <w:bCs/>
          <w:kern w:val="0"/>
          <w:sz w:val="28"/>
          <w:szCs w:val="28"/>
          <w:lang w:val="en-US" w:eastAsia="zh-CN"/>
        </w:rPr>
        <w:t>五</w:t>
      </w:r>
      <w:r>
        <w:rPr>
          <w:rFonts w:ascii="宋体" w:hAnsi="宋体" w:cs="Times New Roman"/>
          <w:b/>
          <w:bCs/>
          <w:kern w:val="0"/>
          <w:sz w:val="28"/>
          <w:szCs w:val="28"/>
        </w:rPr>
        <w:t>年</w:t>
      </w:r>
      <w:r>
        <w:rPr>
          <w:rFonts w:hint="eastAsia" w:ascii="宋体" w:hAnsi="宋体" w:cs="Times New Roman"/>
          <w:b/>
          <w:bCs/>
          <w:kern w:val="0"/>
          <w:sz w:val="28"/>
          <w:szCs w:val="28"/>
        </w:rPr>
        <w:t xml:space="preserve"> </w:t>
      </w:r>
      <w:r>
        <w:rPr>
          <w:rFonts w:ascii="宋体" w:hAnsi="宋体" w:cs="Times New Roman"/>
          <w:b/>
          <w:bCs/>
          <w:kern w:val="0"/>
          <w:sz w:val="28"/>
          <w:szCs w:val="28"/>
        </w:rPr>
        <w:t xml:space="preserve">   月 </w:t>
      </w:r>
      <w:r>
        <w:rPr>
          <w:rFonts w:hint="eastAsia" w:ascii="宋体" w:hAnsi="宋体" w:cs="Times New Roman"/>
          <w:b/>
          <w:bCs/>
          <w:kern w:val="0"/>
          <w:sz w:val="28"/>
          <w:szCs w:val="28"/>
        </w:rPr>
        <w:t xml:space="preserve"> </w:t>
      </w:r>
      <w:r>
        <w:rPr>
          <w:rFonts w:ascii="宋体" w:hAnsi="宋体" w:cs="Times New Roman"/>
          <w:b/>
          <w:bCs/>
          <w:kern w:val="0"/>
          <w:sz w:val="28"/>
          <w:szCs w:val="28"/>
        </w:rPr>
        <w:t xml:space="preserve"> 日</w:t>
      </w:r>
    </w:p>
    <w:p w14:paraId="3DC76417">
      <w:pPr>
        <w:pStyle w:val="2"/>
        <w:ind w:left="0" w:leftChars="0" w:firstLine="0" w:firstLineChars="0"/>
        <w:rPr>
          <w:rFonts w:hint="eastAsia"/>
        </w:rPr>
      </w:pPr>
    </w:p>
    <w:p w14:paraId="22894998">
      <w:pPr>
        <w:adjustRightInd w:val="0"/>
        <w:snapToGrid w:val="0"/>
        <w:spacing w:line="560" w:lineRule="exact"/>
        <w:jc w:val="center"/>
        <w:rPr>
          <w:rFonts w:hint="eastAsia" w:ascii="宋体" w:hAnsi="宋体"/>
          <w:b/>
          <w:sz w:val="28"/>
          <w:szCs w:val="28"/>
        </w:rPr>
      </w:pPr>
    </w:p>
    <w:p w14:paraId="050988A7">
      <w:pPr>
        <w:pStyle w:val="2"/>
        <w:ind w:left="0" w:leftChars="0" w:firstLine="0" w:firstLineChars="0"/>
        <w:rPr>
          <w:rFonts w:hint="eastAsia" w:ascii="宋体" w:hAnsi="宋体"/>
          <w:b w:val="0"/>
          <w:bCs/>
          <w:sz w:val="24"/>
          <w:szCs w:val="24"/>
          <w:lang w:val="en-US" w:eastAsia="zh-CN"/>
        </w:rPr>
      </w:pPr>
      <w:r>
        <w:rPr>
          <w:rFonts w:hint="eastAsia" w:ascii="宋体" w:hAnsi="宋体"/>
          <w:b w:val="0"/>
          <w:bCs/>
          <w:sz w:val="24"/>
          <w:szCs w:val="24"/>
          <w:lang w:val="en-US" w:eastAsia="zh-CN"/>
        </w:rPr>
        <w:t xml:space="preserve"> 合同模板，仅供参考。</w:t>
      </w:r>
    </w:p>
    <w:p w14:paraId="6C2D2274">
      <w:pPr>
        <w:pStyle w:val="2"/>
        <w:ind w:left="0" w:leftChars="0" w:firstLine="0" w:firstLineChars="0"/>
        <w:rPr>
          <w:rFonts w:hint="default" w:ascii="宋体" w:hAnsi="宋体"/>
          <w:b w:val="0"/>
          <w:bCs/>
          <w:sz w:val="24"/>
          <w:szCs w:val="24"/>
          <w:lang w:val="en-US" w:eastAsia="zh-CN"/>
        </w:rPr>
      </w:pPr>
    </w:p>
    <w:p w14:paraId="10FC9B0A">
      <w:pPr>
        <w:pStyle w:val="2"/>
        <w:ind w:left="0" w:leftChars="0" w:firstLine="0" w:firstLineChars="0"/>
        <w:rPr>
          <w:rFonts w:hint="default" w:ascii="宋体" w:hAnsi="宋体"/>
          <w:b w:val="0"/>
          <w:bCs/>
          <w:sz w:val="24"/>
          <w:szCs w:val="24"/>
          <w:lang w:val="en-US" w:eastAsia="zh-CN"/>
        </w:rPr>
      </w:pPr>
    </w:p>
    <w:p w14:paraId="57950725">
      <w:pPr>
        <w:jc w:val="center"/>
        <w:outlineLvl w:val="0"/>
        <w:rPr>
          <w:rFonts w:hint="eastAsia" w:ascii="宋体" w:hAnsi="宋体"/>
          <w:color w:val="000000"/>
          <w:sz w:val="28"/>
          <w:szCs w:val="28"/>
          <w:highlight w:val="none"/>
        </w:rPr>
      </w:pPr>
      <w:bookmarkStart w:id="3" w:name="_Toc3389"/>
      <w:bookmarkStart w:id="4" w:name="_Toc29884"/>
      <w:bookmarkStart w:id="5" w:name="_Toc15120"/>
      <w:r>
        <w:rPr>
          <w:rFonts w:hint="eastAsia" w:ascii="宋体" w:hAnsi="宋体"/>
          <w:b/>
          <w:sz w:val="32"/>
          <w:szCs w:val="32"/>
        </w:rPr>
        <w:t>第一部分    协议书</w:t>
      </w:r>
      <w:bookmarkEnd w:id="3"/>
      <w:bookmarkEnd w:id="4"/>
      <w:bookmarkEnd w:id="5"/>
    </w:p>
    <w:p w14:paraId="0B7F08A6">
      <w:pPr>
        <w:spacing w:line="52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发包人（全称）：</w:t>
      </w:r>
      <w:r>
        <w:rPr>
          <w:rFonts w:hint="eastAsia" w:ascii="宋体" w:hAnsi="宋体"/>
          <w:sz w:val="24"/>
          <w:szCs w:val="24"/>
          <w:highlight w:val="none"/>
          <w:lang w:val="en-US" w:eastAsia="zh-CN"/>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lang w:val="en-US" w:eastAsia="zh-CN"/>
        </w:rPr>
        <w:tab/>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rPr>
        <w:t xml:space="preserve">  </w:t>
      </w:r>
    </w:p>
    <w:p w14:paraId="39CD25A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承包人（全称）：</w:t>
      </w:r>
      <w:r>
        <w:rPr>
          <w:rFonts w:hint="eastAsia" w:ascii="宋体" w:hAnsi="宋体"/>
          <w:sz w:val="24"/>
          <w:szCs w:val="24"/>
          <w:highlight w:val="none"/>
          <w:lang w:val="en-US" w:eastAsia="zh-CN"/>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u w:val="none"/>
          <w:lang w:val="en-US" w:eastAsia="zh-CN"/>
        </w:rPr>
        <w:t xml:space="preserve">                              </w:t>
      </w:r>
      <w:r>
        <w:rPr>
          <w:rFonts w:hint="eastAsia" w:ascii="宋体" w:hAnsi="宋体"/>
          <w:sz w:val="24"/>
          <w:szCs w:val="24"/>
          <w:highlight w:val="none"/>
          <w:u w:val="none"/>
        </w:rPr>
        <w:t xml:space="preserve">   </w:t>
      </w:r>
      <w:r>
        <w:rPr>
          <w:rFonts w:hint="eastAsia" w:ascii="宋体" w:hAnsi="宋体"/>
          <w:sz w:val="24"/>
          <w:szCs w:val="24"/>
          <w:highlight w:val="none"/>
          <w:u w:val="single"/>
        </w:rPr>
        <w:t xml:space="preserve">                                </w:t>
      </w:r>
    </w:p>
    <w:p w14:paraId="0CEA8EC9">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依照《中华人民共和国</w:t>
      </w:r>
      <w:r>
        <w:rPr>
          <w:rFonts w:hint="eastAsia" w:ascii="宋体" w:hAnsi="宋体"/>
          <w:sz w:val="24"/>
          <w:szCs w:val="24"/>
          <w:highlight w:val="none"/>
          <w:lang w:val="en-US" w:eastAsia="zh-CN"/>
        </w:rPr>
        <w:t>民法典</w:t>
      </w:r>
      <w:r>
        <w:rPr>
          <w:rFonts w:hint="eastAsia" w:ascii="宋体" w:hAnsi="宋体"/>
          <w:sz w:val="24"/>
          <w:szCs w:val="24"/>
          <w:highlight w:val="none"/>
        </w:rPr>
        <w:t xml:space="preserve">》、《 中华人民共和国建筑法》及其他有关法律、行政法规，遵循平等、自愿、公平和诚实信用的原则，双方就本建设工程施工事项协商一致，订立本合同。                           </w:t>
      </w:r>
    </w:p>
    <w:p w14:paraId="4DE946DA">
      <w:pPr>
        <w:spacing w:line="520" w:lineRule="exact"/>
        <w:ind w:firstLine="482" w:firstLineChars="200"/>
        <w:outlineLvl w:val="1"/>
        <w:rPr>
          <w:rFonts w:hint="eastAsia" w:ascii="宋体" w:hAnsi="宋体" w:cs="宋体"/>
          <w:b/>
          <w:kern w:val="0"/>
          <w:sz w:val="24"/>
          <w:szCs w:val="24"/>
          <w:highlight w:val="none"/>
        </w:rPr>
      </w:pPr>
      <w:bookmarkStart w:id="6" w:name="_Toc31967"/>
      <w:bookmarkStart w:id="7" w:name="_Toc807"/>
      <w:bookmarkStart w:id="8" w:name="_Toc24111"/>
      <w:r>
        <w:rPr>
          <w:rFonts w:hint="eastAsia" w:ascii="宋体" w:hAnsi="宋体" w:cs="宋体"/>
          <w:b/>
          <w:kern w:val="0"/>
          <w:sz w:val="24"/>
          <w:szCs w:val="24"/>
          <w:highlight w:val="none"/>
        </w:rPr>
        <w:t>一、</w:t>
      </w:r>
      <w:r>
        <w:rPr>
          <w:rFonts w:ascii="宋体" w:hAnsi="宋体" w:cs="宋体"/>
          <w:b/>
          <w:kern w:val="0"/>
          <w:sz w:val="24"/>
          <w:szCs w:val="24"/>
          <w:highlight w:val="none"/>
        </w:rPr>
        <w:t>工程概况</w:t>
      </w:r>
      <w:r>
        <w:rPr>
          <w:rFonts w:hint="eastAsia" w:ascii="宋体" w:hAnsi="宋体" w:cs="宋体"/>
          <w:b/>
          <w:kern w:val="0"/>
          <w:sz w:val="24"/>
          <w:szCs w:val="24"/>
          <w:highlight w:val="none"/>
        </w:rPr>
        <w:t>：</w:t>
      </w:r>
      <w:bookmarkEnd w:id="6"/>
      <w:bookmarkEnd w:id="7"/>
      <w:bookmarkEnd w:id="8"/>
    </w:p>
    <w:p w14:paraId="22577C75">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工程名称：</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21AC425B">
      <w:p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工程地点：</w:t>
      </w:r>
      <w:r>
        <w:rPr>
          <w:rFonts w:hint="eastAsia" w:ascii="宋体" w:hAnsi="宋体"/>
          <w:sz w:val="24"/>
          <w:szCs w:val="24"/>
          <w:highlight w:val="none"/>
          <w:u w:val="single"/>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610997B6">
      <w:p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资金来源：</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5233AA5A">
      <w:pPr>
        <w:spacing w:line="520" w:lineRule="exact"/>
        <w:ind w:firstLine="482" w:firstLineChars="200"/>
        <w:outlineLvl w:val="1"/>
        <w:rPr>
          <w:rFonts w:hint="eastAsia" w:ascii="宋体" w:hAnsi="宋体" w:cs="宋体"/>
          <w:b/>
          <w:kern w:val="0"/>
          <w:sz w:val="24"/>
          <w:szCs w:val="24"/>
          <w:highlight w:val="none"/>
        </w:rPr>
      </w:pPr>
      <w:bookmarkStart w:id="9" w:name="_Toc32685"/>
      <w:bookmarkStart w:id="10" w:name="_Toc28865"/>
      <w:bookmarkStart w:id="11" w:name="_Toc1351"/>
      <w:r>
        <w:rPr>
          <w:rFonts w:hint="eastAsia" w:ascii="宋体" w:hAnsi="宋体" w:cs="宋体"/>
          <w:b/>
          <w:kern w:val="0"/>
          <w:sz w:val="24"/>
          <w:szCs w:val="24"/>
          <w:highlight w:val="none"/>
        </w:rPr>
        <w:t>二、工程承包范围</w:t>
      </w:r>
      <w:bookmarkEnd w:id="9"/>
      <w:bookmarkEnd w:id="10"/>
      <w:bookmarkEnd w:id="11"/>
    </w:p>
    <w:p w14:paraId="23D72D9D">
      <w:pPr>
        <w:spacing w:line="520" w:lineRule="exact"/>
        <w:ind w:firstLine="480" w:firstLineChars="200"/>
        <w:rPr>
          <w:rFonts w:hint="default" w:ascii="宋体" w:hAnsi="宋体" w:eastAsia="宋体" w:cs="宋体"/>
          <w:kern w:val="0"/>
          <w:sz w:val="24"/>
          <w:szCs w:val="24"/>
          <w:highlight w:val="none"/>
          <w:u w:val="single"/>
          <w:lang w:val="en-US" w:eastAsia="zh-CN"/>
        </w:rPr>
      </w:pPr>
      <w:r>
        <w:rPr>
          <w:rFonts w:hint="eastAsia" w:ascii="宋体" w:hAnsi="宋体" w:cs="宋体"/>
          <w:kern w:val="0"/>
          <w:sz w:val="24"/>
          <w:szCs w:val="24"/>
          <w:highlight w:val="none"/>
        </w:rPr>
        <w:t>承包范围：</w:t>
      </w:r>
      <w:r>
        <w:rPr>
          <w:rFonts w:hint="eastAsia" w:ascii="宋体" w:hAnsi="宋体" w:cs="宋体"/>
          <w:kern w:val="0"/>
          <w:sz w:val="24"/>
          <w:szCs w:val="24"/>
          <w:highlight w:val="none"/>
          <w:u w:val="single"/>
          <w:lang w:val="en-US" w:eastAsia="zh-CN"/>
        </w:rPr>
        <w:t xml:space="preserve">                                                      </w:t>
      </w:r>
    </w:p>
    <w:p w14:paraId="14FE3A5C">
      <w:pPr>
        <w:spacing w:line="520" w:lineRule="exact"/>
        <w:ind w:firstLine="482" w:firstLineChars="200"/>
        <w:outlineLvl w:val="1"/>
        <w:rPr>
          <w:rFonts w:hint="eastAsia" w:ascii="宋体" w:hAnsi="宋体" w:cs="宋体"/>
          <w:b/>
          <w:kern w:val="0"/>
          <w:sz w:val="24"/>
          <w:szCs w:val="24"/>
          <w:highlight w:val="none"/>
        </w:rPr>
      </w:pPr>
      <w:bookmarkStart w:id="12" w:name="_Toc32655"/>
      <w:bookmarkStart w:id="13" w:name="_Toc9689"/>
      <w:bookmarkStart w:id="14" w:name="_Toc19094"/>
      <w:r>
        <w:rPr>
          <w:rFonts w:hint="eastAsia" w:ascii="宋体" w:hAnsi="宋体" w:cs="宋体"/>
          <w:b/>
          <w:kern w:val="0"/>
          <w:sz w:val="24"/>
          <w:szCs w:val="24"/>
          <w:highlight w:val="none"/>
        </w:rPr>
        <w:t>三、</w:t>
      </w:r>
      <w:r>
        <w:rPr>
          <w:rFonts w:ascii="宋体" w:hAnsi="宋体" w:cs="宋体"/>
          <w:b/>
          <w:kern w:val="0"/>
          <w:sz w:val="24"/>
          <w:szCs w:val="24"/>
          <w:highlight w:val="none"/>
        </w:rPr>
        <w:t>合同工期</w:t>
      </w:r>
      <w:bookmarkEnd w:id="12"/>
      <w:bookmarkEnd w:id="13"/>
      <w:bookmarkEnd w:id="14"/>
    </w:p>
    <w:p w14:paraId="487C1459">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开工日期：</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6F58D9D4">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竣工日期：</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4E3CE9FF">
      <w:pPr>
        <w:spacing w:line="520" w:lineRule="exact"/>
        <w:ind w:firstLine="480" w:firstLineChars="200"/>
        <w:rPr>
          <w:rFonts w:hint="eastAsia" w:ascii="宋体" w:hAnsi="宋体" w:cs="宋体"/>
          <w:color w:val="FF0000"/>
          <w:kern w:val="0"/>
          <w:sz w:val="24"/>
          <w:szCs w:val="24"/>
          <w:highlight w:val="none"/>
        </w:rPr>
      </w:pPr>
      <w:r>
        <w:rPr>
          <w:rFonts w:hint="eastAsia" w:ascii="宋体" w:hAnsi="宋体" w:cs="宋体"/>
          <w:kern w:val="0"/>
          <w:sz w:val="24"/>
          <w:szCs w:val="24"/>
          <w:highlight w:val="none"/>
        </w:rPr>
        <w:t>合同工期总日历天数</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天。</w:t>
      </w:r>
      <w:r>
        <w:rPr>
          <w:rFonts w:hint="eastAsia" w:ascii="宋体" w:hAnsi="宋体" w:cs="宋体"/>
          <w:color w:val="FF0000"/>
          <w:kern w:val="0"/>
          <w:sz w:val="24"/>
          <w:szCs w:val="24"/>
          <w:highlight w:val="none"/>
        </w:rPr>
        <w:t xml:space="preserve"> </w:t>
      </w:r>
    </w:p>
    <w:p w14:paraId="2F29A402">
      <w:pPr>
        <w:spacing w:line="520" w:lineRule="exact"/>
        <w:ind w:firstLine="482" w:firstLineChars="200"/>
        <w:outlineLvl w:val="1"/>
        <w:rPr>
          <w:rFonts w:hint="eastAsia" w:ascii="宋体" w:hAnsi="宋体" w:cs="宋体"/>
          <w:b/>
          <w:kern w:val="0"/>
          <w:sz w:val="24"/>
          <w:szCs w:val="24"/>
          <w:highlight w:val="none"/>
        </w:rPr>
      </w:pPr>
      <w:bookmarkStart w:id="15" w:name="_Toc1032"/>
      <w:bookmarkStart w:id="16" w:name="_Toc6066"/>
      <w:bookmarkStart w:id="17" w:name="_Toc19869"/>
      <w:r>
        <w:rPr>
          <w:rFonts w:hint="eastAsia" w:ascii="宋体" w:hAnsi="宋体" w:cs="宋体"/>
          <w:b/>
          <w:kern w:val="0"/>
          <w:sz w:val="24"/>
          <w:szCs w:val="24"/>
          <w:highlight w:val="none"/>
        </w:rPr>
        <w:t>四、</w:t>
      </w:r>
      <w:r>
        <w:rPr>
          <w:rFonts w:ascii="宋体" w:hAnsi="宋体" w:cs="宋体"/>
          <w:b/>
          <w:kern w:val="0"/>
          <w:sz w:val="24"/>
          <w:szCs w:val="24"/>
          <w:highlight w:val="none"/>
        </w:rPr>
        <w:t>质量标准</w:t>
      </w:r>
      <w:bookmarkEnd w:id="15"/>
      <w:bookmarkEnd w:id="16"/>
      <w:bookmarkEnd w:id="17"/>
    </w:p>
    <w:p w14:paraId="0CD72D49">
      <w:pPr>
        <w:spacing w:line="52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工程质量标准：</w:t>
      </w:r>
      <w:r>
        <w:rPr>
          <w:rFonts w:hint="eastAsia" w:ascii="宋体" w:hAnsi="宋体"/>
          <w:sz w:val="24"/>
          <w:szCs w:val="24"/>
          <w:highlight w:val="none"/>
          <w:u w:val="single"/>
        </w:rPr>
        <w:t>符合国家现行有关施工质量验收规范“合格”要求</w:t>
      </w:r>
    </w:p>
    <w:p w14:paraId="1A188151">
      <w:pPr>
        <w:spacing w:line="520" w:lineRule="exact"/>
        <w:ind w:firstLine="482" w:firstLineChars="200"/>
        <w:outlineLvl w:val="1"/>
        <w:rPr>
          <w:rFonts w:hint="eastAsia" w:ascii="宋体" w:hAnsi="宋体" w:cs="宋体"/>
          <w:b/>
          <w:kern w:val="0"/>
          <w:sz w:val="24"/>
          <w:szCs w:val="24"/>
          <w:highlight w:val="none"/>
        </w:rPr>
      </w:pPr>
      <w:bookmarkStart w:id="18" w:name="_Toc1198"/>
      <w:bookmarkStart w:id="19" w:name="_Toc5804"/>
      <w:bookmarkStart w:id="20" w:name="_Toc27044"/>
      <w:r>
        <w:rPr>
          <w:rFonts w:hint="eastAsia" w:ascii="宋体" w:hAnsi="宋体" w:cs="宋体"/>
          <w:b/>
          <w:kern w:val="0"/>
          <w:sz w:val="24"/>
          <w:szCs w:val="24"/>
          <w:highlight w:val="none"/>
        </w:rPr>
        <w:t>五、合同</w:t>
      </w:r>
      <w:r>
        <w:rPr>
          <w:rFonts w:ascii="宋体" w:hAnsi="宋体" w:cs="宋体"/>
          <w:b/>
          <w:kern w:val="0"/>
          <w:sz w:val="24"/>
          <w:szCs w:val="24"/>
          <w:highlight w:val="none"/>
        </w:rPr>
        <w:t>价款</w:t>
      </w:r>
      <w:bookmarkEnd w:id="18"/>
      <w:bookmarkEnd w:id="19"/>
      <w:bookmarkEnd w:id="20"/>
    </w:p>
    <w:p w14:paraId="0541F84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1、金额（大写）：</w:t>
      </w:r>
      <w:r>
        <w:rPr>
          <w:rFonts w:hint="eastAsia" w:ascii="宋体" w:hAnsi="宋体"/>
          <w:sz w:val="24"/>
          <w:szCs w:val="24"/>
          <w:highlight w:val="none"/>
          <w:u w:val="single"/>
        </w:rPr>
        <w:t xml:space="preserve">                         </w:t>
      </w:r>
      <w:r>
        <w:rPr>
          <w:rFonts w:hint="eastAsia" w:ascii="宋体" w:hAnsi="宋体"/>
          <w:sz w:val="24"/>
          <w:szCs w:val="24"/>
          <w:highlight w:val="none"/>
        </w:rPr>
        <w:t xml:space="preserve"> 元（人民币）</w:t>
      </w:r>
    </w:p>
    <w:p w14:paraId="7047BB70">
      <w:pPr>
        <w:spacing w:line="520" w:lineRule="exact"/>
        <w:ind w:firstLine="600" w:firstLineChars="250"/>
        <w:rPr>
          <w:rFonts w:hint="eastAsia" w:ascii="宋体" w:hAnsi="宋体"/>
          <w:sz w:val="24"/>
          <w:szCs w:val="24"/>
          <w:highlight w:val="none"/>
        </w:rPr>
      </w:pPr>
      <w:r>
        <w:rPr>
          <w:rFonts w:hint="eastAsia" w:ascii="宋体" w:hAnsi="宋体"/>
          <w:sz w:val="24"/>
          <w:szCs w:val="24"/>
          <w:highlight w:val="none"/>
        </w:rPr>
        <w:t>￥：</w:t>
      </w:r>
      <w:r>
        <w:rPr>
          <w:rFonts w:hint="eastAsia" w:ascii="宋体" w:hAnsi="宋体"/>
          <w:sz w:val="24"/>
          <w:szCs w:val="24"/>
          <w:highlight w:val="none"/>
          <w:u w:val="single"/>
        </w:rPr>
        <w:t xml:space="preserve">                                     </w:t>
      </w:r>
      <w:r>
        <w:rPr>
          <w:rFonts w:hint="eastAsia" w:ascii="宋体" w:hAnsi="宋体"/>
          <w:sz w:val="24"/>
          <w:szCs w:val="24"/>
          <w:highlight w:val="none"/>
        </w:rPr>
        <w:t xml:space="preserve"> 元</w:t>
      </w:r>
    </w:p>
    <w:p w14:paraId="1B07A0C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2、单价：详见承包人的报价书。</w:t>
      </w:r>
    </w:p>
    <w:p w14:paraId="32F6D79A">
      <w:pPr>
        <w:spacing w:line="520" w:lineRule="exact"/>
        <w:ind w:firstLine="482" w:firstLineChars="200"/>
        <w:outlineLvl w:val="1"/>
        <w:rPr>
          <w:rFonts w:hint="eastAsia" w:ascii="宋体" w:hAnsi="宋体"/>
          <w:b/>
          <w:sz w:val="24"/>
          <w:szCs w:val="24"/>
          <w:highlight w:val="none"/>
        </w:rPr>
      </w:pPr>
      <w:bookmarkStart w:id="21" w:name="_Toc32402"/>
      <w:bookmarkStart w:id="22" w:name="_Toc25125"/>
      <w:bookmarkStart w:id="23" w:name="_Toc14660"/>
      <w:r>
        <w:rPr>
          <w:rFonts w:hint="eastAsia" w:ascii="宋体" w:hAnsi="宋体"/>
          <w:b/>
          <w:sz w:val="24"/>
          <w:szCs w:val="24"/>
          <w:highlight w:val="none"/>
        </w:rPr>
        <w:t>六、组成合同的文件</w:t>
      </w:r>
      <w:bookmarkEnd w:id="21"/>
      <w:bookmarkEnd w:id="22"/>
      <w:bookmarkEnd w:id="23"/>
    </w:p>
    <w:p w14:paraId="2754EBE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组成本合同的文件包括：</w:t>
      </w:r>
    </w:p>
    <w:p w14:paraId="7A251CD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1、本合同协议书</w:t>
      </w:r>
    </w:p>
    <w:p w14:paraId="6034D869">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2、本合同专用条款</w:t>
      </w:r>
    </w:p>
    <w:p w14:paraId="4953F4B4">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3、本合同通用条款</w:t>
      </w:r>
    </w:p>
    <w:p w14:paraId="4EE26EA8">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4、中标通知书</w:t>
      </w:r>
    </w:p>
    <w:p w14:paraId="210D408B">
      <w:pPr>
        <w:spacing w:line="520" w:lineRule="exact"/>
        <w:ind w:firstLine="480" w:firstLineChars="200"/>
        <w:rPr>
          <w:rFonts w:ascii="宋体" w:hAnsi="宋体"/>
          <w:sz w:val="24"/>
          <w:szCs w:val="24"/>
          <w:highlight w:val="none"/>
        </w:rPr>
      </w:pPr>
      <w:r>
        <w:rPr>
          <w:rFonts w:hint="eastAsia" w:ascii="宋体" w:hAnsi="宋体"/>
          <w:sz w:val="24"/>
          <w:szCs w:val="24"/>
          <w:highlight w:val="none"/>
        </w:rPr>
        <w:t>5、投标文件</w:t>
      </w:r>
    </w:p>
    <w:p w14:paraId="6F3F06C7">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6、招标文件、答疑纪要及工程量清单</w:t>
      </w:r>
    </w:p>
    <w:p w14:paraId="6276E6DE">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7、图纸</w:t>
      </w:r>
    </w:p>
    <w:p w14:paraId="001D32B2">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8、标准、规范及有关技术文件</w:t>
      </w:r>
    </w:p>
    <w:p w14:paraId="37758FD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双方为履行本合同的有关洽商、变更等书面协议或文件视为本合同的组成部分。</w:t>
      </w:r>
    </w:p>
    <w:p w14:paraId="20F4AB1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七、本协议书中有关词语含义与本合同第二部分《通用条款》中分别赋予它们的定义相同。</w:t>
      </w:r>
    </w:p>
    <w:p w14:paraId="76F7577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八、承包人向发包人承诺按照合同约定进行施工、竣工并在质量保修期内承担工程质量保修责任。</w:t>
      </w:r>
    </w:p>
    <w:p w14:paraId="37B6E9A7">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九、发包人向承包人承诺按照合同约定的期限和方式支付合同价款及其他应当支付的款项。</w:t>
      </w:r>
    </w:p>
    <w:p w14:paraId="2A5C3836">
      <w:pPr>
        <w:spacing w:line="520" w:lineRule="exact"/>
        <w:ind w:firstLine="480" w:firstLineChars="200"/>
        <w:outlineLvl w:val="1"/>
        <w:rPr>
          <w:rFonts w:hint="eastAsia" w:ascii="宋体" w:hAnsi="宋体"/>
          <w:sz w:val="24"/>
          <w:szCs w:val="24"/>
          <w:highlight w:val="none"/>
        </w:rPr>
      </w:pPr>
      <w:bookmarkStart w:id="24" w:name="_Toc29961"/>
      <w:bookmarkStart w:id="25" w:name="_Toc20964"/>
      <w:bookmarkStart w:id="26" w:name="_Toc7954"/>
      <w:r>
        <w:rPr>
          <w:rFonts w:hint="eastAsia" w:ascii="宋体" w:hAnsi="宋体"/>
          <w:sz w:val="24"/>
          <w:szCs w:val="24"/>
          <w:highlight w:val="none"/>
        </w:rPr>
        <w:t>十、合同生效</w:t>
      </w:r>
      <w:bookmarkEnd w:id="24"/>
      <w:bookmarkEnd w:id="25"/>
      <w:bookmarkEnd w:id="26"/>
    </w:p>
    <w:p w14:paraId="153187E1">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合同订立时间：</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 xml:space="preserve"> 日</w:t>
      </w:r>
    </w:p>
    <w:p w14:paraId="10F97C97">
      <w:pPr>
        <w:spacing w:line="52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合同订立地点：</w:t>
      </w:r>
      <w:r>
        <w:rPr>
          <w:rFonts w:hint="eastAsia" w:ascii="宋体" w:hAnsi="宋体"/>
          <w:sz w:val="24"/>
          <w:szCs w:val="24"/>
          <w:highlight w:val="none"/>
          <w:u w:val="single"/>
        </w:rPr>
        <w:t xml:space="preserve">                                       </w:t>
      </w:r>
    </w:p>
    <w:p w14:paraId="3C11CF3D">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 xml:space="preserve">本合同双方约定 </w:t>
      </w:r>
      <w:r>
        <w:rPr>
          <w:rFonts w:hint="eastAsia" w:ascii="宋体" w:hAnsi="宋体"/>
          <w:sz w:val="24"/>
          <w:szCs w:val="24"/>
          <w:highlight w:val="none"/>
          <w:u w:val="single"/>
        </w:rPr>
        <w:t xml:space="preserve">双方签字盖章 </w:t>
      </w:r>
      <w:r>
        <w:rPr>
          <w:rFonts w:hint="eastAsia" w:ascii="宋体" w:hAnsi="宋体"/>
          <w:sz w:val="24"/>
          <w:szCs w:val="24"/>
          <w:highlight w:val="none"/>
        </w:rPr>
        <w:t>后生效。</w:t>
      </w:r>
    </w:p>
    <w:p w14:paraId="79FB5D38">
      <w:pPr>
        <w:pStyle w:val="6"/>
        <w:rPr>
          <w:rFonts w:hint="eastAsia"/>
          <w:highlight w:val="none"/>
        </w:rPr>
      </w:pPr>
    </w:p>
    <w:p w14:paraId="0EDA425B">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发包人：</w:t>
      </w:r>
      <w:r>
        <w:rPr>
          <w:rFonts w:hint="eastAsia" w:ascii="宋体" w:hAnsi="宋体"/>
          <w:sz w:val="24"/>
          <w:szCs w:val="24"/>
          <w:highlight w:val="none"/>
          <w:u w:val="single"/>
        </w:rPr>
        <w:t xml:space="preserve">            </w:t>
      </w:r>
      <w:r>
        <w:rPr>
          <w:rFonts w:hint="eastAsia" w:ascii="宋体" w:hAnsi="宋体"/>
          <w:sz w:val="24"/>
          <w:szCs w:val="24"/>
          <w:highlight w:val="none"/>
        </w:rPr>
        <w:t>（公章）            承包人：</w:t>
      </w:r>
      <w:r>
        <w:rPr>
          <w:rFonts w:hint="eastAsia" w:ascii="宋体" w:hAnsi="宋体"/>
          <w:sz w:val="24"/>
          <w:szCs w:val="24"/>
          <w:highlight w:val="none"/>
          <w:u w:val="single"/>
        </w:rPr>
        <w:t xml:space="preserve">           </w:t>
      </w:r>
      <w:r>
        <w:rPr>
          <w:rFonts w:hint="eastAsia" w:ascii="宋体" w:hAnsi="宋体"/>
          <w:sz w:val="24"/>
          <w:szCs w:val="24"/>
          <w:highlight w:val="none"/>
        </w:rPr>
        <w:t>（公章）</w:t>
      </w:r>
    </w:p>
    <w:p w14:paraId="629CA02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法定代表人：                            法定代表人：</w:t>
      </w:r>
    </w:p>
    <w:p w14:paraId="16D6C7FD">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委托代理人：                            委托代理人：</w:t>
      </w:r>
    </w:p>
    <w:p w14:paraId="275B668C">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联系人：                                联系人：</w:t>
      </w:r>
    </w:p>
    <w:p w14:paraId="38A9C0C1">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电话：                                  电话：</w:t>
      </w:r>
    </w:p>
    <w:p w14:paraId="3985B20D">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传真：                                  传真：</w:t>
      </w:r>
    </w:p>
    <w:p w14:paraId="4918F908">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开户银行：                              开户银行：</w:t>
      </w:r>
    </w:p>
    <w:p w14:paraId="73D5F8E4">
      <w:pPr>
        <w:pStyle w:val="2"/>
        <w:rPr>
          <w:rFonts w:hint="eastAsia" w:ascii="宋体" w:hAnsi="宋体"/>
          <w:sz w:val="24"/>
          <w:szCs w:val="24"/>
        </w:rPr>
      </w:pPr>
      <w:r>
        <w:rPr>
          <w:rFonts w:hint="eastAsia" w:ascii="宋体" w:hAnsi="宋体"/>
          <w:sz w:val="24"/>
          <w:szCs w:val="24"/>
          <w:highlight w:val="none"/>
        </w:rPr>
        <w:t>账号：                                  账号：</w:t>
      </w:r>
    </w:p>
    <w:p w14:paraId="3FAE579A">
      <w:pPr>
        <w:pStyle w:val="6"/>
        <w:rPr>
          <w:rFonts w:hint="eastAsia" w:ascii="宋体" w:hAnsi="宋体"/>
          <w:b/>
          <w:sz w:val="32"/>
          <w:szCs w:val="32"/>
        </w:rPr>
      </w:pPr>
    </w:p>
    <w:p w14:paraId="5F5EEBA1">
      <w:pPr>
        <w:pStyle w:val="6"/>
        <w:rPr>
          <w:rFonts w:hint="eastAsia" w:ascii="宋体" w:hAnsi="宋体"/>
          <w:b/>
          <w:sz w:val="32"/>
          <w:szCs w:val="32"/>
        </w:rPr>
      </w:pPr>
    </w:p>
    <w:p w14:paraId="78F1390A">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b/>
          <w:sz w:val="32"/>
          <w:szCs w:val="32"/>
        </w:rPr>
      </w:pPr>
      <w:bookmarkStart w:id="27" w:name="_Toc5889"/>
      <w:bookmarkStart w:id="28" w:name="_Toc4204"/>
      <w:bookmarkStart w:id="29" w:name="_Toc12590"/>
      <w:r>
        <w:rPr>
          <w:rFonts w:hint="eastAsia" w:ascii="宋体" w:hAnsi="宋体"/>
          <w:b/>
          <w:sz w:val="32"/>
          <w:szCs w:val="32"/>
        </w:rPr>
        <w:t>第二部分  通用条款</w:t>
      </w:r>
      <w:bookmarkEnd w:id="27"/>
      <w:bookmarkEnd w:id="28"/>
      <w:bookmarkEnd w:id="29"/>
    </w:p>
    <w:p w14:paraId="164DC8B6">
      <w:pPr>
        <w:pStyle w:val="2"/>
        <w:ind w:left="0" w:leftChars="0" w:firstLine="0" w:firstLineChars="0"/>
        <w:jc w:val="center"/>
        <w:outlineLvl w:val="1"/>
        <w:rPr>
          <w:rFonts w:hint="eastAsia" w:ascii="宋体" w:hAnsi="宋体"/>
          <w:b/>
          <w:color w:val="000000"/>
          <w:sz w:val="30"/>
          <w:szCs w:val="30"/>
          <w:highlight w:val="none"/>
        </w:rPr>
      </w:pPr>
      <w:bookmarkStart w:id="30" w:name="_Toc10786"/>
      <w:bookmarkStart w:id="31" w:name="_Toc31316"/>
      <w:bookmarkStart w:id="32" w:name="_Toc12717"/>
      <w:r>
        <w:rPr>
          <w:rFonts w:hint="eastAsia" w:ascii="宋体" w:hAnsi="宋体"/>
          <w:b/>
          <w:color w:val="000000"/>
          <w:sz w:val="30"/>
          <w:szCs w:val="30"/>
          <w:highlight w:val="none"/>
        </w:rPr>
        <w:t>执行《陕西省建设工程施工合同》（示范文本）</w:t>
      </w:r>
      <w:r>
        <w:rPr>
          <w:rFonts w:hint="eastAsia" w:ascii="宋体" w:hAnsi="宋体"/>
          <w:b/>
          <w:color w:val="000000"/>
          <w:sz w:val="30"/>
          <w:szCs w:val="30"/>
          <w:highlight w:val="none"/>
          <w:lang w:val="en-US" w:eastAsia="zh-CN"/>
        </w:rPr>
        <w:t xml:space="preserve"> </w:t>
      </w:r>
      <w:r>
        <w:rPr>
          <w:rFonts w:hint="eastAsia" w:ascii="宋体" w:hAnsi="宋体"/>
          <w:b/>
          <w:color w:val="000000"/>
          <w:sz w:val="30"/>
          <w:szCs w:val="30"/>
          <w:highlight w:val="none"/>
        </w:rPr>
        <w:t>（略）</w:t>
      </w:r>
      <w:bookmarkEnd w:id="30"/>
      <w:bookmarkEnd w:id="31"/>
      <w:bookmarkEnd w:id="32"/>
    </w:p>
    <w:p w14:paraId="027A01AA">
      <w:pPr>
        <w:ind w:firstLine="3000" w:firstLineChars="996"/>
        <w:rPr>
          <w:rFonts w:hint="eastAsia" w:ascii="宋体" w:hAnsi="宋体"/>
          <w:b/>
          <w:color w:val="000000"/>
          <w:sz w:val="30"/>
          <w:szCs w:val="30"/>
          <w:highlight w:val="none"/>
        </w:rPr>
      </w:pPr>
    </w:p>
    <w:p w14:paraId="2045E6D4">
      <w:pPr>
        <w:ind w:firstLine="3000" w:firstLineChars="996"/>
        <w:outlineLvl w:val="0"/>
        <w:rPr>
          <w:rFonts w:hint="eastAsia" w:ascii="宋体" w:hAnsi="宋体"/>
          <w:b/>
          <w:color w:val="000000"/>
          <w:sz w:val="30"/>
          <w:szCs w:val="30"/>
          <w:highlight w:val="none"/>
        </w:rPr>
      </w:pPr>
      <w:bookmarkStart w:id="33" w:name="_Toc25832"/>
      <w:bookmarkStart w:id="34" w:name="_Toc20886"/>
      <w:bookmarkStart w:id="35" w:name="_Toc23300"/>
      <w:r>
        <w:rPr>
          <w:rFonts w:hint="eastAsia" w:ascii="宋体" w:hAnsi="宋体"/>
          <w:b/>
          <w:color w:val="000000"/>
          <w:sz w:val="30"/>
          <w:szCs w:val="30"/>
          <w:highlight w:val="none"/>
        </w:rPr>
        <w:t>第三部分   专用条款</w:t>
      </w:r>
      <w:bookmarkEnd w:id="33"/>
      <w:bookmarkEnd w:id="34"/>
      <w:bookmarkEnd w:id="35"/>
    </w:p>
    <w:p w14:paraId="43204E16">
      <w:pPr>
        <w:spacing w:line="400" w:lineRule="exact"/>
        <w:ind w:firstLine="480" w:firstLineChars="200"/>
        <w:outlineLvl w:val="1"/>
        <w:rPr>
          <w:rFonts w:hint="eastAsia" w:ascii="宋体" w:hAnsi="宋体"/>
          <w:color w:val="000000"/>
          <w:sz w:val="24"/>
          <w:szCs w:val="24"/>
          <w:highlight w:val="none"/>
        </w:rPr>
      </w:pPr>
      <w:bookmarkStart w:id="36" w:name="_Toc24944"/>
      <w:bookmarkStart w:id="37" w:name="_Toc29029"/>
      <w:bookmarkStart w:id="38" w:name="_Toc5245"/>
      <w:r>
        <w:rPr>
          <w:rFonts w:hint="eastAsia" w:ascii="宋体" w:hAnsi="宋体"/>
          <w:color w:val="000000"/>
          <w:sz w:val="24"/>
          <w:szCs w:val="24"/>
          <w:highlight w:val="none"/>
        </w:rPr>
        <w:t>一、词语定义及合同文件</w:t>
      </w:r>
      <w:bookmarkEnd w:id="36"/>
      <w:bookmarkEnd w:id="37"/>
      <w:bookmarkEnd w:id="38"/>
    </w:p>
    <w:p w14:paraId="0DD04DB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1、合同文件及解释顺序</w:t>
      </w:r>
    </w:p>
    <w:p w14:paraId="35FEFF7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2、合同文件组成及解释顺序：</w:t>
      </w:r>
    </w:p>
    <w:p w14:paraId="7A3F29BA">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color w:val="000000"/>
          <w:sz w:val="24"/>
          <w:szCs w:val="24"/>
          <w:highlight w:val="none"/>
          <w:u w:val="single"/>
        </w:rPr>
        <w:t>本合同协议书，</w:t>
      </w:r>
      <w:r>
        <w:rPr>
          <w:rFonts w:hint="eastAsia" w:ascii="宋体" w:hAnsi="宋体"/>
          <w:kern w:val="0"/>
          <w:sz w:val="24"/>
          <w:szCs w:val="24"/>
          <w:highlight w:val="none"/>
          <w:u w:val="single"/>
        </w:rPr>
        <w:t>﹙1﹚本合同协议书；﹙2﹚本合同专用条款；﹙3﹚本合同通用条款；﹙4﹚中标通知书；﹙5﹚投标文件；﹙6﹚招标文件答疑纪要及工程量清单；﹙7﹚图纸；﹙8﹚标准规范及有关技术文件。</w:t>
      </w:r>
      <w:r>
        <w:rPr>
          <w:rFonts w:hint="eastAsia" w:ascii="宋体" w:hAnsi="宋体"/>
          <w:color w:val="000000"/>
          <w:sz w:val="24"/>
          <w:szCs w:val="24"/>
          <w:highlight w:val="none"/>
          <w:u w:val="single"/>
        </w:rPr>
        <w:t xml:space="preserve">                                       </w:t>
      </w:r>
    </w:p>
    <w:p w14:paraId="22BA6D2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3、语言文字和适用法律、标准及规范</w:t>
      </w:r>
    </w:p>
    <w:p w14:paraId="7A53980B">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3.1本合同除使用汉字外，还使用</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语言文字。</w:t>
      </w:r>
    </w:p>
    <w:p w14:paraId="24E3B24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3.2适用法律和法规</w:t>
      </w:r>
    </w:p>
    <w:p w14:paraId="6733A3DB">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需要明示的法律、行政法规：</w:t>
      </w:r>
    </w:p>
    <w:p w14:paraId="3C65973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《中华人民共和国建筑法》、《中华人民共和国</w:t>
      </w:r>
      <w:r>
        <w:rPr>
          <w:rFonts w:hint="eastAsia" w:ascii="宋体" w:hAnsi="宋体"/>
          <w:color w:val="000000"/>
          <w:sz w:val="24"/>
          <w:szCs w:val="24"/>
          <w:highlight w:val="none"/>
          <w:u w:val="single"/>
          <w:lang w:val="en-US" w:eastAsia="zh-CN"/>
        </w:rPr>
        <w:t>民法典</w:t>
      </w:r>
      <w:r>
        <w:rPr>
          <w:rFonts w:hint="eastAsia" w:ascii="宋体" w:hAnsi="宋体"/>
          <w:color w:val="000000"/>
          <w:sz w:val="24"/>
          <w:szCs w:val="24"/>
          <w:highlight w:val="none"/>
          <w:u w:val="single"/>
        </w:rPr>
        <w:t xml:space="preserve">》、《中华人民招投标法》。                </w:t>
      </w:r>
    </w:p>
    <w:p w14:paraId="2DAFBE4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3.3适用标准、规范</w:t>
      </w:r>
    </w:p>
    <w:p w14:paraId="1DF234E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适用标准、规范的名称：</w:t>
      </w:r>
    </w:p>
    <w:p w14:paraId="0C4B4A89">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执行国家相关工程施工及验收规范标准以及材料、设备所涉及的现行国家、省、市或行业的工程建设标准、规范的要求。                                                    </w:t>
      </w:r>
    </w:p>
    <w:p w14:paraId="316EE6EE">
      <w:pPr>
        <w:spacing w:line="400" w:lineRule="exact"/>
        <w:ind w:firstLine="480" w:firstLineChars="200"/>
        <w:jc w:val="left"/>
        <w:rPr>
          <w:rFonts w:hint="default" w:ascii="宋体" w:hAnsi="宋体"/>
          <w:color w:val="000000"/>
          <w:sz w:val="24"/>
          <w:szCs w:val="24"/>
          <w:highlight w:val="none"/>
          <w:u w:val="single"/>
          <w:lang w:val="en-US"/>
        </w:rPr>
      </w:pPr>
      <w:r>
        <w:rPr>
          <w:rFonts w:hint="eastAsia" w:ascii="宋体" w:hAnsi="宋体"/>
          <w:color w:val="000000"/>
          <w:sz w:val="24"/>
          <w:szCs w:val="24"/>
          <w:highlight w:val="none"/>
        </w:rPr>
        <w:t>发包人提供标准、规范的时间：</w:t>
      </w:r>
      <w:r>
        <w:rPr>
          <w:rFonts w:hint="eastAsia" w:ascii="宋体" w:hAnsi="宋体"/>
          <w:color w:val="000000"/>
          <w:sz w:val="24"/>
          <w:szCs w:val="24"/>
          <w:highlight w:val="none"/>
          <w:u w:val="single"/>
          <w:lang w:val="en-US" w:eastAsia="zh-CN"/>
        </w:rPr>
        <w:t xml:space="preserve">      /  </w:t>
      </w:r>
    </w:p>
    <w:p w14:paraId="6B5DC0C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国内没有相应标准、规范时的约定：</w:t>
      </w:r>
      <w:r>
        <w:rPr>
          <w:rFonts w:hint="eastAsia" w:ascii="宋体" w:hAnsi="宋体"/>
          <w:kern w:val="0"/>
          <w:sz w:val="24"/>
          <w:szCs w:val="24"/>
          <w:highlight w:val="none"/>
          <w:u w:val="single"/>
        </w:rPr>
        <w:t>以发包人和监理人的要求为准。</w:t>
      </w:r>
      <w:r>
        <w:rPr>
          <w:rFonts w:hint="eastAsia" w:ascii="宋体" w:hAnsi="宋体"/>
          <w:color w:val="000000"/>
          <w:sz w:val="24"/>
          <w:szCs w:val="24"/>
          <w:highlight w:val="none"/>
          <w:u w:val="single"/>
        </w:rPr>
        <w:t xml:space="preserve">                      </w:t>
      </w:r>
    </w:p>
    <w:p w14:paraId="36B5A7E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4、图纸</w:t>
      </w:r>
    </w:p>
    <w:p w14:paraId="452A2F9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 xml:space="preserve">4.1发包人向承包人提供图纸日期和套数： </w:t>
      </w:r>
      <w:r>
        <w:rPr>
          <w:rFonts w:hint="eastAsia" w:ascii="宋体" w:hAnsi="宋体"/>
          <w:color w:val="000000"/>
          <w:sz w:val="24"/>
          <w:szCs w:val="24"/>
          <w:highlight w:val="none"/>
          <w:u w:val="single"/>
        </w:rPr>
        <w:t>开工前提供全套施工图两套。</w:t>
      </w:r>
      <w:r>
        <w:rPr>
          <w:rFonts w:hint="eastAsia" w:ascii="宋体" w:hAnsi="宋体"/>
          <w:color w:val="000000"/>
          <w:sz w:val="24"/>
          <w:szCs w:val="24"/>
          <w:highlight w:val="none"/>
        </w:rPr>
        <w:t xml:space="preserve">                                                     </w:t>
      </w:r>
    </w:p>
    <w:p w14:paraId="0A1AEBA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发包人对图纸的保密要求：</w:t>
      </w:r>
      <w:r>
        <w:rPr>
          <w:rFonts w:hint="eastAsia" w:ascii="宋体" w:hAnsi="宋体"/>
          <w:color w:val="000000"/>
          <w:sz w:val="24"/>
          <w:szCs w:val="24"/>
          <w:highlight w:val="none"/>
          <w:u w:val="single"/>
        </w:rPr>
        <w:t xml:space="preserve">不得外传、外借                                                                                   </w:t>
      </w:r>
    </w:p>
    <w:p w14:paraId="51A9DF0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使用国外图纸的要求及费用承担：</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p>
    <w:p w14:paraId="70BDD264">
      <w:pPr>
        <w:spacing w:line="400" w:lineRule="exact"/>
        <w:ind w:firstLine="480" w:firstLineChars="200"/>
        <w:outlineLvl w:val="1"/>
        <w:rPr>
          <w:rFonts w:hint="eastAsia" w:ascii="宋体" w:hAnsi="宋体"/>
          <w:color w:val="000000"/>
          <w:sz w:val="24"/>
          <w:szCs w:val="24"/>
          <w:highlight w:val="none"/>
        </w:rPr>
      </w:pPr>
      <w:bookmarkStart w:id="39" w:name="_Toc10281"/>
      <w:bookmarkStart w:id="40" w:name="_Toc8934"/>
      <w:bookmarkStart w:id="41" w:name="_Toc22431"/>
      <w:r>
        <w:rPr>
          <w:rFonts w:hint="eastAsia" w:ascii="宋体" w:hAnsi="宋体"/>
          <w:color w:val="000000"/>
          <w:sz w:val="24"/>
          <w:szCs w:val="24"/>
          <w:highlight w:val="none"/>
        </w:rPr>
        <w:t>二、双方一般权利和义务</w:t>
      </w:r>
      <w:bookmarkEnd w:id="39"/>
      <w:bookmarkEnd w:id="40"/>
      <w:bookmarkEnd w:id="41"/>
    </w:p>
    <w:p w14:paraId="413AE6F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5、工程师</w:t>
      </w:r>
    </w:p>
    <w:p w14:paraId="1ECDF2B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5.2监理单位委派的工程师</w:t>
      </w:r>
    </w:p>
    <w:p w14:paraId="7BFAEB38">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姓名：_______________职务：______________</w:t>
      </w:r>
      <w:r>
        <w:rPr>
          <w:rFonts w:hint="eastAsia" w:ascii="宋体" w:hAnsi="宋体"/>
          <w:color w:val="000000"/>
          <w:sz w:val="24"/>
          <w:szCs w:val="24"/>
          <w:highlight w:val="none"/>
          <w:u w:val="single"/>
        </w:rPr>
        <w:t xml:space="preserve">                                    </w:t>
      </w:r>
    </w:p>
    <w:p w14:paraId="615E863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发包人委托的职权：</w:t>
      </w:r>
    </w:p>
    <w:p w14:paraId="3951A33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施工过程的质量、进度、造价控制，合同管理和信息管理，施工中各种矛盾的组织协调工作及全程监理。                                                                        </w:t>
      </w:r>
    </w:p>
    <w:p w14:paraId="0BA57F7A">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需要取得发包人批准才能行使的职权：</w:t>
      </w:r>
    </w:p>
    <w:p w14:paraId="4609896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工程洽商、设计变更、发包人指定价的认质认价、工程款支付结算等在决策之前需经业主同意。                                                     </w:t>
      </w:r>
    </w:p>
    <w:p w14:paraId="1F4304C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5.3发包人派驻的工程师</w:t>
      </w:r>
    </w:p>
    <w:p w14:paraId="5B492FA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姓名：</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职务：</w:t>
      </w:r>
      <w:r>
        <w:rPr>
          <w:rFonts w:hint="eastAsia" w:ascii="宋体" w:hAnsi="宋体"/>
          <w:color w:val="000000"/>
          <w:sz w:val="24"/>
          <w:szCs w:val="24"/>
          <w:highlight w:val="none"/>
          <w:u w:val="single"/>
        </w:rPr>
        <w:t xml:space="preserve"> 发包人驻工地代表       </w:t>
      </w:r>
    </w:p>
    <w:p w14:paraId="74FE5CC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职权：</w:t>
      </w:r>
      <w:r>
        <w:rPr>
          <w:rFonts w:hint="eastAsia" w:ascii="宋体" w:hAnsi="宋体"/>
          <w:color w:val="000000"/>
          <w:kern w:val="0"/>
          <w:sz w:val="24"/>
          <w:szCs w:val="24"/>
          <w:highlight w:val="none"/>
          <w:u w:val="single"/>
        </w:rPr>
        <w:t>负责对总包单位、分包单位、设计单位、监理单位、独立供应单位、独立专业承包单位等各方的协调管理，负责对工程质量、进度、造价、安全、文明施工、环境保护等工程建设环节进行监督、检查，负责解决合同规定的、应由发包方解决的问题。</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 xml:space="preserve">            </w:t>
      </w:r>
    </w:p>
    <w:p w14:paraId="2C91099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7、项目经理</w:t>
      </w:r>
    </w:p>
    <w:p w14:paraId="7F739065">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姓名：</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职务：</w:t>
      </w:r>
      <w:r>
        <w:rPr>
          <w:rFonts w:hint="eastAsia" w:ascii="宋体" w:hAnsi="宋体"/>
          <w:color w:val="000000"/>
          <w:sz w:val="24"/>
          <w:szCs w:val="24"/>
          <w:highlight w:val="none"/>
          <w:u w:val="single"/>
        </w:rPr>
        <w:t xml:space="preserve">  项目经理                </w:t>
      </w:r>
    </w:p>
    <w:p w14:paraId="4A8E629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7.6</w:t>
      </w:r>
      <w:r>
        <w:rPr>
          <w:rFonts w:hint="eastAsia" w:ascii="宋体" w:hAnsi="宋体"/>
          <w:color w:val="000000"/>
          <w:sz w:val="24"/>
          <w:szCs w:val="24"/>
          <w:highlight w:val="none"/>
          <w:u w:val="single"/>
        </w:rPr>
        <w:t>项目经理必须坚守工地，每周工作日不少于5天，少1天罚款300元，外出必须取得监理和发包人的许可。</w:t>
      </w:r>
    </w:p>
    <w:p w14:paraId="0596C388">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8、发包人工作</w:t>
      </w:r>
    </w:p>
    <w:p w14:paraId="36B258B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8.1发包人应按约定的时间和要求完成以下工作；</w:t>
      </w:r>
    </w:p>
    <w:p w14:paraId="526EEA2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（1）施工场地具备施工条件的要求及完成的时间：</w:t>
      </w:r>
    </w:p>
    <w:p w14:paraId="1514F11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开工前5日内。                                                            </w:t>
      </w:r>
    </w:p>
    <w:p w14:paraId="14567722">
      <w:pPr>
        <w:numPr>
          <w:ilvl w:val="0"/>
          <w:numId w:val="1"/>
        </w:num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在开工前5日内将施工所需的水、电、电讯线路接至施工场地，现场内的管线、阀门、闸刀、龙头由承包人自理，水电费及通讯费由承包人直接交收费部门。</w:t>
      </w:r>
    </w:p>
    <w:p w14:paraId="74E2D5C2">
      <w:pPr>
        <w:spacing w:line="400" w:lineRule="exact"/>
        <w:ind w:left="420" w:leftChars="200"/>
        <w:rPr>
          <w:rFonts w:hint="eastAsia" w:ascii="宋体" w:hAnsi="宋体"/>
          <w:color w:val="000000"/>
          <w:sz w:val="24"/>
          <w:szCs w:val="24"/>
          <w:highlight w:val="none"/>
        </w:rPr>
      </w:pPr>
      <w:r>
        <w:rPr>
          <w:rFonts w:hint="eastAsia" w:ascii="宋体" w:hAnsi="宋体"/>
          <w:color w:val="000000"/>
          <w:sz w:val="24"/>
          <w:szCs w:val="24"/>
          <w:highlight w:val="none"/>
          <w:u w:val="single"/>
        </w:rPr>
        <w:t xml:space="preserve">  开工前5日内                                      </w:t>
      </w:r>
      <w:r>
        <w:rPr>
          <w:rFonts w:hint="eastAsia" w:ascii="宋体" w:hAnsi="宋体"/>
          <w:color w:val="000000"/>
          <w:sz w:val="24"/>
          <w:szCs w:val="24"/>
          <w:highlight w:val="none"/>
        </w:rPr>
        <w:t xml:space="preserve">  </w:t>
      </w:r>
    </w:p>
    <w:p w14:paraId="68B8E81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（3）施工场地与公共道路的通道开通时间和要求：</w:t>
      </w:r>
    </w:p>
    <w:p w14:paraId="47CD4B2B">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开工前5日内                                                                       </w:t>
      </w:r>
    </w:p>
    <w:p w14:paraId="2B33BD3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（4）工程地质和地下管线资料的提供时间：</w:t>
      </w:r>
    </w:p>
    <w:p w14:paraId="66C76AC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u w:val="single"/>
        </w:rPr>
        <w:t xml:space="preserve">   开工前5日内                                                                       </w:t>
      </w:r>
      <w:r>
        <w:rPr>
          <w:rFonts w:hint="eastAsia" w:ascii="宋体" w:hAnsi="宋体"/>
          <w:color w:val="000000"/>
          <w:sz w:val="24"/>
          <w:szCs w:val="24"/>
          <w:highlight w:val="none"/>
        </w:rPr>
        <w:t xml:space="preserve"> </w:t>
      </w:r>
    </w:p>
    <w:p w14:paraId="2AC70BF3">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（5）由发包人办理的施工所需证件、批件的名称和完成时间：</w:t>
      </w:r>
    </w:p>
    <w:p w14:paraId="73BCC88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开工前5日内                                                                      </w:t>
      </w:r>
    </w:p>
    <w:p w14:paraId="7108819A">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（6）水准点与座标控制点交验要求：</w:t>
      </w:r>
    </w:p>
    <w:p w14:paraId="02C7771A">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开工前5日内                                                                      </w:t>
      </w:r>
    </w:p>
    <w:p w14:paraId="04ED3C1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（7）图纸会审和设计交底时间：</w:t>
      </w:r>
    </w:p>
    <w:p w14:paraId="60A078B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开工前5日内                                                                      </w:t>
      </w:r>
      <w:r>
        <w:rPr>
          <w:rFonts w:hint="eastAsia" w:ascii="宋体" w:hAnsi="宋体"/>
          <w:color w:val="000000"/>
          <w:sz w:val="24"/>
          <w:szCs w:val="24"/>
          <w:highlight w:val="none"/>
        </w:rPr>
        <w:t xml:space="preserve">   </w:t>
      </w:r>
    </w:p>
    <w:p w14:paraId="5F63112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（8）协调处理施工场地周围地下管线和临近建筑物、构筑物（含文物保护建筑）、古树名木的保护工作：</w:t>
      </w:r>
    </w:p>
    <w:p w14:paraId="14A26C1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执行《通用条款》8.1.（8）款                                                            </w:t>
      </w:r>
    </w:p>
    <w:p w14:paraId="4572582D">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（9）双方约定发包人应做的其他工作：</w:t>
      </w:r>
      <w:r>
        <w:rPr>
          <w:rFonts w:hint="eastAsia" w:ascii="宋体" w:hAnsi="宋体"/>
          <w:kern w:val="0"/>
          <w:sz w:val="24"/>
          <w:szCs w:val="24"/>
          <w:highlight w:val="none"/>
          <w:u w:val="single"/>
        </w:rPr>
        <w:t>另行约定。</w:t>
      </w:r>
      <w:r>
        <w:rPr>
          <w:rFonts w:hint="eastAsia" w:ascii="宋体" w:hAnsi="宋体"/>
          <w:color w:val="000000"/>
          <w:sz w:val="24"/>
          <w:szCs w:val="24"/>
          <w:highlight w:val="none"/>
          <w:u w:val="single"/>
        </w:rPr>
        <w:t xml:space="preserve">                                                                                    </w:t>
      </w:r>
    </w:p>
    <w:p w14:paraId="4857B83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8.2发包人委托承包人办理的工作：</w:t>
      </w:r>
    </w:p>
    <w:p w14:paraId="33ACAC36">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（1）配合发包人办理施工许可证、质量监督等手续。                                        </w:t>
      </w:r>
    </w:p>
    <w:p w14:paraId="1CB533B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9、承包人工作</w:t>
      </w:r>
    </w:p>
    <w:p w14:paraId="0732037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9.1承包人应按约定时间和要求，完成以下工作：</w:t>
      </w:r>
    </w:p>
    <w:p w14:paraId="27AAC045">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（1）需由设计资质等级和业务范围允许的承包人完成的设计文件提交时间： </w:t>
      </w:r>
      <w:r>
        <w:rPr>
          <w:rFonts w:hint="eastAsia" w:ascii="宋体" w:hAnsi="宋体"/>
          <w:kern w:val="0"/>
          <w:sz w:val="24"/>
          <w:szCs w:val="24"/>
          <w:highlight w:val="none"/>
          <w:u w:val="single"/>
        </w:rPr>
        <w:t>按发包人的要求提供。</w:t>
      </w: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w:t>
      </w:r>
    </w:p>
    <w:p w14:paraId="366A44B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（2）应提供计划、报表的名称及完成时间：</w:t>
      </w:r>
    </w:p>
    <w:p w14:paraId="40E229D3">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a、图纸交底后三日内提供经监理单位审批的施工组织设计和工程施工总进度计划，并根据工程进度至少每个月或按照工程师的指令进行总进度计划的修订；</w:t>
      </w:r>
    </w:p>
    <w:p w14:paraId="3D21B939">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b、提交工程施工总进度计划的同时提交第一个月详细工程进度计划，以后每月25日前提交下月详细工程进度计划一式三份；</w:t>
      </w:r>
    </w:p>
    <w:p w14:paraId="42ED3E4F">
      <w:pPr>
        <w:tabs>
          <w:tab w:val="left" w:pos="0"/>
          <w:tab w:val="left" w:pos="993"/>
          <w:tab w:val="left" w:pos="1134"/>
        </w:tabs>
        <w:adjustRightInd w:val="0"/>
        <w:snapToGrid w:val="0"/>
        <w:spacing w:line="500" w:lineRule="exact"/>
        <w:ind w:firstLine="482"/>
        <w:rPr>
          <w:rFonts w:hint="eastAsia" w:ascii="宋体" w:hAnsi="宋体"/>
          <w:color w:val="000000"/>
          <w:sz w:val="24"/>
          <w:szCs w:val="24"/>
          <w:highlight w:val="none"/>
          <w:u w:val="single"/>
        </w:rPr>
      </w:pPr>
      <w:r>
        <w:rPr>
          <w:rFonts w:hint="eastAsia" w:ascii="宋体" w:hAnsi="宋体"/>
          <w:kern w:val="0"/>
          <w:sz w:val="24"/>
          <w:szCs w:val="24"/>
          <w:highlight w:val="none"/>
          <w:u w:val="single"/>
        </w:rPr>
        <w:t>c、每月25日前向发包人、监理单位提供本月已完成的工程报表一式三份。</w:t>
      </w:r>
      <w:r>
        <w:rPr>
          <w:rFonts w:hint="eastAsia" w:ascii="宋体" w:hAnsi="宋体"/>
          <w:color w:val="000000"/>
          <w:sz w:val="24"/>
          <w:szCs w:val="24"/>
          <w:highlight w:val="none"/>
          <w:u w:val="single"/>
        </w:rPr>
        <w:t xml:space="preserve">                                                          </w:t>
      </w:r>
    </w:p>
    <w:p w14:paraId="101F149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（3）承担施工安全保卫工作及非夜间施工照明的责任和要求：</w:t>
      </w:r>
    </w:p>
    <w:p w14:paraId="3C3CD81F">
      <w:pPr>
        <w:spacing w:line="360" w:lineRule="auto"/>
        <w:ind w:firstLine="480" w:firstLineChars="200"/>
        <w:jc w:val="left"/>
        <w:rPr>
          <w:rFonts w:hint="eastAsia" w:ascii="宋体" w:hAnsi="宋体"/>
          <w:kern w:val="0"/>
          <w:sz w:val="24"/>
          <w:szCs w:val="24"/>
          <w:highlight w:val="none"/>
          <w:u w:val="single"/>
        </w:rPr>
      </w:pPr>
      <w:r>
        <w:rPr>
          <w:rFonts w:hint="eastAsia" w:ascii="宋体" w:hAnsi="宋体"/>
          <w:kern w:val="0"/>
          <w:sz w:val="24"/>
          <w:szCs w:val="24"/>
          <w:highlight w:val="none"/>
          <w:u w:val="single"/>
        </w:rPr>
        <w:t>承包人应提供场区的安全保卫及交通、巡查等必要的照明、危险物的警示、围栏设施等，并负责施工现场的防火、防盗及施工安全保卫工作，承担由此产生的费用。严格按照《施工现场临时用电安全技术规范 JGJ46-88》和《建设工程施工现场供用电安全规范 GB50104-93》组织施工，并承担由此产生的费用。</w:t>
      </w:r>
    </w:p>
    <w:p w14:paraId="7924F3C7">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kern w:val="0"/>
          <w:sz w:val="24"/>
          <w:szCs w:val="24"/>
          <w:highlight w:val="none"/>
          <w:u w:val="single"/>
        </w:rPr>
        <w:t xml:space="preserve">因承包人未能履行上述义务，造成财产和人身伤害，由承包人承担全部法律责任及发生的费用。 </w:t>
      </w:r>
      <w:r>
        <w:rPr>
          <w:rFonts w:hint="eastAsia" w:ascii="宋体" w:hAnsi="宋体"/>
          <w:color w:val="000000"/>
          <w:sz w:val="24"/>
          <w:szCs w:val="24"/>
          <w:highlight w:val="none"/>
          <w:u w:val="single"/>
        </w:rPr>
        <w:t xml:space="preserve">                                                           </w:t>
      </w:r>
    </w:p>
    <w:p w14:paraId="42AC8733">
      <w:pPr>
        <w:spacing w:line="360" w:lineRule="auto"/>
        <w:ind w:firstLine="480" w:firstLineChars="200"/>
        <w:jc w:val="left"/>
        <w:rPr>
          <w:rFonts w:hint="eastAsia" w:ascii="宋体" w:hAnsi="宋体"/>
          <w:kern w:val="0"/>
          <w:sz w:val="24"/>
          <w:szCs w:val="24"/>
          <w:highlight w:val="none"/>
          <w:u w:val="single"/>
        </w:rPr>
      </w:pPr>
      <w:r>
        <w:rPr>
          <w:rFonts w:hint="eastAsia" w:ascii="宋体" w:hAnsi="宋体"/>
          <w:sz w:val="24"/>
          <w:szCs w:val="24"/>
          <w:highlight w:val="none"/>
        </w:rPr>
        <w:t>（4）向发包人提供的办公和生活房屋及设施的要求：</w:t>
      </w:r>
      <w:r>
        <w:rPr>
          <w:rFonts w:hint="eastAsia" w:ascii="宋体" w:hAnsi="宋体"/>
          <w:kern w:val="0"/>
          <w:sz w:val="24"/>
          <w:szCs w:val="24"/>
          <w:highlight w:val="none"/>
          <w:u w:val="single"/>
        </w:rPr>
        <w:t>免费为发包人和监理人提供办公和生活用房。</w:t>
      </w:r>
    </w:p>
    <w:p w14:paraId="1EE306EB">
      <w:pPr>
        <w:spacing w:line="360" w:lineRule="auto"/>
        <w:ind w:firstLine="480" w:firstLineChars="200"/>
        <w:jc w:val="left"/>
        <w:rPr>
          <w:rFonts w:hint="eastAsia" w:ascii="宋体" w:hAnsi="宋体"/>
          <w:kern w:val="0"/>
          <w:sz w:val="24"/>
          <w:szCs w:val="24"/>
          <w:highlight w:val="none"/>
          <w:u w:val="single"/>
        </w:rPr>
      </w:pPr>
      <w:r>
        <w:rPr>
          <w:rFonts w:hint="eastAsia" w:ascii="宋体" w:hAnsi="宋体"/>
          <w:sz w:val="24"/>
          <w:szCs w:val="24"/>
          <w:highlight w:val="none"/>
        </w:rPr>
        <w:t>（5）需承包人办理的有关施工场地交通、环卫和施工噪音管理等手续：</w:t>
      </w:r>
      <w:r>
        <w:rPr>
          <w:rFonts w:hint="eastAsia" w:ascii="宋体" w:hAnsi="宋体"/>
          <w:kern w:val="0"/>
          <w:sz w:val="24"/>
          <w:szCs w:val="24"/>
          <w:highlight w:val="none"/>
          <w:u w:val="single"/>
        </w:rPr>
        <w:t>按规定时间和要求办理有关手续，并以书面形式通知发包人，相关费用都已包含在合同价款中。如因承包人未及时办理上述手续，导致的一切罚款、费用和法律责任，均由承包人自行承担。</w:t>
      </w:r>
    </w:p>
    <w:p w14:paraId="7989D21E">
      <w:pPr>
        <w:spacing w:line="360" w:lineRule="auto"/>
        <w:ind w:firstLine="480" w:firstLineChars="200"/>
        <w:jc w:val="left"/>
        <w:rPr>
          <w:rFonts w:hint="eastAsia" w:ascii="宋体" w:hAnsi="宋体"/>
          <w:kern w:val="0"/>
          <w:sz w:val="24"/>
          <w:szCs w:val="24"/>
          <w:highlight w:val="none"/>
          <w:u w:val="single"/>
        </w:rPr>
      </w:pPr>
      <w:r>
        <w:rPr>
          <w:rFonts w:hint="eastAsia" w:ascii="宋体" w:hAnsi="宋体"/>
          <w:sz w:val="24"/>
          <w:szCs w:val="24"/>
          <w:highlight w:val="none"/>
        </w:rPr>
        <w:t>（6）已完工程成品保护的特殊要求及费用承担：</w:t>
      </w:r>
      <w:r>
        <w:rPr>
          <w:rFonts w:hint="eastAsia" w:ascii="宋体" w:hAnsi="宋体"/>
          <w:kern w:val="0"/>
          <w:sz w:val="24"/>
          <w:szCs w:val="24"/>
          <w:highlight w:val="none"/>
          <w:u w:val="single"/>
        </w:rPr>
        <w:t>承包人负责，费用由承包人承担。</w:t>
      </w:r>
    </w:p>
    <w:p w14:paraId="76E1017E">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（7）施工场地周围地下管线和邻近建筑物、构筑物（含文物保护建筑）、古树名木的保护要求及费用承担：</w:t>
      </w:r>
      <w:r>
        <w:rPr>
          <w:rFonts w:hint="eastAsia" w:ascii="宋体" w:hAnsi="宋体"/>
          <w:kern w:val="0"/>
          <w:sz w:val="24"/>
          <w:szCs w:val="24"/>
          <w:highlight w:val="none"/>
          <w:u w:val="single"/>
        </w:rPr>
        <w:t>承包人应按发包人指令或按操作规程做好施工场地周围地下管线和邻近建筑物、构筑物（含文物保护建筑）、古树名木的保护工作，否则，造成的相关罚款、经济损失费用由承包人承担。</w:t>
      </w:r>
    </w:p>
    <w:p w14:paraId="0DCB3088">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（8）施工场地清洁卫生的要求：</w:t>
      </w:r>
      <w:r>
        <w:rPr>
          <w:rFonts w:hint="eastAsia" w:ascii="宋体" w:hAnsi="宋体"/>
          <w:kern w:val="0"/>
          <w:sz w:val="24"/>
          <w:szCs w:val="24"/>
          <w:highlight w:val="none"/>
          <w:u w:val="single"/>
        </w:rPr>
        <w:t>由承包人负责。</w:t>
      </w:r>
    </w:p>
    <w:p w14:paraId="280CEAE5">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（9）双方约定承包人应做的其他工作：</w:t>
      </w:r>
      <w:r>
        <w:rPr>
          <w:rFonts w:hint="eastAsia" w:ascii="宋体" w:hAnsi="宋体"/>
          <w:kern w:val="0"/>
          <w:sz w:val="24"/>
          <w:szCs w:val="24"/>
          <w:highlight w:val="none"/>
          <w:u w:val="single"/>
        </w:rPr>
        <w:t>另行约定。</w:t>
      </w:r>
      <w:r>
        <w:rPr>
          <w:rFonts w:hint="eastAsia" w:ascii="宋体" w:hAnsi="宋体"/>
          <w:color w:val="000000"/>
          <w:sz w:val="24"/>
          <w:szCs w:val="24"/>
          <w:highlight w:val="none"/>
          <w:u w:val="single"/>
        </w:rPr>
        <w:t xml:space="preserve">                                                                                        </w:t>
      </w:r>
    </w:p>
    <w:p w14:paraId="7BC7FB56">
      <w:pPr>
        <w:spacing w:line="400" w:lineRule="exact"/>
        <w:ind w:firstLine="480" w:firstLineChars="200"/>
        <w:outlineLvl w:val="1"/>
        <w:rPr>
          <w:rFonts w:hint="eastAsia" w:ascii="宋体" w:hAnsi="宋体"/>
          <w:color w:val="000000"/>
          <w:sz w:val="24"/>
          <w:szCs w:val="24"/>
          <w:highlight w:val="none"/>
        </w:rPr>
      </w:pPr>
      <w:bookmarkStart w:id="42" w:name="_Toc10650"/>
      <w:bookmarkStart w:id="43" w:name="_Toc27769"/>
      <w:bookmarkStart w:id="44" w:name="_Toc26225"/>
      <w:r>
        <w:rPr>
          <w:rFonts w:hint="eastAsia" w:ascii="宋体" w:hAnsi="宋体"/>
          <w:color w:val="000000"/>
          <w:sz w:val="24"/>
          <w:szCs w:val="24"/>
          <w:highlight w:val="none"/>
        </w:rPr>
        <w:t>三、施工组织设计和工期</w:t>
      </w:r>
      <w:bookmarkEnd w:id="42"/>
      <w:bookmarkEnd w:id="43"/>
      <w:bookmarkEnd w:id="44"/>
    </w:p>
    <w:p w14:paraId="6F8BD08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10、进度计划</w:t>
      </w:r>
    </w:p>
    <w:p w14:paraId="7DBB3E45">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color w:val="000000"/>
          <w:sz w:val="24"/>
          <w:szCs w:val="24"/>
          <w:highlight w:val="none"/>
        </w:rPr>
        <w:t>10.1承包人提供施工组织设计（施工方案）和进度计划的时间：</w:t>
      </w:r>
      <w:r>
        <w:rPr>
          <w:rFonts w:hint="eastAsia" w:ascii="宋体" w:hAnsi="宋体"/>
          <w:color w:val="000000"/>
          <w:kern w:val="0"/>
          <w:sz w:val="24"/>
          <w:szCs w:val="24"/>
          <w:highlight w:val="none"/>
          <w:u w:val="single"/>
        </w:rPr>
        <w:t>开工前，承包人根据地质资料、现场实际情况和发包人的要求，对投标施工组织设计进行完善，并在图纸交底后三日内提供施工组织设计和进度计划。</w:t>
      </w:r>
      <w:r>
        <w:rPr>
          <w:rFonts w:hint="eastAsia" w:ascii="宋体" w:hAnsi="宋体"/>
          <w:color w:val="000000"/>
          <w:sz w:val="24"/>
          <w:szCs w:val="24"/>
          <w:highlight w:val="none"/>
          <w:u w:val="single"/>
        </w:rPr>
        <w:t xml:space="preserve">                                                                        </w:t>
      </w:r>
    </w:p>
    <w:p w14:paraId="6E7425F0">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工程师确认的时间：</w:t>
      </w:r>
      <w:r>
        <w:rPr>
          <w:rFonts w:hint="eastAsia" w:ascii="宋体" w:hAnsi="宋体"/>
          <w:kern w:val="0"/>
          <w:sz w:val="24"/>
          <w:szCs w:val="24"/>
          <w:highlight w:val="none"/>
          <w:u w:val="single"/>
        </w:rPr>
        <w:t>承包人接交之日起七日内。</w:t>
      </w:r>
    </w:p>
    <w:p w14:paraId="6CBF4989">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10.2群体工程中有关进度计划的要求：</w:t>
      </w:r>
      <w:r>
        <w:rPr>
          <w:rFonts w:hint="eastAsia" w:ascii="宋体" w:hAnsi="宋体"/>
          <w:kern w:val="0"/>
          <w:sz w:val="24"/>
          <w:szCs w:val="24"/>
          <w:highlight w:val="none"/>
          <w:u w:val="single"/>
        </w:rPr>
        <w:t>以发包人的要求为准。</w:t>
      </w:r>
      <w:r>
        <w:rPr>
          <w:rFonts w:hint="eastAsia" w:ascii="宋体" w:hAnsi="宋体"/>
          <w:color w:val="000000"/>
          <w:sz w:val="24"/>
          <w:szCs w:val="24"/>
          <w:highlight w:val="none"/>
          <w:u w:val="single"/>
        </w:rPr>
        <w:t xml:space="preserve">                               </w:t>
      </w:r>
    </w:p>
    <w:p w14:paraId="1A134A2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13、工期延误</w:t>
      </w:r>
    </w:p>
    <w:p w14:paraId="7A4E3A42">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13.1双方约定工期顺延的其他情况</w:t>
      </w:r>
    </w:p>
    <w:p w14:paraId="778EB577">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kern w:val="0"/>
          <w:sz w:val="24"/>
          <w:szCs w:val="24"/>
          <w:highlight w:val="none"/>
          <w:u w:val="single"/>
        </w:rPr>
        <w:t>除执行通用条款 13 条外，以及政府政策及特殊规定，突发性的公共、卫生、治安事件；施工中遇到不可预见障碍物</w:t>
      </w:r>
      <w:r>
        <w:rPr>
          <w:rFonts w:hint="eastAsia" w:ascii="宋体" w:hAnsi="宋体"/>
          <w:kern w:val="0"/>
          <w:sz w:val="24"/>
          <w:szCs w:val="24"/>
          <w:highlight w:val="none"/>
          <w:u w:val="single"/>
          <w:lang w:eastAsia="zh-CN"/>
        </w:rPr>
        <w:t>；</w:t>
      </w:r>
      <w:r>
        <w:rPr>
          <w:rFonts w:hint="eastAsia" w:ascii="宋体" w:hAnsi="宋体"/>
          <w:kern w:val="0"/>
          <w:sz w:val="24"/>
          <w:szCs w:val="24"/>
          <w:highlight w:val="none"/>
          <w:u w:val="single"/>
        </w:rPr>
        <w:t xml:space="preserve">周边关系影响施工等。经双方书面确认后，工期顺延。  </w:t>
      </w:r>
      <w:r>
        <w:rPr>
          <w:rFonts w:hint="eastAsia" w:ascii="宋体" w:hAnsi="宋体"/>
          <w:color w:val="000000"/>
          <w:sz w:val="24"/>
          <w:szCs w:val="24"/>
          <w:highlight w:val="none"/>
          <w:u w:val="single"/>
        </w:rPr>
        <w:t xml:space="preserve">                                        </w:t>
      </w:r>
    </w:p>
    <w:p w14:paraId="64B5BEE0">
      <w:pPr>
        <w:spacing w:line="400" w:lineRule="exact"/>
        <w:ind w:firstLine="480" w:firstLineChars="200"/>
        <w:outlineLvl w:val="1"/>
        <w:rPr>
          <w:rFonts w:hint="eastAsia" w:ascii="宋体" w:hAnsi="宋体"/>
          <w:color w:val="000000"/>
          <w:sz w:val="24"/>
          <w:szCs w:val="24"/>
          <w:highlight w:val="none"/>
        </w:rPr>
      </w:pPr>
      <w:bookmarkStart w:id="45" w:name="_Toc9251"/>
      <w:bookmarkStart w:id="46" w:name="_Toc1994"/>
      <w:bookmarkStart w:id="47" w:name="_Toc6244"/>
      <w:r>
        <w:rPr>
          <w:rFonts w:hint="eastAsia" w:ascii="宋体" w:hAnsi="宋体"/>
          <w:color w:val="000000"/>
          <w:sz w:val="24"/>
          <w:szCs w:val="24"/>
          <w:highlight w:val="none"/>
        </w:rPr>
        <w:t>四、质量与验收</w:t>
      </w:r>
      <w:bookmarkEnd w:id="45"/>
      <w:bookmarkEnd w:id="46"/>
      <w:bookmarkEnd w:id="47"/>
    </w:p>
    <w:p w14:paraId="00AEEE9A">
      <w:pPr>
        <w:tabs>
          <w:tab w:val="left" w:pos="0"/>
          <w:tab w:val="left" w:pos="993"/>
          <w:tab w:val="left" w:pos="1134"/>
        </w:tabs>
        <w:adjustRightInd w:val="0"/>
        <w:snapToGrid w:val="0"/>
        <w:spacing w:line="480" w:lineRule="exact"/>
        <w:ind w:firstLine="482"/>
        <w:rPr>
          <w:rFonts w:ascii="宋体" w:hAnsi="宋体"/>
          <w:kern w:val="0"/>
          <w:sz w:val="24"/>
          <w:szCs w:val="24"/>
          <w:highlight w:val="none"/>
        </w:rPr>
      </w:pPr>
      <w:r>
        <w:rPr>
          <w:rFonts w:hint="eastAsia" w:ascii="宋体" w:hAnsi="宋体"/>
          <w:kern w:val="0"/>
          <w:sz w:val="24"/>
          <w:szCs w:val="24"/>
          <w:highlight w:val="none"/>
        </w:rPr>
        <w:t>15、工程质量</w:t>
      </w:r>
    </w:p>
    <w:p w14:paraId="3CCF030B">
      <w:pPr>
        <w:tabs>
          <w:tab w:val="left" w:pos="0"/>
          <w:tab w:val="left" w:pos="993"/>
          <w:tab w:val="left" w:pos="1134"/>
        </w:tabs>
        <w:adjustRightInd w:val="0"/>
        <w:snapToGrid w:val="0"/>
        <w:spacing w:line="48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15.1 符合施工图纸、招标文件和国家行业规范要求的质量标准。</w:t>
      </w:r>
    </w:p>
    <w:p w14:paraId="34E6DB84">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17、隐蔽工程和中间验收 </w:t>
      </w:r>
    </w:p>
    <w:p w14:paraId="52B37815">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17.1双方约定中间验收部位：</w:t>
      </w:r>
      <w:r>
        <w:rPr>
          <w:rFonts w:hint="eastAsia" w:ascii="宋体" w:hAnsi="宋体"/>
          <w:kern w:val="0"/>
          <w:sz w:val="24"/>
          <w:szCs w:val="24"/>
          <w:highlight w:val="none"/>
          <w:u w:val="single"/>
        </w:rPr>
        <w:t>执行《通用条款》17条，除按规定进行正常隐蔽工程验收外，中间验收部位：基础验收、主体验收及竣工验收。</w:t>
      </w:r>
    </w:p>
    <w:p w14:paraId="1B2FCF65">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19、工程试车 </w:t>
      </w:r>
    </w:p>
    <w:p w14:paraId="1602E9D8">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19.5试车费用的承担：</w:t>
      </w:r>
      <w:r>
        <w:rPr>
          <w:rFonts w:hint="eastAsia" w:ascii="宋体" w:hAnsi="宋体"/>
          <w:kern w:val="0"/>
          <w:sz w:val="24"/>
          <w:szCs w:val="24"/>
          <w:highlight w:val="none"/>
          <w:u w:val="single"/>
        </w:rPr>
        <w:t>由承包人承担。</w:t>
      </w:r>
      <w:r>
        <w:rPr>
          <w:rFonts w:hint="eastAsia" w:ascii="宋体" w:hAnsi="宋体"/>
          <w:color w:val="000000"/>
          <w:sz w:val="24"/>
          <w:szCs w:val="24"/>
          <w:highlight w:val="none"/>
          <w:u w:val="single"/>
        </w:rPr>
        <w:t xml:space="preserve">                                                           </w:t>
      </w:r>
    </w:p>
    <w:p w14:paraId="3F588A41">
      <w:pPr>
        <w:spacing w:line="400" w:lineRule="exact"/>
        <w:ind w:firstLine="480" w:firstLineChars="200"/>
        <w:outlineLvl w:val="1"/>
        <w:rPr>
          <w:rFonts w:hint="eastAsia" w:ascii="宋体" w:hAnsi="宋体"/>
          <w:color w:val="000000"/>
          <w:sz w:val="24"/>
          <w:szCs w:val="24"/>
          <w:highlight w:val="none"/>
        </w:rPr>
      </w:pPr>
      <w:bookmarkStart w:id="48" w:name="_Toc5246"/>
      <w:bookmarkStart w:id="49" w:name="_Toc29703"/>
      <w:bookmarkStart w:id="50" w:name="_Toc14664"/>
      <w:r>
        <w:rPr>
          <w:rFonts w:hint="eastAsia" w:ascii="宋体" w:hAnsi="宋体"/>
          <w:color w:val="000000"/>
          <w:sz w:val="24"/>
          <w:szCs w:val="24"/>
          <w:highlight w:val="none"/>
        </w:rPr>
        <w:t>五、安全防护、文明施工</w:t>
      </w:r>
      <w:bookmarkEnd w:id="48"/>
      <w:bookmarkEnd w:id="49"/>
      <w:bookmarkEnd w:id="50"/>
    </w:p>
    <w:p w14:paraId="5D2FB34F">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①承包人严格按陕西省文明工地检查（验收）标准实施，安全施工。承包人按照国家和当地政府有关规定应采取的任何必要的安全防护措施所需价款已包含在发包人支付的合同价款当中，发包人无需另行支付。承包人承担由于自身措施不力造成事故的全部责任和因此发生的全部费用。如因上述原因致使发包人陷入包括但不限于诉讼等形式的纠纷时，承包人应承担发包人为此支付的一切费用（包括但不限于赔偿金、违约金、律师费、诉讼费等）。</w:t>
      </w:r>
    </w:p>
    <w:p w14:paraId="66B2266C">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②安全文明措施费必须专款专用，如发包人检查发现承包人安全文明施工不到位，发包人有权利对施工不到位部分安全文明措施费进行扣除。</w:t>
      </w:r>
    </w:p>
    <w:p w14:paraId="7C07B5A4">
      <w:pPr>
        <w:tabs>
          <w:tab w:val="left" w:pos="0"/>
          <w:tab w:val="left" w:pos="993"/>
          <w:tab w:val="left" w:pos="1134"/>
        </w:tabs>
        <w:adjustRightInd w:val="0"/>
        <w:snapToGrid w:val="0"/>
        <w:spacing w:line="500" w:lineRule="exact"/>
        <w:ind w:firstLine="482"/>
        <w:rPr>
          <w:rFonts w:hint="eastAsia" w:ascii="宋体" w:hAnsi="宋体"/>
          <w:color w:val="000000"/>
          <w:sz w:val="24"/>
          <w:szCs w:val="24"/>
          <w:highlight w:val="none"/>
          <w:u w:val="single"/>
        </w:rPr>
      </w:pPr>
      <w:r>
        <w:rPr>
          <w:rFonts w:hint="eastAsia" w:ascii="宋体" w:hAnsi="宋体"/>
          <w:kern w:val="0"/>
          <w:sz w:val="24"/>
          <w:szCs w:val="24"/>
          <w:highlight w:val="none"/>
          <w:u w:val="single"/>
        </w:rPr>
        <w:t>③安全目标为无死亡事故，工伤频率控制在西安市建筑施工安全管理法规规定的指标要求范围内。若发生工伤事故，有关费用全部由承包人承担，因此给发包人造成损失的， 还应按照发包人的实际损失承担赔偿责任（包括但不限于发包人为此支付的赔偿金、违约金、律师费、诉讼费等）。因承包人未履行本条约定导致的罚款、费用和法律责任均由承包人自行承担。</w:t>
      </w:r>
      <w:r>
        <w:rPr>
          <w:rFonts w:hint="eastAsia" w:ascii="宋体" w:hAnsi="宋体"/>
          <w:color w:val="000000"/>
          <w:sz w:val="24"/>
          <w:szCs w:val="24"/>
          <w:highlight w:val="none"/>
          <w:u w:val="single"/>
        </w:rPr>
        <w:t xml:space="preserve">      </w:t>
      </w:r>
    </w:p>
    <w:p w14:paraId="3895D132">
      <w:pPr>
        <w:spacing w:line="400" w:lineRule="exact"/>
        <w:ind w:firstLine="480" w:firstLineChars="200"/>
        <w:outlineLvl w:val="1"/>
        <w:rPr>
          <w:rFonts w:hint="eastAsia" w:ascii="宋体" w:hAnsi="宋体"/>
          <w:color w:val="000000"/>
          <w:sz w:val="24"/>
          <w:szCs w:val="24"/>
          <w:highlight w:val="none"/>
        </w:rPr>
      </w:pPr>
      <w:bookmarkStart w:id="51" w:name="_Toc20896"/>
      <w:bookmarkStart w:id="52" w:name="_Toc27910"/>
      <w:bookmarkStart w:id="53" w:name="_Toc19865"/>
      <w:r>
        <w:rPr>
          <w:rFonts w:hint="eastAsia" w:ascii="宋体" w:hAnsi="宋体"/>
          <w:color w:val="000000"/>
          <w:sz w:val="24"/>
          <w:szCs w:val="24"/>
          <w:highlight w:val="none"/>
        </w:rPr>
        <w:t>六、合同价款与支付</w:t>
      </w:r>
      <w:bookmarkEnd w:id="51"/>
      <w:bookmarkEnd w:id="52"/>
      <w:bookmarkEnd w:id="53"/>
    </w:p>
    <w:p w14:paraId="650BAF3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26、合同价款约定</w:t>
      </w:r>
    </w:p>
    <w:p w14:paraId="6337DEA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26.2本合同价款采用</w:t>
      </w:r>
      <w:r>
        <w:rPr>
          <w:rFonts w:hint="eastAsia" w:ascii="宋体" w:hAnsi="宋体"/>
          <w:color w:val="000000"/>
          <w:sz w:val="24"/>
          <w:szCs w:val="24"/>
          <w:highlight w:val="none"/>
          <w:u w:val="single"/>
        </w:rPr>
        <w:t xml:space="preserve"> 固定</w:t>
      </w:r>
      <w:r>
        <w:rPr>
          <w:rFonts w:hint="eastAsia"/>
          <w:color w:val="000000"/>
          <w:sz w:val="24"/>
          <w:szCs w:val="24"/>
          <w:highlight w:val="none"/>
          <w:u w:val="single"/>
          <w:lang w:val="en-US" w:eastAsia="zh-CN"/>
        </w:rPr>
        <w:t>总价</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方式确定。</w:t>
      </w:r>
    </w:p>
    <w:p w14:paraId="3201353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27合同价款调整</w:t>
      </w:r>
    </w:p>
    <w:p w14:paraId="096B4CB7">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27.1双方约定合同价款的其他调整因素:</w:t>
      </w:r>
      <w:r>
        <w:rPr>
          <w:rFonts w:hint="eastAsia" w:ascii="宋体" w:hAnsi="宋体"/>
          <w:color w:val="000000"/>
          <w:sz w:val="24"/>
          <w:szCs w:val="24"/>
          <w:highlight w:val="none"/>
          <w:u w:val="single"/>
          <w:lang w:val="en-US" w:eastAsia="zh-CN"/>
        </w:rPr>
        <w:t xml:space="preserve">     /       </w:t>
      </w:r>
      <w:r>
        <w:rPr>
          <w:rFonts w:hint="eastAsia" w:ascii="宋体" w:hAnsi="宋体"/>
          <w:color w:val="000000"/>
          <w:sz w:val="24"/>
          <w:szCs w:val="24"/>
          <w:highlight w:val="none"/>
          <w:u w:val="single"/>
        </w:rPr>
        <w:t xml:space="preserve">                    </w:t>
      </w:r>
    </w:p>
    <w:p w14:paraId="29F04D8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28、工程预付款</w:t>
      </w:r>
    </w:p>
    <w:p w14:paraId="3FEB81F7">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发包人向承包人预付工程款的时间和金额或占合同价款总额的比例：</w:t>
      </w:r>
      <w:r>
        <w:rPr>
          <w:rFonts w:hint="eastAsia" w:ascii="宋体" w:hAnsi="宋体"/>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p>
    <w:p w14:paraId="0388CF2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29、工程量确认</w:t>
      </w:r>
    </w:p>
    <w:p w14:paraId="477DCDCC">
      <w:pPr>
        <w:widowControl/>
        <w:spacing w:line="360" w:lineRule="auto"/>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29.1承包人向工程师提交已完成工程量报告时间：</w:t>
      </w:r>
      <w:r>
        <w:rPr>
          <w:rFonts w:hint="eastAsia" w:ascii="宋体" w:hAnsi="宋体"/>
          <w:kern w:val="0"/>
          <w:sz w:val="24"/>
          <w:szCs w:val="24"/>
          <w:highlight w:val="none"/>
          <w:u w:val="single"/>
        </w:rPr>
        <w:t>每月25日前申报工程量，监理工程师于次月 5 日前审核完毕。工程数量超过招标文件工程量清单数量的部分在工程结算后一并支付。</w:t>
      </w:r>
      <w:r>
        <w:rPr>
          <w:rFonts w:hint="eastAsia" w:ascii="宋体" w:hAnsi="宋体"/>
          <w:color w:val="000000"/>
          <w:sz w:val="24"/>
          <w:szCs w:val="24"/>
          <w:highlight w:val="none"/>
          <w:u w:val="single"/>
        </w:rPr>
        <w:t xml:space="preserve">              </w:t>
      </w:r>
      <w:bookmarkStart w:id="120" w:name="_GoBack"/>
      <w:bookmarkEnd w:id="120"/>
      <w:r>
        <w:rPr>
          <w:rFonts w:hint="eastAsia" w:ascii="宋体" w:hAnsi="宋体"/>
          <w:color w:val="000000"/>
          <w:sz w:val="24"/>
          <w:szCs w:val="24"/>
          <w:highlight w:val="none"/>
          <w:u w:val="single"/>
        </w:rPr>
        <w:t xml:space="preserve">                                                                  </w:t>
      </w:r>
    </w:p>
    <w:p w14:paraId="53A2BD8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30、工程进度款结算与支付</w:t>
      </w:r>
    </w:p>
    <w:p w14:paraId="38E34C2A">
      <w:pPr>
        <w:widowControl/>
        <w:spacing w:line="360" w:lineRule="auto"/>
        <w:ind w:firstLine="480" w:firstLineChars="200"/>
        <w:rPr>
          <w:rFonts w:hint="eastAsia" w:ascii="宋体" w:hAnsi="宋体"/>
          <w:sz w:val="24"/>
          <w:szCs w:val="24"/>
          <w:highlight w:val="none"/>
        </w:rPr>
      </w:pPr>
      <w:r>
        <w:rPr>
          <w:rFonts w:hint="eastAsia" w:ascii="宋体" w:hAnsi="宋体"/>
          <w:color w:val="000000"/>
          <w:sz w:val="24"/>
          <w:szCs w:val="24"/>
          <w:highlight w:val="none"/>
          <w:u w:val="single"/>
          <w:lang w:eastAsia="zh-CN"/>
        </w:rPr>
        <w:t>（</w:t>
      </w:r>
      <w:r>
        <w:rPr>
          <w:rFonts w:hint="eastAsia" w:ascii="宋体" w:hAnsi="宋体"/>
          <w:color w:val="000000"/>
          <w:sz w:val="24"/>
          <w:szCs w:val="24"/>
          <w:highlight w:val="none"/>
          <w:u w:val="single"/>
          <w:lang w:val="en-US" w:eastAsia="zh-CN"/>
        </w:rPr>
        <w:t>1</w:t>
      </w:r>
      <w:r>
        <w:rPr>
          <w:rFonts w:hint="eastAsia" w:ascii="宋体" w:hAnsi="宋体"/>
          <w:color w:val="000000"/>
          <w:sz w:val="24"/>
          <w:szCs w:val="24"/>
          <w:highlight w:val="none"/>
          <w:u w:val="single"/>
          <w:lang w:eastAsia="zh-CN"/>
        </w:rPr>
        <w:t>）</w:t>
      </w:r>
      <w:r>
        <w:rPr>
          <w:rFonts w:hint="eastAsia" w:ascii="宋体" w:hAnsi="宋体"/>
          <w:color w:val="000000"/>
          <w:sz w:val="24"/>
          <w:szCs w:val="24"/>
          <w:highlight w:val="none"/>
          <w:u w:val="single"/>
        </w:rPr>
        <w:t>双方约定的工程进度款支付的方式、时间和比例是：合同签订后，甲方向乙方支付合同价款的</w:t>
      </w:r>
      <w:r>
        <w:rPr>
          <w:rFonts w:hint="eastAsia" w:ascii="宋体" w:hAnsi="宋体"/>
          <w:color w:val="000000"/>
          <w:sz w:val="24"/>
          <w:szCs w:val="24"/>
          <w:highlight w:val="none"/>
          <w:u w:val="single"/>
          <w:lang w:val="en-US" w:eastAsia="zh-CN"/>
        </w:rPr>
        <w:t>40</w:t>
      </w:r>
      <w:r>
        <w:rPr>
          <w:rFonts w:hint="eastAsia" w:ascii="宋体" w:hAnsi="宋体"/>
          <w:color w:val="000000"/>
          <w:sz w:val="24"/>
          <w:szCs w:val="24"/>
          <w:highlight w:val="none"/>
          <w:u w:val="single"/>
        </w:rPr>
        <w:t>%作为预付款</w:t>
      </w:r>
      <w:r>
        <w:rPr>
          <w:rFonts w:hint="eastAsia" w:ascii="宋体" w:hAnsi="宋体"/>
          <w:color w:val="000000"/>
          <w:sz w:val="24"/>
          <w:szCs w:val="24"/>
          <w:highlight w:val="none"/>
          <w:u w:val="single"/>
          <w:lang w:eastAsia="zh-CN"/>
        </w:rPr>
        <w:t>；</w:t>
      </w:r>
      <w:r>
        <w:rPr>
          <w:rFonts w:hint="eastAsia" w:ascii="宋体" w:hAnsi="宋体"/>
          <w:color w:val="000000"/>
          <w:sz w:val="24"/>
          <w:szCs w:val="24"/>
          <w:highlight w:val="none"/>
          <w:u w:val="single"/>
          <w:lang w:val="en-US" w:eastAsia="zh-CN"/>
        </w:rPr>
        <w:t>工程竣工，验收合格后支付合同总价款的85%；审计部门审计完成后，支付至审计结算价款的97%，剩余3%待缺陷责任期满后一次性无息支付</w:t>
      </w:r>
      <w:r>
        <w:rPr>
          <w:rFonts w:hint="eastAsia" w:ascii="宋体" w:hAnsi="宋体"/>
          <w:sz w:val="24"/>
          <w:szCs w:val="24"/>
          <w:highlight w:val="none"/>
        </w:rPr>
        <w:t>。</w:t>
      </w:r>
    </w:p>
    <w:p w14:paraId="29A93AC8">
      <w:pPr>
        <w:widowControl/>
        <w:spacing w:line="360" w:lineRule="auto"/>
        <w:ind w:firstLine="480" w:firstLineChars="200"/>
        <w:rPr>
          <w:rFonts w:hint="eastAsia" w:ascii="宋体" w:hAnsi="宋体"/>
          <w:color w:val="000000"/>
          <w:sz w:val="24"/>
          <w:szCs w:val="24"/>
          <w:highlight w:val="none"/>
          <w:u w:val="single"/>
        </w:rPr>
      </w:pPr>
      <w:r>
        <w:rPr>
          <w:rFonts w:hint="eastAsia" w:ascii="宋体" w:hAnsi="宋体"/>
          <w:sz w:val="24"/>
          <w:szCs w:val="24"/>
          <w:highlight w:val="none"/>
          <w:u w:val="single"/>
        </w:rPr>
        <w:t>（2）发包人每次向承包人付款前，承包人应</w:t>
      </w:r>
      <w:r>
        <w:rPr>
          <w:rFonts w:hint="eastAsia" w:ascii="宋体" w:hAnsi="宋体"/>
          <w:sz w:val="24"/>
          <w:szCs w:val="24"/>
          <w:highlight w:val="none"/>
          <w:u w:val="single"/>
          <w:lang w:val="en-US" w:eastAsia="zh-CN"/>
        </w:rPr>
        <w:t>向</w:t>
      </w:r>
      <w:r>
        <w:rPr>
          <w:rFonts w:hint="eastAsia" w:ascii="宋体" w:hAnsi="宋体"/>
          <w:sz w:val="24"/>
          <w:szCs w:val="24"/>
          <w:highlight w:val="none"/>
          <w:u w:val="single"/>
        </w:rPr>
        <w:t>发包人提供等额增值税</w:t>
      </w:r>
      <w:r>
        <w:rPr>
          <w:rFonts w:hint="eastAsia" w:ascii="宋体" w:hAnsi="宋体"/>
          <w:sz w:val="24"/>
          <w:szCs w:val="24"/>
          <w:highlight w:val="none"/>
          <w:u w:val="single"/>
          <w:lang w:val="en-US" w:eastAsia="zh-CN"/>
        </w:rPr>
        <w:t>专用</w:t>
      </w:r>
      <w:r>
        <w:rPr>
          <w:rFonts w:hint="eastAsia" w:ascii="宋体" w:hAnsi="宋体"/>
          <w:sz w:val="24"/>
          <w:szCs w:val="24"/>
          <w:highlight w:val="none"/>
          <w:u w:val="single"/>
        </w:rPr>
        <w:t>发票及收款收据。</w:t>
      </w:r>
      <w:r>
        <w:rPr>
          <w:rFonts w:hint="eastAsia" w:ascii="宋体" w:hAnsi="宋体"/>
          <w:color w:val="000000"/>
          <w:sz w:val="24"/>
          <w:szCs w:val="24"/>
          <w:highlight w:val="none"/>
          <w:u w:val="single"/>
        </w:rPr>
        <w:t xml:space="preserve">    </w:t>
      </w:r>
    </w:p>
    <w:p w14:paraId="3B853F25">
      <w:pPr>
        <w:spacing w:line="400" w:lineRule="exact"/>
        <w:ind w:firstLine="480" w:firstLineChars="200"/>
        <w:outlineLvl w:val="1"/>
        <w:rPr>
          <w:rFonts w:hint="eastAsia" w:ascii="宋体" w:hAnsi="宋体"/>
          <w:color w:val="000000"/>
          <w:sz w:val="24"/>
          <w:szCs w:val="24"/>
          <w:highlight w:val="none"/>
        </w:rPr>
      </w:pPr>
      <w:bookmarkStart w:id="54" w:name="_Toc31544"/>
      <w:bookmarkStart w:id="55" w:name="_Toc12371"/>
      <w:bookmarkStart w:id="56" w:name="_Toc13307"/>
      <w:r>
        <w:rPr>
          <w:rFonts w:hint="eastAsia" w:ascii="宋体" w:hAnsi="宋体"/>
          <w:color w:val="000000"/>
          <w:sz w:val="24"/>
          <w:szCs w:val="24"/>
          <w:highlight w:val="none"/>
        </w:rPr>
        <w:t>七、材料设备供应</w:t>
      </w:r>
      <w:bookmarkEnd w:id="54"/>
      <w:bookmarkEnd w:id="55"/>
      <w:bookmarkEnd w:id="56"/>
    </w:p>
    <w:p w14:paraId="5E5FE09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32、承包人采购材料设备</w:t>
      </w:r>
    </w:p>
    <w:p w14:paraId="77B15092">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32.1承包人采购材料设备的约定：</w:t>
      </w:r>
    </w:p>
    <w:p w14:paraId="0BCA6AA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由发包人指定价的材料设备须经发包人认质认价后方可采购，同时执行《通用条款》第32条。     </w:t>
      </w:r>
    </w:p>
    <w:p w14:paraId="7FE10D6A">
      <w:pPr>
        <w:spacing w:line="400" w:lineRule="exact"/>
        <w:ind w:firstLine="480" w:firstLineChars="200"/>
        <w:outlineLvl w:val="1"/>
        <w:rPr>
          <w:rFonts w:hint="eastAsia" w:ascii="宋体" w:hAnsi="宋体"/>
          <w:color w:val="000000"/>
          <w:sz w:val="24"/>
          <w:szCs w:val="24"/>
          <w:highlight w:val="none"/>
        </w:rPr>
      </w:pPr>
      <w:bookmarkStart w:id="57" w:name="_Toc6900"/>
      <w:bookmarkStart w:id="58" w:name="_Toc2109"/>
      <w:bookmarkStart w:id="59" w:name="_Toc30907"/>
      <w:r>
        <w:rPr>
          <w:rFonts w:hint="eastAsia" w:ascii="宋体" w:hAnsi="宋体"/>
          <w:color w:val="000000"/>
          <w:sz w:val="24"/>
          <w:szCs w:val="24"/>
          <w:highlight w:val="none"/>
        </w:rPr>
        <w:t>八、工程变更</w:t>
      </w:r>
      <w:bookmarkEnd w:id="57"/>
      <w:bookmarkEnd w:id="58"/>
      <w:bookmarkEnd w:id="59"/>
    </w:p>
    <w:p w14:paraId="6007B0C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33、确定变更价款</w:t>
      </w:r>
    </w:p>
    <w:p w14:paraId="41DE94F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33.1（1）在本工程施工过程中，若发生设计变更，承包人在工程变更确定后14天内，提出变更工程价款的报告，发生的工程量按合同授予时双方确认的综合单价进行结算，措施项目费应按变更后的实际工程量按照投标报价中措施费计取原则重新计算措施费，经监理工程师及发包人确认后，做为结算的依据。</w:t>
      </w:r>
    </w:p>
    <w:p w14:paraId="5BA3328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2）清单中未列项的分部分项工程及新增变更项目发生时，工程量以实际签证量为准。变更合同价款按下列方法进行调整：①合同中已有适用于变更工程的价格，按合同已有的价格变更合同价款；②合同中已有类似于变更工程的价款，参照类似价格变更合同价款；合同中没有适用或类似于工程变更的价格，按投标文件编制投标报价综合单价的原则组价，由承包人提出适当的价格，经工程师确认，按确认的结算单价办理结算。</w:t>
      </w:r>
    </w:p>
    <w:p w14:paraId="2B0D0F1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（3）新增工程量和变更项目的工程量在进度款中一并计算。其余情况执行《通用条款》第八条有关规定。</w:t>
      </w:r>
    </w:p>
    <w:p w14:paraId="21B528B5">
      <w:pPr>
        <w:spacing w:line="400" w:lineRule="exact"/>
        <w:ind w:firstLine="480" w:firstLineChars="200"/>
        <w:outlineLvl w:val="1"/>
        <w:rPr>
          <w:rFonts w:hint="eastAsia" w:ascii="宋体" w:hAnsi="宋体"/>
          <w:color w:val="000000"/>
          <w:sz w:val="24"/>
          <w:szCs w:val="24"/>
          <w:highlight w:val="none"/>
        </w:rPr>
      </w:pPr>
      <w:bookmarkStart w:id="60" w:name="_Toc24840"/>
      <w:bookmarkStart w:id="61" w:name="_Toc3327"/>
      <w:bookmarkStart w:id="62" w:name="_Toc11216"/>
      <w:r>
        <w:rPr>
          <w:rFonts w:hint="eastAsia" w:ascii="宋体" w:hAnsi="宋体"/>
          <w:color w:val="000000"/>
          <w:sz w:val="24"/>
          <w:szCs w:val="24"/>
          <w:highlight w:val="none"/>
        </w:rPr>
        <w:t>九、竣工验收与结算</w:t>
      </w:r>
      <w:bookmarkEnd w:id="60"/>
      <w:bookmarkEnd w:id="61"/>
      <w:bookmarkEnd w:id="62"/>
    </w:p>
    <w:p w14:paraId="45B3323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36、竣工验收</w:t>
      </w:r>
    </w:p>
    <w:p w14:paraId="5BCE386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36.1承包人提供竣工图的约定：</w:t>
      </w:r>
    </w:p>
    <w:p w14:paraId="1546E840">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u w:val="single"/>
        </w:rPr>
        <w:t>竣工验收合格后一个月内，承包人向发包人提供完整的竣工图七套及资料文件七套。电子版文件一份。（可以是非CAD 版本或电子扫描件）</w:t>
      </w:r>
      <w:r>
        <w:rPr>
          <w:rFonts w:hint="eastAsia" w:ascii="宋体" w:hAnsi="宋体"/>
          <w:sz w:val="24"/>
          <w:szCs w:val="24"/>
          <w:highlight w:val="none"/>
        </w:rPr>
        <w:t xml:space="preserve"> </w:t>
      </w:r>
    </w:p>
    <w:p w14:paraId="74EE0684">
      <w:pPr>
        <w:widowControl/>
        <w:spacing w:line="360" w:lineRule="auto"/>
        <w:ind w:firstLine="480" w:firstLineChars="200"/>
        <w:rPr>
          <w:rFonts w:hint="eastAsia" w:ascii="宋体" w:hAnsi="宋体"/>
          <w:color w:val="000000"/>
          <w:sz w:val="24"/>
          <w:szCs w:val="24"/>
          <w:highlight w:val="none"/>
          <w:u w:val="single"/>
        </w:rPr>
      </w:pPr>
      <w:r>
        <w:rPr>
          <w:rFonts w:hint="eastAsia" w:ascii="宋体" w:hAnsi="宋体"/>
          <w:sz w:val="24"/>
          <w:szCs w:val="24"/>
          <w:highlight w:val="none"/>
        </w:rPr>
        <w:t>36.6中间交工工程的范围和竣工时间：</w:t>
      </w:r>
      <w:r>
        <w:rPr>
          <w:rFonts w:hint="eastAsia" w:ascii="宋体" w:hAnsi="宋体"/>
          <w:sz w:val="24"/>
          <w:szCs w:val="24"/>
          <w:highlight w:val="none"/>
          <w:u w:val="single"/>
        </w:rPr>
        <w:t>竣工验收：承包人按设计院施工图纸（含设计变更）施工，协调与管理部门的关系，负责在甲方要求的时间内完成本项目验收备案及手续办理等工作，确保本项目通过管理部门的验收备案。</w:t>
      </w:r>
      <w:r>
        <w:rPr>
          <w:rFonts w:hint="eastAsia" w:ascii="宋体" w:hAnsi="宋体"/>
          <w:color w:val="000000"/>
          <w:sz w:val="24"/>
          <w:szCs w:val="24"/>
          <w:highlight w:val="none"/>
          <w:u w:val="single"/>
        </w:rPr>
        <w:t xml:space="preserve">                             </w:t>
      </w:r>
    </w:p>
    <w:p w14:paraId="3112106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37、竣工结算</w:t>
      </w:r>
    </w:p>
    <w:p w14:paraId="6127125F">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结算审查期限：</w:t>
      </w:r>
    </w:p>
    <w:p w14:paraId="39137B4B">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37.1</w:t>
      </w:r>
      <w:r>
        <w:rPr>
          <w:rFonts w:hint="eastAsia" w:ascii="宋体" w:hAnsi="宋体"/>
          <w:sz w:val="24"/>
          <w:szCs w:val="24"/>
          <w:highlight w:val="none"/>
          <w:u w:val="single"/>
        </w:rPr>
        <w:t>已完工程经验收合格后，承包人应在 30 天内将完整的工程结算资料（含七套竣工图）报送监理单位，监理单位应在 15 日内对所收到的结算资料的完整正确性进行审核无误后报送发包人，发包人在收到结算资料后 60 天内审核完毕，或提出审核意见。承包人应在收到审核意见后 3 日内修改完毕重新报送审核，所需费用承包人自行承担。</w:t>
      </w:r>
    </w:p>
    <w:p w14:paraId="11B11009">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37.2</w:t>
      </w:r>
      <w:r>
        <w:rPr>
          <w:rFonts w:hint="eastAsia" w:ascii="宋体" w:hAnsi="宋体"/>
          <w:sz w:val="24"/>
          <w:szCs w:val="24"/>
          <w:highlight w:val="none"/>
          <w:u w:val="single"/>
        </w:rPr>
        <w:t>承包人在竣工后 30 天内不报送结算资料，延误监理单位、发包人审核时间，造成工程款不能及时支付，责任由承包人自负。</w:t>
      </w:r>
    </w:p>
    <w:p w14:paraId="3902F86F">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rPr>
        <w:t>37.3</w:t>
      </w:r>
      <w:r>
        <w:rPr>
          <w:rFonts w:hint="eastAsia" w:ascii="宋体" w:hAnsi="宋体"/>
          <w:sz w:val="24"/>
          <w:szCs w:val="24"/>
          <w:highlight w:val="none"/>
          <w:u w:val="single"/>
        </w:rPr>
        <w:t>承包人应认真编制工程结算书，不得弄虚作假，结算审核的基本审核费由发包人支付，审核成果费由承包人支付。</w:t>
      </w:r>
    </w:p>
    <w:p w14:paraId="14434FB2">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37.4质量保证</w:t>
      </w:r>
    </w:p>
    <w:p w14:paraId="543ECB47">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(1)保修金：工程竣工结算时，发包人从应付承包人的工程款内，按工程结算总价款的3%作为预留工程保修金。</w:t>
      </w:r>
    </w:p>
    <w:p w14:paraId="2EC2DCFB">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(2)保修金的返还：</w:t>
      </w:r>
    </w:p>
    <w:p w14:paraId="0F717042">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返还约定：发包方应在保修期满后退还。</w:t>
      </w:r>
    </w:p>
    <w:p w14:paraId="63D39A34">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若工程存在质量问题，甲方可推迟支付相应比例的保修款。</w:t>
      </w:r>
    </w:p>
    <w:p w14:paraId="401F4A51">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 xml:space="preserve"> 质量保修金的返还并不免除乙方在保修期内的保修责任。</w:t>
      </w:r>
    </w:p>
    <w:p w14:paraId="68DA3A56">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(3）承包人在工程竣工且验收合格后五天内，应向发包人提交工程质量保修书，质量保修书中应明确工程的保修范围、保修期限和保修责任等，并经发包人同意后与发包人签订保修协议。</w:t>
      </w:r>
    </w:p>
    <w:p w14:paraId="0A875BF3">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(4）保修期：保修期同设计文件规定的该工程合理使用年限，保修期自竣工验收合格、发包人代表在最终验收记录上签字之日算起。</w:t>
      </w:r>
    </w:p>
    <w:p w14:paraId="65C5E27E">
      <w:pPr>
        <w:widowControl/>
        <w:spacing w:line="360" w:lineRule="auto"/>
        <w:ind w:firstLine="480" w:firstLineChars="200"/>
        <w:rPr>
          <w:rFonts w:hint="eastAsia" w:ascii="宋体" w:hAnsi="宋体"/>
          <w:kern w:val="0"/>
          <w:sz w:val="24"/>
          <w:szCs w:val="24"/>
          <w:highlight w:val="none"/>
          <w:u w:val="thick"/>
        </w:rPr>
      </w:pPr>
      <w:r>
        <w:rPr>
          <w:rFonts w:hint="eastAsia" w:ascii="宋体" w:hAnsi="宋体"/>
          <w:sz w:val="24"/>
          <w:szCs w:val="24"/>
          <w:highlight w:val="none"/>
          <w:u w:val="single"/>
        </w:rPr>
        <w:t>(5）保修期内出现工程质量问题，属于保修范围、内容的项目，承包人应当在接到保修通知之日起24小时内派人修理，并保证修理完毕的工程，经验收确认达到合格标准。承包人不在约定期限内派人保修或修理后仍不合格的，发包人可以委托他人修理，由此产生的费用从 保修金中扣除，不足部分由乙方承担。</w:t>
      </w:r>
    </w:p>
    <w:p w14:paraId="01EB3C74">
      <w:pPr>
        <w:spacing w:line="400" w:lineRule="exact"/>
        <w:ind w:firstLine="480" w:firstLineChars="200"/>
        <w:outlineLvl w:val="1"/>
        <w:rPr>
          <w:rFonts w:hint="eastAsia" w:ascii="宋体" w:hAnsi="宋体"/>
          <w:color w:val="000000"/>
          <w:sz w:val="24"/>
          <w:szCs w:val="24"/>
          <w:highlight w:val="none"/>
        </w:rPr>
      </w:pPr>
      <w:bookmarkStart w:id="63" w:name="_Toc8995"/>
      <w:bookmarkStart w:id="64" w:name="_Toc30392"/>
      <w:bookmarkStart w:id="65" w:name="_Toc11123"/>
      <w:r>
        <w:rPr>
          <w:rFonts w:hint="eastAsia" w:ascii="宋体" w:hAnsi="宋体"/>
          <w:color w:val="000000"/>
          <w:sz w:val="24"/>
          <w:szCs w:val="24"/>
          <w:highlight w:val="none"/>
        </w:rPr>
        <w:t>十、违约、索赔和争议</w:t>
      </w:r>
      <w:bookmarkEnd w:id="63"/>
      <w:bookmarkEnd w:id="64"/>
      <w:bookmarkEnd w:id="65"/>
    </w:p>
    <w:p w14:paraId="3C5F623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39、违约</w:t>
      </w:r>
    </w:p>
    <w:p w14:paraId="4D7CD32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39.1且本合同中关于发包人违约的具体责任如下：</w:t>
      </w:r>
    </w:p>
    <w:p w14:paraId="26CFFD0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本合同通用条款第28.1条约定发包人违约应承担的违约责任：</w:t>
      </w:r>
    </w:p>
    <w:p w14:paraId="302BDDED">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参照《通用条款》第28.1条款                                  </w:t>
      </w:r>
    </w:p>
    <w:p w14:paraId="0E1BB59B">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本合同通用条款第30.5款约定发包人违约应承担的违约责任；</w:t>
      </w:r>
    </w:p>
    <w:p w14:paraId="1E6D1F7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参照《通用条款》第30.5条款                                                          </w:t>
      </w:r>
    </w:p>
    <w:p w14:paraId="57A891B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本合同通用条款第37.6款约定发包人违约应承担的违约责任：</w:t>
      </w:r>
    </w:p>
    <w:p w14:paraId="2009541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参照《通用条款》第37.6条款                                                           </w:t>
      </w:r>
    </w:p>
    <w:p w14:paraId="6B561ABB">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双方约定的发包人其他违约责任：</w:t>
      </w:r>
      <w:r>
        <w:rPr>
          <w:rFonts w:hint="eastAsia" w:ascii="宋体" w:hAnsi="宋体"/>
          <w:color w:val="000000"/>
          <w:sz w:val="24"/>
          <w:szCs w:val="24"/>
          <w:highlight w:val="none"/>
          <w:lang w:val="en-US" w:eastAsia="zh-CN"/>
        </w:rPr>
        <w:t>/</w:t>
      </w:r>
      <w:r>
        <w:rPr>
          <w:rFonts w:hint="eastAsia" w:ascii="宋体" w:hAnsi="宋体"/>
          <w:color w:val="000000"/>
          <w:sz w:val="24"/>
          <w:szCs w:val="24"/>
          <w:highlight w:val="none"/>
          <w:u w:val="single"/>
        </w:rPr>
        <w:t xml:space="preserve">                                                                                      </w:t>
      </w:r>
    </w:p>
    <w:p w14:paraId="38BA519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39.2本合同中关于承包人违约的具体责任如下：</w:t>
      </w:r>
    </w:p>
    <w:p w14:paraId="31C18642">
      <w:pPr>
        <w:widowControl/>
        <w:spacing w:line="360" w:lineRule="auto"/>
        <w:ind w:firstLine="480" w:firstLineChars="200"/>
        <w:rPr>
          <w:rFonts w:hint="eastAsia" w:ascii="宋体" w:hAnsi="宋体"/>
          <w:kern w:val="0"/>
          <w:sz w:val="24"/>
          <w:szCs w:val="24"/>
          <w:highlight w:val="none"/>
          <w:u w:val="single"/>
        </w:rPr>
      </w:pPr>
      <w:r>
        <w:rPr>
          <w:rFonts w:hint="eastAsia" w:ascii="宋体" w:hAnsi="宋体"/>
          <w:kern w:val="0"/>
          <w:sz w:val="24"/>
          <w:szCs w:val="24"/>
          <w:highlight w:val="none"/>
        </w:rPr>
        <w:t>本合同通用条款第 14.2 款约定承包人违约承担的违约责任：</w:t>
      </w:r>
      <w:r>
        <w:rPr>
          <w:rFonts w:hint="eastAsia" w:ascii="宋体" w:hAnsi="宋体"/>
          <w:kern w:val="0"/>
          <w:sz w:val="24"/>
          <w:szCs w:val="24"/>
          <w:highlight w:val="none"/>
          <w:u w:val="single"/>
        </w:rPr>
        <w:t>承包人延误工期或违反工程进度/施工组织设计的、或未按甲方要求时间完成本项目验收备案及手续办理等工作的，每逾期一日，承包人向发包人支付</w:t>
      </w:r>
      <w:r>
        <w:rPr>
          <w:rFonts w:hint="eastAsia" w:ascii="宋体" w:hAnsi="宋体"/>
          <w:kern w:val="0"/>
          <w:sz w:val="24"/>
          <w:szCs w:val="24"/>
          <w:highlight w:val="none"/>
          <w:u w:val="single"/>
          <w:lang w:val="en-US" w:eastAsia="zh-CN"/>
        </w:rPr>
        <w:t>1</w:t>
      </w:r>
      <w:r>
        <w:rPr>
          <w:rFonts w:hint="eastAsia" w:ascii="宋体" w:hAnsi="宋体"/>
          <w:kern w:val="0"/>
          <w:sz w:val="24"/>
          <w:szCs w:val="24"/>
          <w:highlight w:val="none"/>
          <w:u w:val="single"/>
        </w:rPr>
        <w:t>000元作为违约金；发包人根据延期情况，发包人经书面通知承包人后，有权解除本合同。承包人支付违约金并不免除完成工程及修补缺陷的义务。发包人有权解除合同，无需诉诸司法机关，同时承包人应承担合同暂定总价款 10%的合同解除违约金，如该违约金不足以弥补因此而给发包人造成的全部损失，承包人还应予以补足。</w:t>
      </w:r>
    </w:p>
    <w:p w14:paraId="6182064D">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rPr>
        <w:t>本合同通用条款第 15.1 款约定承包人违约应承担的违约责任：</w:t>
      </w:r>
      <w:r>
        <w:rPr>
          <w:rFonts w:hint="eastAsia" w:ascii="宋体" w:hAnsi="宋体"/>
          <w:kern w:val="0"/>
          <w:sz w:val="24"/>
          <w:szCs w:val="24"/>
          <w:highlight w:val="none"/>
          <w:u w:val="single"/>
        </w:rPr>
        <w:t>工程质量达不到合格标准，除免费整改至合格外，承包人还应按合同暂定总价的 10%承担违约金，如该违约金不足以弥补因此而给发包人造成的全部损失，承包人还应予以补足。当发包人认为质量问题严重，需要终止合同更换承包人，或承包人未能按发包人要求采取弥补质量缺陷措施时，发包人有权单方解除合同更换承包人，承包人应承担发包人单方解除合同更换承包人而产生的全部费用，并向发包人支付工程质量违约金，工程质量违约金最高限额为合同暂定总价的 10%。如该违约金不能涵盖发包人实际损失，则承包人仍应就实际损失部分承担损害赔偿责任。</w:t>
      </w:r>
    </w:p>
    <w:p w14:paraId="40F55241">
      <w:pPr>
        <w:tabs>
          <w:tab w:val="left" w:pos="0"/>
          <w:tab w:val="left" w:pos="993"/>
          <w:tab w:val="left" w:pos="1134"/>
        </w:tabs>
        <w:adjustRightInd w:val="0"/>
        <w:snapToGrid w:val="0"/>
        <w:spacing w:line="500" w:lineRule="exact"/>
        <w:ind w:firstLine="482"/>
        <w:rPr>
          <w:rFonts w:hint="eastAsia" w:ascii="宋体" w:hAnsi="宋体"/>
          <w:color w:val="000000"/>
          <w:sz w:val="24"/>
          <w:szCs w:val="24"/>
          <w:highlight w:val="none"/>
          <w:u w:val="single"/>
        </w:rPr>
      </w:pPr>
      <w:r>
        <w:rPr>
          <w:rFonts w:hint="eastAsia" w:ascii="宋体" w:hAnsi="宋体"/>
          <w:kern w:val="0"/>
          <w:sz w:val="24"/>
          <w:szCs w:val="24"/>
          <w:highlight w:val="none"/>
        </w:rPr>
        <w:t>双方约定的承包人其他违约责任：</w:t>
      </w:r>
      <w:r>
        <w:rPr>
          <w:rFonts w:hint="eastAsia" w:ascii="宋体" w:hAnsi="宋体"/>
          <w:kern w:val="0"/>
          <w:sz w:val="24"/>
          <w:szCs w:val="24"/>
          <w:highlight w:val="none"/>
          <w:u w:val="single"/>
        </w:rPr>
        <w:t>承包人违法或违反本合同将工程转包的，发包人有权解除本合同，承包人应赔偿因此给发包人造成的一切损失。</w:t>
      </w:r>
    </w:p>
    <w:p w14:paraId="527FBEF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41、争议</w:t>
      </w:r>
    </w:p>
    <w:p w14:paraId="76349C3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41.1双方约定，在履行合同过程中产生争议时：</w:t>
      </w:r>
    </w:p>
    <w:p w14:paraId="5F9FF45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（1）请合同主管部门和造价主管部门调解；</w:t>
      </w:r>
    </w:p>
    <w:p w14:paraId="6D1DDEA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（2）合同争议调解不成的，按下列第 （2） 种方式解决：</w:t>
      </w:r>
    </w:p>
    <w:p w14:paraId="727FC30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1）提交</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仲裁委员会提请仲裁；</w:t>
      </w:r>
    </w:p>
    <w:p w14:paraId="3DD7BE8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2）依法向</w:t>
      </w:r>
      <w:r>
        <w:rPr>
          <w:rFonts w:hint="eastAsia" w:ascii="宋体" w:hAnsi="宋体"/>
          <w:color w:val="000000"/>
          <w:sz w:val="24"/>
          <w:szCs w:val="24"/>
          <w:highlight w:val="none"/>
          <w:u w:val="single"/>
        </w:rPr>
        <w:t xml:space="preserve"> 有管辖权的 </w:t>
      </w:r>
      <w:r>
        <w:rPr>
          <w:rFonts w:hint="eastAsia" w:ascii="宋体" w:hAnsi="宋体"/>
          <w:color w:val="000000"/>
          <w:sz w:val="24"/>
          <w:szCs w:val="24"/>
          <w:highlight w:val="none"/>
        </w:rPr>
        <w:t>人民法院提起诉讼。</w:t>
      </w:r>
    </w:p>
    <w:p w14:paraId="4AF9ECE8">
      <w:pPr>
        <w:spacing w:line="400" w:lineRule="exact"/>
        <w:ind w:firstLine="480" w:firstLineChars="200"/>
        <w:outlineLvl w:val="1"/>
        <w:rPr>
          <w:rFonts w:hint="eastAsia" w:ascii="宋体" w:hAnsi="宋体"/>
          <w:color w:val="000000"/>
          <w:sz w:val="24"/>
          <w:szCs w:val="24"/>
          <w:highlight w:val="none"/>
        </w:rPr>
      </w:pPr>
      <w:bookmarkStart w:id="66" w:name="_Toc20432"/>
      <w:bookmarkStart w:id="67" w:name="_Toc26779"/>
      <w:bookmarkStart w:id="68" w:name="_Toc7984"/>
      <w:r>
        <w:rPr>
          <w:rFonts w:hint="eastAsia" w:ascii="宋体" w:hAnsi="宋体"/>
          <w:color w:val="000000"/>
          <w:sz w:val="24"/>
          <w:szCs w:val="24"/>
          <w:highlight w:val="none"/>
        </w:rPr>
        <w:t>十一、其他</w:t>
      </w:r>
      <w:bookmarkEnd w:id="66"/>
      <w:bookmarkEnd w:id="67"/>
      <w:bookmarkEnd w:id="68"/>
    </w:p>
    <w:p w14:paraId="0EBED7F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43、不可抗力</w:t>
      </w:r>
    </w:p>
    <w:p w14:paraId="5F2C125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43.1双方关于不可抗力的约定：</w:t>
      </w:r>
    </w:p>
    <w:p w14:paraId="0F7F015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执行《通用条款》第43条。                                                              </w:t>
      </w:r>
    </w:p>
    <w:p w14:paraId="3E7AFE03">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44、保险</w:t>
      </w:r>
    </w:p>
    <w:p w14:paraId="4B00138A">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44.6本工程双方约定投保内容如下：</w:t>
      </w:r>
    </w:p>
    <w:p w14:paraId="0FB10D1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（1）发包人投保内容：</w:t>
      </w:r>
    </w:p>
    <w:p w14:paraId="2A30166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本合同44.1  44.2保险费由发包人承担。                                                                               </w:t>
      </w:r>
    </w:p>
    <w:p w14:paraId="06C02E92">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（2）承包人投保内容：</w:t>
      </w:r>
    </w:p>
    <w:p w14:paraId="60E1680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执行《通用条款》44.4条。                                                              </w:t>
      </w:r>
    </w:p>
    <w:p w14:paraId="0BE5F06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50、合同份数</w:t>
      </w:r>
    </w:p>
    <w:p w14:paraId="1869D0C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50.2双方约定合同份数：</w:t>
      </w:r>
    </w:p>
    <w:p w14:paraId="39213D53">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正本贰份，副本捌份；发、承包双方各持正本壹份，副本肆份。                               </w:t>
      </w:r>
    </w:p>
    <w:p w14:paraId="4815164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51、补充条款</w:t>
      </w:r>
    </w:p>
    <w:p w14:paraId="360C3574">
      <w:pPr>
        <w:spacing w:line="360" w:lineRule="auto"/>
        <w:ind w:firstLine="480" w:firstLineChars="200"/>
        <w:rPr>
          <w:rFonts w:hint="eastAsia" w:ascii="宋体" w:hAnsi="宋体"/>
          <w:b/>
          <w:color w:val="000000"/>
          <w:sz w:val="24"/>
          <w:szCs w:val="24"/>
          <w:highlight w:val="none"/>
          <w:u w:val="single"/>
        </w:rPr>
      </w:pPr>
      <w:r>
        <w:rPr>
          <w:rFonts w:hint="eastAsia" w:ascii="宋体" w:hAnsi="宋体"/>
          <w:color w:val="000000"/>
          <w:sz w:val="24"/>
          <w:szCs w:val="24"/>
          <w:highlight w:val="none"/>
          <w:u w:val="single"/>
        </w:rPr>
        <w:t>51.1承包人招聘的农民工工资，当承包人申报当期进度款计划时应一并报发包人，发包人有权监督承包人在支付的当期进度款中发放农民工工资。如承包人未按时发放农民工工资，影响到本工程的施工进度及工程质量，则发包人有权在工程进度款中将承包人所欠的工资额扣除，直接发放给农民工。承包人当月发放完工资后，需将农民工领取后的工资表复印一份加盖公章交发包人备案。农民工工资除按月发放外，其劳务费余下部分应按照劳务分包合同付款办法支付。承包人若未支付，发包人有权在工程款结算期间用其余款支付农民工劳务费。</w:t>
      </w:r>
    </w:p>
    <w:p w14:paraId="3D1C9812">
      <w:pPr>
        <w:spacing w:line="360" w:lineRule="auto"/>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u w:val="single"/>
        </w:rPr>
        <w:t>51.1.1中标人签订合同前必须到当地劳动和社会保障局缴纳农民工工资支付保证金。</w:t>
      </w:r>
    </w:p>
    <w:p w14:paraId="6897E62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51.2本工程竣工后，应免费将施工现场周围和施工单位生活区周围清除干净；无建筑材料、无建筑设备、无建筑垃圾、无坑池渠沟、无掩埋的硬化道路和垃圾，场地整洁。否则发包人不予支付工程款。</w:t>
      </w:r>
    </w:p>
    <w:p w14:paraId="6F716DB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51.3必须达到市级安全文明工地验收标准，严格按安全文明工地，设立专用垃圾场，不得在施工区内任意堆放或乱倒垃圾，定期将建筑垃圾清理外运。</w:t>
      </w:r>
    </w:p>
    <w:p w14:paraId="1F9C6A2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51.4施工过程中，资料和工程进度必须同步。每月发包人管理人员对施工进度和资料进行检查，出现问题限期整改，否则罚款100元人民币。在工程竣工验收前，承包人要按规定将竣工资料交监理工程师验收，由监理工程师出具相应证明后，发包人方可组织验收。</w:t>
      </w:r>
    </w:p>
    <w:p w14:paraId="3E58FB3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51.5安全管理人员必须持证上岗，并负责检查现场和施工人员安全情况，如监理工程师和发包人管理人员发现有不安全因素存在，经指出仍未纠正的每次罚款200元人民币；出现安全事故，施工单位自负。</w:t>
      </w:r>
    </w:p>
    <w:p w14:paraId="29F81B3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51.6现场用电必须按照发包人要求，</w:t>
      </w:r>
      <w:r>
        <w:rPr>
          <w:rFonts w:hint="eastAsia" w:ascii="宋体" w:hAnsi="宋体"/>
          <w:color w:val="000000"/>
          <w:sz w:val="24"/>
          <w:szCs w:val="24"/>
          <w:highlight w:val="none"/>
          <w:u w:val="single"/>
          <w:lang w:val="en-US" w:eastAsia="zh-CN"/>
        </w:rPr>
        <w:t>合规用电或</w:t>
      </w:r>
      <w:r>
        <w:rPr>
          <w:rFonts w:hint="eastAsia" w:ascii="宋体" w:hAnsi="宋体"/>
          <w:color w:val="000000"/>
          <w:sz w:val="24"/>
          <w:szCs w:val="24"/>
          <w:highlight w:val="none"/>
          <w:u w:val="single"/>
        </w:rPr>
        <w:t>采用三相五线制，一机一闸必须带漏电保护。如施工现场出现用电漏电或短路跳闸，造成停电、影响发包人用电，每次罚款1000元。</w:t>
      </w:r>
    </w:p>
    <w:p w14:paraId="477F596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51.7承包单位的到位人员及设备配置必须和投标书施工组织设计所列人员及设备配置相符，否则视为中标人违约。视情节罚款500－2000元。</w:t>
      </w:r>
    </w:p>
    <w:p w14:paraId="64E9C8F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51.8定期检查安全文明施工费支付情况及使用情况，并对照建设工程安全防护、文明施工措施清单作出报表，在每期付款后10日内由甲乙双方签字盖章向西安市建设工程质量安全监督站</w:t>
      </w:r>
      <w:r>
        <w:rPr>
          <w:rFonts w:hint="eastAsia" w:ascii="宋体" w:hAnsi="宋体"/>
          <w:color w:val="000000"/>
          <w:sz w:val="24"/>
          <w:szCs w:val="24"/>
          <w:highlight w:val="none"/>
          <w:u w:val="single"/>
          <w:lang w:eastAsia="zh-CN"/>
        </w:rPr>
        <w:t>蓝田县</w:t>
      </w:r>
      <w:r>
        <w:rPr>
          <w:rFonts w:hint="eastAsia" w:ascii="宋体" w:hAnsi="宋体"/>
          <w:color w:val="000000"/>
          <w:sz w:val="24"/>
          <w:szCs w:val="24"/>
          <w:highlight w:val="none"/>
          <w:u w:val="single"/>
        </w:rPr>
        <w:t>分站汇报。</w:t>
      </w:r>
    </w:p>
    <w:p w14:paraId="31D87636">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51.9承包人负责办理安全文明建筑工地施工期间市容环境卫生责任书，并计入项目费用。</w:t>
      </w:r>
    </w:p>
    <w:p w14:paraId="267D3D1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51.10材料进场时必须附有质量检验合格报告，报监理工程师批准后方可进场。</w:t>
      </w:r>
    </w:p>
    <w:p w14:paraId="644594A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51.11工程竣工后，应及时向甲方提供竣工资料和结算情况，同时书面向甲方提出项目竣工验收申请。</w:t>
      </w:r>
    </w:p>
    <w:p w14:paraId="31C215D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51.12投标文件及其相关文件为合同的附件，具有同等效力。</w:t>
      </w:r>
    </w:p>
    <w:p w14:paraId="07ED88FA">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51.14角钢，松木板，涂料，石膏线等主要建筑材料投标人自行考虑材料价格风险，施工期间材料价格涨浮±5%以内不予调整。涨浮价超过部分执行陕建发[2009]3号文件。</w:t>
      </w:r>
    </w:p>
    <w:p w14:paraId="485C6A2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5</w:t>
      </w:r>
      <w:r>
        <w:rPr>
          <w:rFonts w:hint="eastAsia" w:ascii="宋体" w:hAnsi="宋体"/>
          <w:color w:val="000000"/>
          <w:sz w:val="24"/>
          <w:szCs w:val="24"/>
          <w:highlight w:val="none"/>
          <w:u w:val="single"/>
        </w:rPr>
        <w:t>承包人应及时将自查报告送交监理工程师及发包人驻工地代表复查。监理人员及发包人代表有权令承包人对其工程进行抽样检查、试验。所发生的一切费用由承包人承担，上道工序完成后，必须经发包人、监理验收合格后，方可进行下道工序施工。</w:t>
      </w:r>
    </w:p>
    <w:p w14:paraId="7C86BBB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6</w:t>
      </w:r>
      <w:r>
        <w:rPr>
          <w:rFonts w:hint="eastAsia" w:ascii="宋体" w:hAnsi="宋体"/>
          <w:color w:val="000000"/>
          <w:sz w:val="24"/>
          <w:szCs w:val="24"/>
          <w:highlight w:val="none"/>
          <w:u w:val="single"/>
        </w:rPr>
        <w:t>凡使用不合格材料或施工质量不符合设计要求的，监理人员及发包人工地代表有权责令承包人返工，发包人有权另请第三方返修，其费用从承包人工程费用中扣除。</w:t>
      </w:r>
    </w:p>
    <w:p w14:paraId="7C0DCDBB">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7</w:t>
      </w:r>
      <w:r>
        <w:rPr>
          <w:rFonts w:hint="eastAsia" w:ascii="宋体" w:hAnsi="宋体"/>
          <w:color w:val="000000"/>
          <w:sz w:val="24"/>
          <w:szCs w:val="24"/>
          <w:highlight w:val="none"/>
          <w:u w:val="single"/>
        </w:rPr>
        <w:t>承包人严重违反合同规定，对本工程将会造成或已经造成无法弥补的损失时，监理人员和发包人有权下达停工令，承包人不得拒绝执行，由此发生的费用和工期延长，责任和损失由承包人承担。</w:t>
      </w:r>
    </w:p>
    <w:p w14:paraId="07CE0549">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8</w:t>
      </w:r>
      <w:r>
        <w:rPr>
          <w:rFonts w:hint="eastAsia" w:ascii="宋体" w:hAnsi="宋体"/>
          <w:color w:val="000000"/>
          <w:sz w:val="24"/>
          <w:szCs w:val="24"/>
          <w:highlight w:val="none"/>
          <w:u w:val="single"/>
        </w:rPr>
        <w:t>本工程的各项工序要严格执行国家有关施工规范和工程质量验收评定标准。</w:t>
      </w:r>
    </w:p>
    <w:p w14:paraId="49C5A4C6">
      <w:pPr>
        <w:pStyle w:val="4"/>
        <w:keepNext w:val="0"/>
        <w:keepLines w:val="0"/>
        <w:pageBreakBefore w:val="0"/>
        <w:widowControl/>
        <w:tabs>
          <w:tab w:val="left" w:pos="0"/>
          <w:tab w:val="left" w:pos="900"/>
          <w:tab w:val="left" w:pos="1000"/>
        </w:tabs>
        <w:wordWrap/>
        <w:topLinePunct w:val="0"/>
        <w:bidi w:val="0"/>
        <w:adjustRightInd w:val="0"/>
        <w:snapToGrid w:val="0"/>
        <w:spacing w:after="0" w:afterLines="0" w:line="360" w:lineRule="auto"/>
        <w:ind w:left="0" w:leftChars="0" w:firstLine="480" w:firstLineChars="200"/>
        <w:textAlignment w:val="auto"/>
        <w:rPr>
          <w:rFonts w:hint="eastAsia" w:ascii="宋体" w:hAnsi="宋体"/>
          <w:kern w:val="0"/>
          <w:sz w:val="24"/>
          <w:szCs w:val="24"/>
        </w:rPr>
      </w:pPr>
      <w:r>
        <w:rPr>
          <w:rFonts w:hint="eastAsia" w:ascii="宋体" w:hAnsi="宋体"/>
          <w:color w:val="000000"/>
          <w:sz w:val="24"/>
          <w:szCs w:val="24"/>
          <w:highlight w:val="none"/>
          <w:u w:val="single"/>
        </w:rPr>
        <w:t>51.</w:t>
      </w:r>
      <w:r>
        <w:rPr>
          <w:rFonts w:hint="eastAsia" w:ascii="宋体" w:hAnsi="宋体"/>
          <w:color w:val="000000"/>
          <w:sz w:val="24"/>
          <w:szCs w:val="24"/>
          <w:highlight w:val="none"/>
          <w:u w:val="single"/>
          <w:lang w:val="en-US" w:eastAsia="zh-CN"/>
        </w:rPr>
        <w:t>19</w:t>
      </w:r>
      <w:r>
        <w:rPr>
          <w:rFonts w:hint="eastAsia" w:ascii="宋体" w:hAnsi="宋体"/>
          <w:color w:val="000000"/>
          <w:sz w:val="24"/>
          <w:szCs w:val="24"/>
          <w:highlight w:val="none"/>
          <w:u w:val="single"/>
        </w:rPr>
        <w:t>承包人在施工过程中，如发生质量事故，应及时报告监理和发包人，一般的质量事故处理报送监理、发包人备案，重大的质量事故处理应经发包人、监理、设计单位、质检部门共同研究处理方案，并经设计单位签字认可后，承包人方可实施，其经济损失和工期延误，均由承包人承担。</w:t>
      </w:r>
      <w:r>
        <w:rPr>
          <w:rFonts w:hint="eastAsia" w:ascii="宋体" w:hAnsi="宋体"/>
          <w:kern w:val="0"/>
          <w:sz w:val="24"/>
          <w:szCs w:val="24"/>
        </w:rPr>
        <w:br w:type="textWrapping"/>
      </w:r>
    </w:p>
    <w:p w14:paraId="7B436957">
      <w:pPr>
        <w:rPr>
          <w:rFonts w:hint="eastAsia" w:ascii="宋体" w:hAnsi="宋体"/>
          <w:color w:val="000000"/>
          <w:sz w:val="24"/>
          <w:szCs w:val="24"/>
          <w:highlight w:val="none"/>
        </w:rPr>
      </w:pPr>
    </w:p>
    <w:p w14:paraId="6F27D4DB">
      <w:pPr>
        <w:rPr>
          <w:rFonts w:hint="eastAsia" w:ascii="宋体" w:hAnsi="宋体"/>
          <w:color w:val="000000"/>
          <w:sz w:val="24"/>
          <w:szCs w:val="24"/>
          <w:highlight w:val="none"/>
        </w:rPr>
      </w:pPr>
    </w:p>
    <w:p w14:paraId="1FB82AD7">
      <w:pPr>
        <w:rPr>
          <w:rFonts w:hint="eastAsia" w:ascii="宋体" w:hAnsi="宋体"/>
          <w:color w:val="000000"/>
          <w:sz w:val="24"/>
          <w:szCs w:val="24"/>
          <w:highlight w:val="none"/>
        </w:rPr>
      </w:pPr>
    </w:p>
    <w:p w14:paraId="284174A2">
      <w:pPr>
        <w:rPr>
          <w:rFonts w:hint="eastAsia" w:ascii="宋体" w:hAnsi="宋体"/>
          <w:color w:val="000000"/>
          <w:sz w:val="24"/>
          <w:szCs w:val="24"/>
          <w:highlight w:val="none"/>
        </w:rPr>
      </w:pPr>
    </w:p>
    <w:p w14:paraId="3A01AAF9">
      <w:pPr>
        <w:rPr>
          <w:rFonts w:hint="eastAsia" w:ascii="宋体" w:hAnsi="宋体"/>
          <w:color w:val="000000"/>
          <w:sz w:val="24"/>
          <w:szCs w:val="24"/>
          <w:highlight w:val="none"/>
        </w:rPr>
      </w:pPr>
    </w:p>
    <w:p w14:paraId="356B3B11">
      <w:pPr>
        <w:pStyle w:val="15"/>
        <w:rPr>
          <w:rFonts w:hint="eastAsia" w:ascii="宋体" w:hAnsi="宋体"/>
          <w:color w:val="000000"/>
          <w:sz w:val="24"/>
          <w:szCs w:val="24"/>
          <w:highlight w:val="none"/>
        </w:rPr>
      </w:pPr>
    </w:p>
    <w:p w14:paraId="5A58D692">
      <w:pPr>
        <w:pStyle w:val="15"/>
        <w:rPr>
          <w:rFonts w:hint="eastAsia" w:ascii="宋体" w:hAnsi="宋体"/>
          <w:color w:val="000000"/>
          <w:sz w:val="24"/>
          <w:szCs w:val="24"/>
          <w:highlight w:val="none"/>
        </w:rPr>
      </w:pPr>
    </w:p>
    <w:p w14:paraId="5730D126">
      <w:pPr>
        <w:pStyle w:val="15"/>
        <w:rPr>
          <w:rFonts w:hint="eastAsia" w:ascii="宋体" w:hAnsi="宋体"/>
          <w:color w:val="000000"/>
          <w:sz w:val="24"/>
          <w:szCs w:val="24"/>
          <w:highlight w:val="none"/>
        </w:rPr>
      </w:pPr>
    </w:p>
    <w:p w14:paraId="0F4A657B">
      <w:pPr>
        <w:pStyle w:val="15"/>
        <w:rPr>
          <w:rFonts w:hint="eastAsia" w:ascii="宋体" w:hAnsi="宋体"/>
          <w:color w:val="000000"/>
          <w:sz w:val="24"/>
          <w:szCs w:val="24"/>
          <w:highlight w:val="none"/>
        </w:rPr>
      </w:pPr>
    </w:p>
    <w:p w14:paraId="64E18E30">
      <w:pPr>
        <w:pStyle w:val="15"/>
        <w:rPr>
          <w:rFonts w:hint="eastAsia" w:ascii="宋体" w:hAnsi="宋体"/>
          <w:color w:val="000000"/>
          <w:sz w:val="24"/>
          <w:szCs w:val="24"/>
          <w:highlight w:val="none"/>
        </w:rPr>
      </w:pPr>
    </w:p>
    <w:p w14:paraId="6701CFF1">
      <w:pPr>
        <w:pStyle w:val="15"/>
        <w:rPr>
          <w:rFonts w:hint="eastAsia" w:ascii="宋体" w:hAnsi="宋体"/>
          <w:color w:val="000000"/>
          <w:sz w:val="24"/>
          <w:szCs w:val="24"/>
          <w:highlight w:val="none"/>
        </w:rPr>
      </w:pPr>
    </w:p>
    <w:p w14:paraId="000858F1">
      <w:pPr>
        <w:pStyle w:val="15"/>
        <w:rPr>
          <w:rFonts w:hint="eastAsia" w:ascii="宋体" w:hAnsi="宋体"/>
          <w:color w:val="000000"/>
          <w:sz w:val="24"/>
          <w:szCs w:val="24"/>
          <w:highlight w:val="none"/>
        </w:rPr>
      </w:pPr>
    </w:p>
    <w:p w14:paraId="0F0A6F4F">
      <w:pPr>
        <w:pStyle w:val="15"/>
        <w:rPr>
          <w:rFonts w:hint="eastAsia" w:ascii="宋体" w:hAnsi="宋体"/>
          <w:color w:val="000000"/>
          <w:sz w:val="24"/>
          <w:szCs w:val="24"/>
          <w:highlight w:val="none"/>
        </w:rPr>
      </w:pPr>
    </w:p>
    <w:p w14:paraId="4D64537D">
      <w:pPr>
        <w:pStyle w:val="15"/>
        <w:rPr>
          <w:rFonts w:hint="eastAsia" w:ascii="宋体" w:hAnsi="宋体"/>
          <w:color w:val="000000"/>
          <w:sz w:val="24"/>
          <w:szCs w:val="24"/>
          <w:highlight w:val="none"/>
        </w:rPr>
      </w:pPr>
    </w:p>
    <w:p w14:paraId="358479D2">
      <w:pPr>
        <w:pStyle w:val="15"/>
        <w:rPr>
          <w:rFonts w:hint="eastAsia" w:ascii="宋体" w:hAnsi="宋体"/>
          <w:color w:val="000000"/>
          <w:sz w:val="24"/>
          <w:szCs w:val="24"/>
          <w:highlight w:val="none"/>
        </w:rPr>
      </w:pPr>
    </w:p>
    <w:p w14:paraId="7505CF12">
      <w:pPr>
        <w:pStyle w:val="15"/>
        <w:rPr>
          <w:rFonts w:hint="eastAsia" w:ascii="宋体" w:hAnsi="宋体"/>
          <w:color w:val="000000"/>
          <w:sz w:val="24"/>
          <w:szCs w:val="24"/>
          <w:highlight w:val="none"/>
        </w:rPr>
      </w:pPr>
    </w:p>
    <w:p w14:paraId="4473CF02">
      <w:pPr>
        <w:pStyle w:val="15"/>
        <w:rPr>
          <w:rFonts w:hint="eastAsia" w:ascii="宋体" w:hAnsi="宋体"/>
          <w:color w:val="000000"/>
          <w:sz w:val="24"/>
          <w:szCs w:val="24"/>
          <w:highlight w:val="none"/>
        </w:rPr>
      </w:pPr>
    </w:p>
    <w:p w14:paraId="0CC320B6">
      <w:pPr>
        <w:pStyle w:val="15"/>
        <w:rPr>
          <w:rFonts w:hint="eastAsia" w:ascii="宋体" w:hAnsi="宋体"/>
          <w:color w:val="000000"/>
          <w:sz w:val="24"/>
          <w:szCs w:val="24"/>
          <w:highlight w:val="none"/>
        </w:rPr>
      </w:pPr>
    </w:p>
    <w:p w14:paraId="7085592C">
      <w:pPr>
        <w:pStyle w:val="15"/>
        <w:rPr>
          <w:rFonts w:hint="eastAsia" w:ascii="宋体" w:hAnsi="宋体"/>
          <w:color w:val="000000"/>
          <w:sz w:val="24"/>
          <w:szCs w:val="24"/>
          <w:highlight w:val="none"/>
        </w:rPr>
      </w:pPr>
    </w:p>
    <w:p w14:paraId="442FE09C">
      <w:pPr>
        <w:pStyle w:val="15"/>
        <w:rPr>
          <w:rFonts w:hint="eastAsia" w:ascii="宋体" w:hAnsi="宋体"/>
          <w:color w:val="000000"/>
          <w:sz w:val="24"/>
          <w:szCs w:val="24"/>
          <w:highlight w:val="none"/>
        </w:rPr>
      </w:pPr>
    </w:p>
    <w:p w14:paraId="0917670A">
      <w:pPr>
        <w:pStyle w:val="15"/>
        <w:rPr>
          <w:rFonts w:hint="eastAsia" w:ascii="宋体" w:hAnsi="宋体"/>
          <w:color w:val="000000"/>
          <w:sz w:val="24"/>
          <w:szCs w:val="24"/>
          <w:highlight w:val="none"/>
        </w:rPr>
      </w:pPr>
    </w:p>
    <w:p w14:paraId="5F176C81">
      <w:pPr>
        <w:ind w:left="0" w:leftChars="0" w:firstLine="0" w:firstLineChars="0"/>
        <w:rPr>
          <w:rFonts w:hint="eastAsia" w:ascii="宋体" w:hAnsi="宋体"/>
          <w:color w:val="000000"/>
          <w:sz w:val="24"/>
          <w:szCs w:val="24"/>
          <w:highlight w:val="none"/>
        </w:rPr>
      </w:pPr>
    </w:p>
    <w:p w14:paraId="759D8247">
      <w:pPr>
        <w:ind w:left="0" w:leftChars="0" w:firstLine="0" w:firstLineChars="0"/>
        <w:rPr>
          <w:rFonts w:hint="eastAsia" w:ascii="宋体" w:hAnsi="宋体"/>
          <w:color w:val="000000"/>
          <w:sz w:val="24"/>
          <w:szCs w:val="24"/>
          <w:highlight w:val="none"/>
        </w:rPr>
      </w:pPr>
    </w:p>
    <w:p w14:paraId="3320C876">
      <w:pPr>
        <w:ind w:left="0" w:leftChars="0" w:firstLine="0" w:firstLineChars="0"/>
        <w:rPr>
          <w:rFonts w:hint="eastAsia" w:ascii="宋体" w:hAnsi="宋体"/>
          <w:color w:val="000000"/>
          <w:sz w:val="24"/>
          <w:szCs w:val="24"/>
          <w:highlight w:val="none"/>
        </w:rPr>
      </w:pPr>
    </w:p>
    <w:p w14:paraId="494AD72C">
      <w:pPr>
        <w:ind w:left="0" w:leftChars="0" w:firstLine="0" w:firstLineChars="0"/>
        <w:outlineLvl w:val="1"/>
        <w:rPr>
          <w:rFonts w:hint="eastAsia" w:ascii="宋体" w:hAnsi="宋体" w:eastAsia="宋体" w:cs="Times New Roman"/>
          <w:color w:val="000000"/>
          <w:sz w:val="24"/>
          <w:szCs w:val="24"/>
          <w:highlight w:val="none"/>
        </w:rPr>
      </w:pPr>
      <w:bookmarkStart w:id="69" w:name="_Toc17630"/>
      <w:bookmarkStart w:id="70" w:name="_Toc10578"/>
      <w:bookmarkStart w:id="71" w:name="_Toc10111"/>
      <w:r>
        <w:rPr>
          <w:rFonts w:hint="eastAsia" w:ascii="宋体" w:hAnsi="宋体"/>
          <w:color w:val="000000"/>
          <w:sz w:val="24"/>
          <w:szCs w:val="24"/>
          <w:highlight w:val="none"/>
        </w:rPr>
        <w:t>附件1：</w:t>
      </w:r>
      <w:r>
        <w:rPr>
          <w:rFonts w:hint="eastAsia" w:ascii="宋体" w:hAnsi="宋体" w:eastAsia="宋体" w:cs="Times New Roman"/>
          <w:color w:val="000000"/>
          <w:sz w:val="24"/>
          <w:szCs w:val="24"/>
          <w:highlight w:val="none"/>
        </w:rPr>
        <w:t>承包人承揽项目一览表</w:t>
      </w:r>
      <w:bookmarkEnd w:id="69"/>
      <w:bookmarkEnd w:id="70"/>
      <w:bookmarkEnd w:id="71"/>
    </w:p>
    <w:p w14:paraId="747E41CE">
      <w:pPr>
        <w:ind w:firstLine="480" w:firstLineChars="200"/>
        <w:rPr>
          <w:rFonts w:hint="eastAsia" w:ascii="宋体" w:hAnsi="宋体"/>
          <w:color w:val="000000"/>
          <w:sz w:val="24"/>
          <w:szCs w:val="24"/>
          <w:highlight w:val="none"/>
        </w:rPr>
      </w:pPr>
    </w:p>
    <w:tbl>
      <w:tblPr>
        <w:tblStyle w:val="9"/>
        <w:tblW w:w="93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1332"/>
        <w:gridCol w:w="1440"/>
        <w:gridCol w:w="720"/>
        <w:gridCol w:w="1620"/>
        <w:gridCol w:w="1260"/>
        <w:gridCol w:w="1080"/>
        <w:gridCol w:w="823"/>
      </w:tblGrid>
      <w:tr w14:paraId="5536D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1093" w:type="dxa"/>
            <w:noWrap w:val="0"/>
            <w:vAlign w:val="center"/>
          </w:tcPr>
          <w:p w14:paraId="2D410326">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单位工程名称</w:t>
            </w:r>
          </w:p>
        </w:tc>
        <w:tc>
          <w:tcPr>
            <w:tcW w:w="1332" w:type="dxa"/>
            <w:noWrap w:val="0"/>
            <w:vAlign w:val="center"/>
          </w:tcPr>
          <w:p w14:paraId="7E42B299">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建设规模</w:t>
            </w:r>
          </w:p>
        </w:tc>
        <w:tc>
          <w:tcPr>
            <w:tcW w:w="1440" w:type="dxa"/>
            <w:noWrap w:val="0"/>
            <w:vAlign w:val="center"/>
          </w:tcPr>
          <w:p w14:paraId="4776A12E">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建筑面积（平方米）</w:t>
            </w:r>
          </w:p>
        </w:tc>
        <w:tc>
          <w:tcPr>
            <w:tcW w:w="720" w:type="dxa"/>
            <w:noWrap w:val="0"/>
            <w:vAlign w:val="center"/>
          </w:tcPr>
          <w:p w14:paraId="70BA95EE">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结构</w:t>
            </w:r>
          </w:p>
        </w:tc>
        <w:tc>
          <w:tcPr>
            <w:tcW w:w="1620" w:type="dxa"/>
            <w:noWrap w:val="0"/>
            <w:vAlign w:val="center"/>
          </w:tcPr>
          <w:p w14:paraId="39BDFE69">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设备安装</w:t>
            </w:r>
          </w:p>
          <w:p w14:paraId="53D9EF93">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内容</w:t>
            </w:r>
          </w:p>
        </w:tc>
        <w:tc>
          <w:tcPr>
            <w:tcW w:w="1260" w:type="dxa"/>
            <w:noWrap w:val="0"/>
            <w:vAlign w:val="center"/>
          </w:tcPr>
          <w:p w14:paraId="29AAD0B9">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工程造价</w:t>
            </w:r>
          </w:p>
          <w:p w14:paraId="1DDC8B5A">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（元）</w:t>
            </w:r>
          </w:p>
        </w:tc>
        <w:tc>
          <w:tcPr>
            <w:tcW w:w="1080" w:type="dxa"/>
            <w:noWrap w:val="0"/>
            <w:vAlign w:val="center"/>
          </w:tcPr>
          <w:p w14:paraId="066E3602">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开工</w:t>
            </w:r>
          </w:p>
          <w:p w14:paraId="1E163D76">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日期</w:t>
            </w:r>
          </w:p>
        </w:tc>
        <w:tc>
          <w:tcPr>
            <w:tcW w:w="823" w:type="dxa"/>
            <w:noWrap w:val="0"/>
            <w:vAlign w:val="center"/>
          </w:tcPr>
          <w:p w14:paraId="02CF6665">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竣工</w:t>
            </w:r>
          </w:p>
          <w:p w14:paraId="10DE86E2">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日期</w:t>
            </w:r>
          </w:p>
        </w:tc>
      </w:tr>
      <w:tr w14:paraId="256A6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1F198023">
            <w:pPr>
              <w:ind w:firstLine="480" w:firstLineChars="200"/>
              <w:rPr>
                <w:rFonts w:hint="eastAsia" w:ascii="宋体" w:hAnsi="宋体"/>
                <w:color w:val="000000"/>
                <w:sz w:val="24"/>
                <w:szCs w:val="24"/>
                <w:highlight w:val="none"/>
              </w:rPr>
            </w:pPr>
          </w:p>
        </w:tc>
        <w:tc>
          <w:tcPr>
            <w:tcW w:w="1332" w:type="dxa"/>
            <w:noWrap w:val="0"/>
            <w:vAlign w:val="top"/>
          </w:tcPr>
          <w:p w14:paraId="0DA6F13E">
            <w:pPr>
              <w:ind w:firstLine="480" w:firstLineChars="200"/>
              <w:rPr>
                <w:rFonts w:hint="eastAsia" w:ascii="宋体" w:hAnsi="宋体"/>
                <w:color w:val="000000"/>
                <w:sz w:val="24"/>
                <w:szCs w:val="24"/>
                <w:highlight w:val="none"/>
              </w:rPr>
            </w:pPr>
          </w:p>
        </w:tc>
        <w:tc>
          <w:tcPr>
            <w:tcW w:w="1440" w:type="dxa"/>
            <w:noWrap w:val="0"/>
            <w:vAlign w:val="top"/>
          </w:tcPr>
          <w:p w14:paraId="778A1E69">
            <w:pPr>
              <w:ind w:firstLine="480" w:firstLineChars="200"/>
              <w:rPr>
                <w:rFonts w:hint="eastAsia" w:ascii="宋体" w:hAnsi="宋体"/>
                <w:color w:val="000000"/>
                <w:sz w:val="24"/>
                <w:szCs w:val="24"/>
                <w:highlight w:val="none"/>
              </w:rPr>
            </w:pPr>
          </w:p>
        </w:tc>
        <w:tc>
          <w:tcPr>
            <w:tcW w:w="720" w:type="dxa"/>
            <w:noWrap w:val="0"/>
            <w:vAlign w:val="top"/>
          </w:tcPr>
          <w:p w14:paraId="1ADF7EC5">
            <w:pPr>
              <w:ind w:firstLine="480" w:firstLineChars="200"/>
              <w:rPr>
                <w:rFonts w:hint="eastAsia" w:ascii="宋体" w:hAnsi="宋体"/>
                <w:color w:val="000000"/>
                <w:sz w:val="24"/>
                <w:szCs w:val="24"/>
                <w:highlight w:val="none"/>
              </w:rPr>
            </w:pPr>
          </w:p>
        </w:tc>
        <w:tc>
          <w:tcPr>
            <w:tcW w:w="1620" w:type="dxa"/>
            <w:noWrap w:val="0"/>
            <w:vAlign w:val="top"/>
          </w:tcPr>
          <w:p w14:paraId="62EEC175">
            <w:pPr>
              <w:ind w:firstLine="480" w:firstLineChars="200"/>
              <w:rPr>
                <w:rFonts w:hint="eastAsia" w:ascii="宋体" w:hAnsi="宋体"/>
                <w:color w:val="000000"/>
                <w:sz w:val="24"/>
                <w:szCs w:val="24"/>
                <w:highlight w:val="none"/>
              </w:rPr>
            </w:pPr>
          </w:p>
        </w:tc>
        <w:tc>
          <w:tcPr>
            <w:tcW w:w="1260" w:type="dxa"/>
            <w:noWrap w:val="0"/>
            <w:vAlign w:val="top"/>
          </w:tcPr>
          <w:p w14:paraId="72DF8B6F">
            <w:pPr>
              <w:ind w:firstLine="480" w:firstLineChars="200"/>
              <w:rPr>
                <w:rFonts w:hint="eastAsia" w:ascii="宋体" w:hAnsi="宋体"/>
                <w:color w:val="000000"/>
                <w:sz w:val="24"/>
                <w:szCs w:val="24"/>
                <w:highlight w:val="none"/>
              </w:rPr>
            </w:pPr>
          </w:p>
        </w:tc>
        <w:tc>
          <w:tcPr>
            <w:tcW w:w="1080" w:type="dxa"/>
            <w:noWrap w:val="0"/>
            <w:vAlign w:val="top"/>
          </w:tcPr>
          <w:p w14:paraId="41D66CF1">
            <w:pPr>
              <w:ind w:firstLine="480" w:firstLineChars="200"/>
              <w:rPr>
                <w:rFonts w:hint="eastAsia" w:ascii="宋体" w:hAnsi="宋体"/>
                <w:color w:val="000000"/>
                <w:sz w:val="24"/>
                <w:szCs w:val="24"/>
                <w:highlight w:val="none"/>
              </w:rPr>
            </w:pPr>
          </w:p>
        </w:tc>
        <w:tc>
          <w:tcPr>
            <w:tcW w:w="823" w:type="dxa"/>
            <w:noWrap w:val="0"/>
            <w:vAlign w:val="top"/>
          </w:tcPr>
          <w:p w14:paraId="77A2D216">
            <w:pPr>
              <w:ind w:firstLine="480" w:firstLineChars="200"/>
              <w:rPr>
                <w:rFonts w:hint="eastAsia" w:ascii="宋体" w:hAnsi="宋体"/>
                <w:color w:val="000000"/>
                <w:sz w:val="24"/>
                <w:szCs w:val="24"/>
                <w:highlight w:val="none"/>
              </w:rPr>
            </w:pPr>
          </w:p>
        </w:tc>
      </w:tr>
      <w:tr w14:paraId="03FFC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428E4BDA">
            <w:pPr>
              <w:ind w:firstLine="480" w:firstLineChars="200"/>
              <w:rPr>
                <w:rFonts w:hint="eastAsia" w:ascii="宋体" w:hAnsi="宋体"/>
                <w:color w:val="000000"/>
                <w:sz w:val="24"/>
                <w:szCs w:val="24"/>
                <w:highlight w:val="none"/>
              </w:rPr>
            </w:pPr>
          </w:p>
        </w:tc>
        <w:tc>
          <w:tcPr>
            <w:tcW w:w="1332" w:type="dxa"/>
            <w:noWrap w:val="0"/>
            <w:vAlign w:val="top"/>
          </w:tcPr>
          <w:p w14:paraId="20CC9C08">
            <w:pPr>
              <w:ind w:firstLine="480" w:firstLineChars="200"/>
              <w:rPr>
                <w:rFonts w:hint="eastAsia" w:ascii="宋体" w:hAnsi="宋体"/>
                <w:color w:val="000000"/>
                <w:sz w:val="24"/>
                <w:szCs w:val="24"/>
                <w:highlight w:val="none"/>
              </w:rPr>
            </w:pPr>
          </w:p>
        </w:tc>
        <w:tc>
          <w:tcPr>
            <w:tcW w:w="1440" w:type="dxa"/>
            <w:noWrap w:val="0"/>
            <w:vAlign w:val="top"/>
          </w:tcPr>
          <w:p w14:paraId="39FFAA8F">
            <w:pPr>
              <w:ind w:firstLine="480" w:firstLineChars="200"/>
              <w:rPr>
                <w:rFonts w:hint="eastAsia" w:ascii="宋体" w:hAnsi="宋体"/>
                <w:color w:val="000000"/>
                <w:sz w:val="24"/>
                <w:szCs w:val="24"/>
                <w:highlight w:val="none"/>
              </w:rPr>
            </w:pPr>
          </w:p>
        </w:tc>
        <w:tc>
          <w:tcPr>
            <w:tcW w:w="720" w:type="dxa"/>
            <w:noWrap w:val="0"/>
            <w:vAlign w:val="top"/>
          </w:tcPr>
          <w:p w14:paraId="5229C48E">
            <w:pPr>
              <w:ind w:firstLine="480" w:firstLineChars="200"/>
              <w:rPr>
                <w:rFonts w:hint="eastAsia" w:ascii="宋体" w:hAnsi="宋体"/>
                <w:color w:val="000000"/>
                <w:sz w:val="24"/>
                <w:szCs w:val="24"/>
                <w:highlight w:val="none"/>
              </w:rPr>
            </w:pPr>
          </w:p>
        </w:tc>
        <w:tc>
          <w:tcPr>
            <w:tcW w:w="1620" w:type="dxa"/>
            <w:noWrap w:val="0"/>
            <w:vAlign w:val="top"/>
          </w:tcPr>
          <w:p w14:paraId="511B513A">
            <w:pPr>
              <w:ind w:firstLine="480" w:firstLineChars="200"/>
              <w:rPr>
                <w:rFonts w:hint="eastAsia" w:ascii="宋体" w:hAnsi="宋体"/>
                <w:color w:val="000000"/>
                <w:sz w:val="24"/>
                <w:szCs w:val="24"/>
                <w:highlight w:val="none"/>
              </w:rPr>
            </w:pPr>
          </w:p>
        </w:tc>
        <w:tc>
          <w:tcPr>
            <w:tcW w:w="1260" w:type="dxa"/>
            <w:noWrap w:val="0"/>
            <w:vAlign w:val="top"/>
          </w:tcPr>
          <w:p w14:paraId="43A56379">
            <w:pPr>
              <w:ind w:firstLine="480" w:firstLineChars="200"/>
              <w:rPr>
                <w:rFonts w:hint="eastAsia" w:ascii="宋体" w:hAnsi="宋体"/>
                <w:color w:val="000000"/>
                <w:sz w:val="24"/>
                <w:szCs w:val="24"/>
                <w:highlight w:val="none"/>
              </w:rPr>
            </w:pPr>
          </w:p>
        </w:tc>
        <w:tc>
          <w:tcPr>
            <w:tcW w:w="1080" w:type="dxa"/>
            <w:noWrap w:val="0"/>
            <w:vAlign w:val="top"/>
          </w:tcPr>
          <w:p w14:paraId="0A1A04F4">
            <w:pPr>
              <w:ind w:firstLine="480" w:firstLineChars="200"/>
              <w:rPr>
                <w:rFonts w:hint="eastAsia" w:ascii="宋体" w:hAnsi="宋体"/>
                <w:color w:val="000000"/>
                <w:sz w:val="24"/>
                <w:szCs w:val="24"/>
                <w:highlight w:val="none"/>
              </w:rPr>
            </w:pPr>
          </w:p>
        </w:tc>
        <w:tc>
          <w:tcPr>
            <w:tcW w:w="823" w:type="dxa"/>
            <w:noWrap w:val="0"/>
            <w:vAlign w:val="top"/>
          </w:tcPr>
          <w:p w14:paraId="0A77CA60">
            <w:pPr>
              <w:ind w:firstLine="480" w:firstLineChars="200"/>
              <w:rPr>
                <w:rFonts w:hint="eastAsia" w:ascii="宋体" w:hAnsi="宋体"/>
                <w:color w:val="000000"/>
                <w:sz w:val="24"/>
                <w:szCs w:val="24"/>
                <w:highlight w:val="none"/>
              </w:rPr>
            </w:pPr>
          </w:p>
        </w:tc>
      </w:tr>
      <w:tr w14:paraId="246A3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73B2731A">
            <w:pPr>
              <w:ind w:firstLine="480" w:firstLineChars="200"/>
              <w:rPr>
                <w:rFonts w:hint="eastAsia" w:ascii="宋体" w:hAnsi="宋体"/>
                <w:color w:val="000000"/>
                <w:sz w:val="24"/>
                <w:szCs w:val="24"/>
                <w:highlight w:val="none"/>
              </w:rPr>
            </w:pPr>
          </w:p>
        </w:tc>
        <w:tc>
          <w:tcPr>
            <w:tcW w:w="1332" w:type="dxa"/>
            <w:noWrap w:val="0"/>
            <w:vAlign w:val="top"/>
          </w:tcPr>
          <w:p w14:paraId="560DDFB6">
            <w:pPr>
              <w:ind w:firstLine="480" w:firstLineChars="200"/>
              <w:rPr>
                <w:rFonts w:hint="eastAsia" w:ascii="宋体" w:hAnsi="宋体"/>
                <w:color w:val="000000"/>
                <w:sz w:val="24"/>
                <w:szCs w:val="24"/>
                <w:highlight w:val="none"/>
              </w:rPr>
            </w:pPr>
          </w:p>
        </w:tc>
        <w:tc>
          <w:tcPr>
            <w:tcW w:w="1440" w:type="dxa"/>
            <w:noWrap w:val="0"/>
            <w:vAlign w:val="top"/>
          </w:tcPr>
          <w:p w14:paraId="220CE730">
            <w:pPr>
              <w:ind w:firstLine="480" w:firstLineChars="200"/>
              <w:rPr>
                <w:rFonts w:hint="eastAsia" w:ascii="宋体" w:hAnsi="宋体"/>
                <w:color w:val="000000"/>
                <w:sz w:val="24"/>
                <w:szCs w:val="24"/>
                <w:highlight w:val="none"/>
              </w:rPr>
            </w:pPr>
          </w:p>
        </w:tc>
        <w:tc>
          <w:tcPr>
            <w:tcW w:w="720" w:type="dxa"/>
            <w:noWrap w:val="0"/>
            <w:vAlign w:val="top"/>
          </w:tcPr>
          <w:p w14:paraId="06D44D73">
            <w:pPr>
              <w:ind w:firstLine="480" w:firstLineChars="200"/>
              <w:rPr>
                <w:rFonts w:hint="eastAsia" w:ascii="宋体" w:hAnsi="宋体"/>
                <w:color w:val="000000"/>
                <w:sz w:val="24"/>
                <w:szCs w:val="24"/>
                <w:highlight w:val="none"/>
              </w:rPr>
            </w:pPr>
          </w:p>
        </w:tc>
        <w:tc>
          <w:tcPr>
            <w:tcW w:w="1620" w:type="dxa"/>
            <w:noWrap w:val="0"/>
            <w:vAlign w:val="top"/>
          </w:tcPr>
          <w:p w14:paraId="69532B2D">
            <w:pPr>
              <w:ind w:firstLine="480" w:firstLineChars="200"/>
              <w:rPr>
                <w:rFonts w:hint="eastAsia" w:ascii="宋体" w:hAnsi="宋体"/>
                <w:color w:val="000000"/>
                <w:sz w:val="24"/>
                <w:szCs w:val="24"/>
                <w:highlight w:val="none"/>
              </w:rPr>
            </w:pPr>
          </w:p>
        </w:tc>
        <w:tc>
          <w:tcPr>
            <w:tcW w:w="1260" w:type="dxa"/>
            <w:noWrap w:val="0"/>
            <w:vAlign w:val="top"/>
          </w:tcPr>
          <w:p w14:paraId="209D8209">
            <w:pPr>
              <w:ind w:firstLine="480" w:firstLineChars="200"/>
              <w:rPr>
                <w:rFonts w:hint="eastAsia" w:ascii="宋体" w:hAnsi="宋体"/>
                <w:color w:val="000000"/>
                <w:sz w:val="24"/>
                <w:szCs w:val="24"/>
                <w:highlight w:val="none"/>
              </w:rPr>
            </w:pPr>
          </w:p>
        </w:tc>
        <w:tc>
          <w:tcPr>
            <w:tcW w:w="1080" w:type="dxa"/>
            <w:noWrap w:val="0"/>
            <w:vAlign w:val="top"/>
          </w:tcPr>
          <w:p w14:paraId="23406132">
            <w:pPr>
              <w:ind w:firstLine="480" w:firstLineChars="200"/>
              <w:rPr>
                <w:rFonts w:hint="eastAsia" w:ascii="宋体" w:hAnsi="宋体"/>
                <w:color w:val="000000"/>
                <w:sz w:val="24"/>
                <w:szCs w:val="24"/>
                <w:highlight w:val="none"/>
              </w:rPr>
            </w:pPr>
          </w:p>
        </w:tc>
        <w:tc>
          <w:tcPr>
            <w:tcW w:w="823" w:type="dxa"/>
            <w:noWrap w:val="0"/>
            <w:vAlign w:val="top"/>
          </w:tcPr>
          <w:p w14:paraId="6BB72A43">
            <w:pPr>
              <w:ind w:firstLine="480" w:firstLineChars="200"/>
              <w:rPr>
                <w:rFonts w:hint="eastAsia" w:ascii="宋体" w:hAnsi="宋体"/>
                <w:color w:val="000000"/>
                <w:sz w:val="24"/>
                <w:szCs w:val="24"/>
                <w:highlight w:val="none"/>
              </w:rPr>
            </w:pPr>
          </w:p>
        </w:tc>
      </w:tr>
      <w:tr w14:paraId="6BDDE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496E8BA8">
            <w:pPr>
              <w:ind w:firstLine="480" w:firstLineChars="200"/>
              <w:rPr>
                <w:rFonts w:hint="eastAsia" w:ascii="宋体" w:hAnsi="宋体"/>
                <w:color w:val="000000"/>
                <w:sz w:val="24"/>
                <w:szCs w:val="24"/>
                <w:highlight w:val="none"/>
              </w:rPr>
            </w:pPr>
          </w:p>
        </w:tc>
        <w:tc>
          <w:tcPr>
            <w:tcW w:w="1332" w:type="dxa"/>
            <w:noWrap w:val="0"/>
            <w:vAlign w:val="top"/>
          </w:tcPr>
          <w:p w14:paraId="61DDAEE6">
            <w:pPr>
              <w:ind w:firstLine="480" w:firstLineChars="200"/>
              <w:rPr>
                <w:rFonts w:hint="eastAsia" w:ascii="宋体" w:hAnsi="宋体"/>
                <w:color w:val="000000"/>
                <w:sz w:val="24"/>
                <w:szCs w:val="24"/>
                <w:highlight w:val="none"/>
              </w:rPr>
            </w:pPr>
          </w:p>
        </w:tc>
        <w:tc>
          <w:tcPr>
            <w:tcW w:w="1440" w:type="dxa"/>
            <w:noWrap w:val="0"/>
            <w:vAlign w:val="top"/>
          </w:tcPr>
          <w:p w14:paraId="7DC05C1E">
            <w:pPr>
              <w:ind w:firstLine="480" w:firstLineChars="200"/>
              <w:rPr>
                <w:rFonts w:hint="eastAsia" w:ascii="宋体" w:hAnsi="宋体"/>
                <w:color w:val="000000"/>
                <w:sz w:val="24"/>
                <w:szCs w:val="24"/>
                <w:highlight w:val="none"/>
              </w:rPr>
            </w:pPr>
          </w:p>
        </w:tc>
        <w:tc>
          <w:tcPr>
            <w:tcW w:w="720" w:type="dxa"/>
            <w:noWrap w:val="0"/>
            <w:vAlign w:val="top"/>
          </w:tcPr>
          <w:p w14:paraId="325A6AC1">
            <w:pPr>
              <w:ind w:firstLine="480" w:firstLineChars="200"/>
              <w:rPr>
                <w:rFonts w:hint="eastAsia" w:ascii="宋体" w:hAnsi="宋体"/>
                <w:color w:val="000000"/>
                <w:sz w:val="24"/>
                <w:szCs w:val="24"/>
                <w:highlight w:val="none"/>
              </w:rPr>
            </w:pPr>
          </w:p>
        </w:tc>
        <w:tc>
          <w:tcPr>
            <w:tcW w:w="1620" w:type="dxa"/>
            <w:noWrap w:val="0"/>
            <w:vAlign w:val="top"/>
          </w:tcPr>
          <w:p w14:paraId="71A48666">
            <w:pPr>
              <w:ind w:firstLine="480" w:firstLineChars="200"/>
              <w:rPr>
                <w:rFonts w:hint="eastAsia" w:ascii="宋体" w:hAnsi="宋体"/>
                <w:color w:val="000000"/>
                <w:sz w:val="24"/>
                <w:szCs w:val="24"/>
                <w:highlight w:val="none"/>
              </w:rPr>
            </w:pPr>
          </w:p>
        </w:tc>
        <w:tc>
          <w:tcPr>
            <w:tcW w:w="1260" w:type="dxa"/>
            <w:noWrap w:val="0"/>
            <w:vAlign w:val="top"/>
          </w:tcPr>
          <w:p w14:paraId="1A3E322D">
            <w:pPr>
              <w:ind w:firstLine="480" w:firstLineChars="200"/>
              <w:rPr>
                <w:rFonts w:hint="eastAsia" w:ascii="宋体" w:hAnsi="宋体"/>
                <w:color w:val="000000"/>
                <w:sz w:val="24"/>
                <w:szCs w:val="24"/>
                <w:highlight w:val="none"/>
              </w:rPr>
            </w:pPr>
          </w:p>
        </w:tc>
        <w:tc>
          <w:tcPr>
            <w:tcW w:w="1080" w:type="dxa"/>
            <w:noWrap w:val="0"/>
            <w:vAlign w:val="top"/>
          </w:tcPr>
          <w:p w14:paraId="13DD8D4D">
            <w:pPr>
              <w:ind w:firstLine="480" w:firstLineChars="200"/>
              <w:rPr>
                <w:rFonts w:hint="eastAsia" w:ascii="宋体" w:hAnsi="宋体"/>
                <w:color w:val="000000"/>
                <w:sz w:val="24"/>
                <w:szCs w:val="24"/>
                <w:highlight w:val="none"/>
              </w:rPr>
            </w:pPr>
          </w:p>
        </w:tc>
        <w:tc>
          <w:tcPr>
            <w:tcW w:w="823" w:type="dxa"/>
            <w:noWrap w:val="0"/>
            <w:vAlign w:val="top"/>
          </w:tcPr>
          <w:p w14:paraId="01609710">
            <w:pPr>
              <w:ind w:firstLine="480" w:firstLineChars="200"/>
              <w:rPr>
                <w:rFonts w:hint="eastAsia" w:ascii="宋体" w:hAnsi="宋体"/>
                <w:color w:val="000000"/>
                <w:sz w:val="24"/>
                <w:szCs w:val="24"/>
                <w:highlight w:val="none"/>
              </w:rPr>
            </w:pPr>
          </w:p>
        </w:tc>
      </w:tr>
      <w:tr w14:paraId="74000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1FB3B0DB">
            <w:pPr>
              <w:ind w:firstLine="480" w:firstLineChars="200"/>
              <w:rPr>
                <w:rFonts w:hint="eastAsia" w:ascii="宋体" w:hAnsi="宋体"/>
                <w:color w:val="000000"/>
                <w:sz w:val="24"/>
                <w:szCs w:val="24"/>
                <w:highlight w:val="none"/>
              </w:rPr>
            </w:pPr>
          </w:p>
        </w:tc>
        <w:tc>
          <w:tcPr>
            <w:tcW w:w="1332" w:type="dxa"/>
            <w:noWrap w:val="0"/>
            <w:vAlign w:val="top"/>
          </w:tcPr>
          <w:p w14:paraId="61365F0F">
            <w:pPr>
              <w:ind w:firstLine="480" w:firstLineChars="200"/>
              <w:rPr>
                <w:rFonts w:hint="eastAsia" w:ascii="宋体" w:hAnsi="宋体"/>
                <w:color w:val="000000"/>
                <w:sz w:val="24"/>
                <w:szCs w:val="24"/>
                <w:highlight w:val="none"/>
              </w:rPr>
            </w:pPr>
          </w:p>
        </w:tc>
        <w:tc>
          <w:tcPr>
            <w:tcW w:w="1440" w:type="dxa"/>
            <w:noWrap w:val="0"/>
            <w:vAlign w:val="top"/>
          </w:tcPr>
          <w:p w14:paraId="1E8BFCE5">
            <w:pPr>
              <w:ind w:firstLine="480" w:firstLineChars="200"/>
              <w:rPr>
                <w:rFonts w:hint="eastAsia" w:ascii="宋体" w:hAnsi="宋体"/>
                <w:color w:val="000000"/>
                <w:sz w:val="24"/>
                <w:szCs w:val="24"/>
                <w:highlight w:val="none"/>
              </w:rPr>
            </w:pPr>
          </w:p>
        </w:tc>
        <w:tc>
          <w:tcPr>
            <w:tcW w:w="720" w:type="dxa"/>
            <w:noWrap w:val="0"/>
            <w:vAlign w:val="top"/>
          </w:tcPr>
          <w:p w14:paraId="428D16FC">
            <w:pPr>
              <w:ind w:firstLine="480" w:firstLineChars="200"/>
              <w:rPr>
                <w:rFonts w:hint="eastAsia" w:ascii="宋体" w:hAnsi="宋体"/>
                <w:color w:val="000000"/>
                <w:sz w:val="24"/>
                <w:szCs w:val="24"/>
                <w:highlight w:val="none"/>
              </w:rPr>
            </w:pPr>
          </w:p>
        </w:tc>
        <w:tc>
          <w:tcPr>
            <w:tcW w:w="1620" w:type="dxa"/>
            <w:noWrap w:val="0"/>
            <w:vAlign w:val="top"/>
          </w:tcPr>
          <w:p w14:paraId="7F14F3C2">
            <w:pPr>
              <w:ind w:firstLine="480" w:firstLineChars="200"/>
              <w:rPr>
                <w:rFonts w:hint="eastAsia" w:ascii="宋体" w:hAnsi="宋体"/>
                <w:color w:val="000000"/>
                <w:sz w:val="24"/>
                <w:szCs w:val="24"/>
                <w:highlight w:val="none"/>
              </w:rPr>
            </w:pPr>
          </w:p>
        </w:tc>
        <w:tc>
          <w:tcPr>
            <w:tcW w:w="1260" w:type="dxa"/>
            <w:noWrap w:val="0"/>
            <w:vAlign w:val="top"/>
          </w:tcPr>
          <w:p w14:paraId="3290E919">
            <w:pPr>
              <w:ind w:firstLine="480" w:firstLineChars="200"/>
              <w:rPr>
                <w:rFonts w:hint="eastAsia" w:ascii="宋体" w:hAnsi="宋体"/>
                <w:color w:val="000000"/>
                <w:sz w:val="24"/>
                <w:szCs w:val="24"/>
                <w:highlight w:val="none"/>
              </w:rPr>
            </w:pPr>
          </w:p>
        </w:tc>
        <w:tc>
          <w:tcPr>
            <w:tcW w:w="1080" w:type="dxa"/>
            <w:noWrap w:val="0"/>
            <w:vAlign w:val="top"/>
          </w:tcPr>
          <w:p w14:paraId="37A4C92E">
            <w:pPr>
              <w:ind w:firstLine="480" w:firstLineChars="200"/>
              <w:rPr>
                <w:rFonts w:hint="eastAsia" w:ascii="宋体" w:hAnsi="宋体"/>
                <w:color w:val="000000"/>
                <w:sz w:val="24"/>
                <w:szCs w:val="24"/>
                <w:highlight w:val="none"/>
              </w:rPr>
            </w:pPr>
          </w:p>
        </w:tc>
        <w:tc>
          <w:tcPr>
            <w:tcW w:w="823" w:type="dxa"/>
            <w:noWrap w:val="0"/>
            <w:vAlign w:val="top"/>
          </w:tcPr>
          <w:p w14:paraId="227A9943">
            <w:pPr>
              <w:ind w:firstLine="480" w:firstLineChars="200"/>
              <w:rPr>
                <w:rFonts w:hint="eastAsia" w:ascii="宋体" w:hAnsi="宋体"/>
                <w:color w:val="000000"/>
                <w:sz w:val="24"/>
                <w:szCs w:val="24"/>
                <w:highlight w:val="none"/>
              </w:rPr>
            </w:pPr>
          </w:p>
        </w:tc>
      </w:tr>
      <w:tr w14:paraId="59B46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0EAD49BD">
            <w:pPr>
              <w:ind w:firstLine="480" w:firstLineChars="200"/>
              <w:rPr>
                <w:rFonts w:hint="eastAsia" w:ascii="宋体" w:hAnsi="宋体"/>
                <w:color w:val="000000"/>
                <w:sz w:val="24"/>
                <w:szCs w:val="24"/>
                <w:highlight w:val="none"/>
              </w:rPr>
            </w:pPr>
          </w:p>
        </w:tc>
        <w:tc>
          <w:tcPr>
            <w:tcW w:w="1332" w:type="dxa"/>
            <w:noWrap w:val="0"/>
            <w:vAlign w:val="top"/>
          </w:tcPr>
          <w:p w14:paraId="21C333D2">
            <w:pPr>
              <w:ind w:firstLine="480" w:firstLineChars="200"/>
              <w:rPr>
                <w:rFonts w:hint="eastAsia" w:ascii="宋体" w:hAnsi="宋体"/>
                <w:color w:val="000000"/>
                <w:sz w:val="24"/>
                <w:szCs w:val="24"/>
                <w:highlight w:val="none"/>
              </w:rPr>
            </w:pPr>
          </w:p>
        </w:tc>
        <w:tc>
          <w:tcPr>
            <w:tcW w:w="1440" w:type="dxa"/>
            <w:noWrap w:val="0"/>
            <w:vAlign w:val="top"/>
          </w:tcPr>
          <w:p w14:paraId="1793F52E">
            <w:pPr>
              <w:ind w:firstLine="480" w:firstLineChars="200"/>
              <w:rPr>
                <w:rFonts w:hint="eastAsia" w:ascii="宋体" w:hAnsi="宋体"/>
                <w:color w:val="000000"/>
                <w:sz w:val="24"/>
                <w:szCs w:val="24"/>
                <w:highlight w:val="none"/>
              </w:rPr>
            </w:pPr>
          </w:p>
        </w:tc>
        <w:tc>
          <w:tcPr>
            <w:tcW w:w="720" w:type="dxa"/>
            <w:noWrap w:val="0"/>
            <w:vAlign w:val="top"/>
          </w:tcPr>
          <w:p w14:paraId="0A39A48C">
            <w:pPr>
              <w:ind w:firstLine="480" w:firstLineChars="200"/>
              <w:rPr>
                <w:rFonts w:hint="eastAsia" w:ascii="宋体" w:hAnsi="宋体"/>
                <w:color w:val="000000"/>
                <w:sz w:val="24"/>
                <w:szCs w:val="24"/>
                <w:highlight w:val="none"/>
              </w:rPr>
            </w:pPr>
          </w:p>
        </w:tc>
        <w:tc>
          <w:tcPr>
            <w:tcW w:w="1620" w:type="dxa"/>
            <w:noWrap w:val="0"/>
            <w:vAlign w:val="top"/>
          </w:tcPr>
          <w:p w14:paraId="1706CE1E">
            <w:pPr>
              <w:ind w:firstLine="480" w:firstLineChars="200"/>
              <w:rPr>
                <w:rFonts w:hint="eastAsia" w:ascii="宋体" w:hAnsi="宋体"/>
                <w:color w:val="000000"/>
                <w:sz w:val="24"/>
                <w:szCs w:val="24"/>
                <w:highlight w:val="none"/>
              </w:rPr>
            </w:pPr>
          </w:p>
        </w:tc>
        <w:tc>
          <w:tcPr>
            <w:tcW w:w="1260" w:type="dxa"/>
            <w:noWrap w:val="0"/>
            <w:vAlign w:val="top"/>
          </w:tcPr>
          <w:p w14:paraId="4FE1894F">
            <w:pPr>
              <w:ind w:firstLine="480" w:firstLineChars="200"/>
              <w:rPr>
                <w:rFonts w:hint="eastAsia" w:ascii="宋体" w:hAnsi="宋体"/>
                <w:color w:val="000000"/>
                <w:sz w:val="24"/>
                <w:szCs w:val="24"/>
                <w:highlight w:val="none"/>
              </w:rPr>
            </w:pPr>
          </w:p>
        </w:tc>
        <w:tc>
          <w:tcPr>
            <w:tcW w:w="1080" w:type="dxa"/>
            <w:noWrap w:val="0"/>
            <w:vAlign w:val="top"/>
          </w:tcPr>
          <w:p w14:paraId="57FB2130">
            <w:pPr>
              <w:ind w:firstLine="480" w:firstLineChars="200"/>
              <w:rPr>
                <w:rFonts w:hint="eastAsia" w:ascii="宋体" w:hAnsi="宋体"/>
                <w:color w:val="000000"/>
                <w:sz w:val="24"/>
                <w:szCs w:val="24"/>
                <w:highlight w:val="none"/>
              </w:rPr>
            </w:pPr>
          </w:p>
        </w:tc>
        <w:tc>
          <w:tcPr>
            <w:tcW w:w="823" w:type="dxa"/>
            <w:noWrap w:val="0"/>
            <w:vAlign w:val="top"/>
          </w:tcPr>
          <w:p w14:paraId="3A350629">
            <w:pPr>
              <w:ind w:firstLine="480" w:firstLineChars="200"/>
              <w:rPr>
                <w:rFonts w:hint="eastAsia" w:ascii="宋体" w:hAnsi="宋体"/>
                <w:color w:val="000000"/>
                <w:sz w:val="24"/>
                <w:szCs w:val="24"/>
                <w:highlight w:val="none"/>
              </w:rPr>
            </w:pPr>
          </w:p>
        </w:tc>
      </w:tr>
      <w:tr w14:paraId="20FD1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59D96EF9">
            <w:pPr>
              <w:ind w:firstLine="480" w:firstLineChars="200"/>
              <w:rPr>
                <w:rFonts w:hint="eastAsia" w:ascii="宋体" w:hAnsi="宋体"/>
                <w:color w:val="000000"/>
                <w:sz w:val="24"/>
                <w:szCs w:val="24"/>
                <w:highlight w:val="none"/>
              </w:rPr>
            </w:pPr>
          </w:p>
        </w:tc>
        <w:tc>
          <w:tcPr>
            <w:tcW w:w="1332" w:type="dxa"/>
            <w:noWrap w:val="0"/>
            <w:vAlign w:val="top"/>
          </w:tcPr>
          <w:p w14:paraId="1C6C1DF2">
            <w:pPr>
              <w:ind w:firstLine="480" w:firstLineChars="200"/>
              <w:rPr>
                <w:rFonts w:hint="eastAsia" w:ascii="宋体" w:hAnsi="宋体"/>
                <w:color w:val="000000"/>
                <w:sz w:val="24"/>
                <w:szCs w:val="24"/>
                <w:highlight w:val="none"/>
              </w:rPr>
            </w:pPr>
          </w:p>
        </w:tc>
        <w:tc>
          <w:tcPr>
            <w:tcW w:w="1440" w:type="dxa"/>
            <w:noWrap w:val="0"/>
            <w:vAlign w:val="top"/>
          </w:tcPr>
          <w:p w14:paraId="2DE19D5C">
            <w:pPr>
              <w:ind w:firstLine="480" w:firstLineChars="200"/>
              <w:rPr>
                <w:rFonts w:hint="eastAsia" w:ascii="宋体" w:hAnsi="宋体"/>
                <w:color w:val="000000"/>
                <w:sz w:val="24"/>
                <w:szCs w:val="24"/>
                <w:highlight w:val="none"/>
              </w:rPr>
            </w:pPr>
          </w:p>
        </w:tc>
        <w:tc>
          <w:tcPr>
            <w:tcW w:w="720" w:type="dxa"/>
            <w:noWrap w:val="0"/>
            <w:vAlign w:val="top"/>
          </w:tcPr>
          <w:p w14:paraId="126B2452">
            <w:pPr>
              <w:ind w:firstLine="480" w:firstLineChars="200"/>
              <w:rPr>
                <w:rFonts w:hint="eastAsia" w:ascii="宋体" w:hAnsi="宋体"/>
                <w:color w:val="000000"/>
                <w:sz w:val="24"/>
                <w:szCs w:val="24"/>
                <w:highlight w:val="none"/>
              </w:rPr>
            </w:pPr>
          </w:p>
        </w:tc>
        <w:tc>
          <w:tcPr>
            <w:tcW w:w="1620" w:type="dxa"/>
            <w:noWrap w:val="0"/>
            <w:vAlign w:val="top"/>
          </w:tcPr>
          <w:p w14:paraId="5144333E">
            <w:pPr>
              <w:ind w:firstLine="480" w:firstLineChars="200"/>
              <w:rPr>
                <w:rFonts w:hint="eastAsia" w:ascii="宋体" w:hAnsi="宋体"/>
                <w:color w:val="000000"/>
                <w:sz w:val="24"/>
                <w:szCs w:val="24"/>
                <w:highlight w:val="none"/>
              </w:rPr>
            </w:pPr>
          </w:p>
        </w:tc>
        <w:tc>
          <w:tcPr>
            <w:tcW w:w="1260" w:type="dxa"/>
            <w:noWrap w:val="0"/>
            <w:vAlign w:val="top"/>
          </w:tcPr>
          <w:p w14:paraId="4404DC35">
            <w:pPr>
              <w:ind w:firstLine="480" w:firstLineChars="200"/>
              <w:rPr>
                <w:rFonts w:hint="eastAsia" w:ascii="宋体" w:hAnsi="宋体"/>
                <w:color w:val="000000"/>
                <w:sz w:val="24"/>
                <w:szCs w:val="24"/>
                <w:highlight w:val="none"/>
              </w:rPr>
            </w:pPr>
          </w:p>
        </w:tc>
        <w:tc>
          <w:tcPr>
            <w:tcW w:w="1080" w:type="dxa"/>
            <w:noWrap w:val="0"/>
            <w:vAlign w:val="top"/>
          </w:tcPr>
          <w:p w14:paraId="7F39E0F0">
            <w:pPr>
              <w:ind w:firstLine="480" w:firstLineChars="200"/>
              <w:rPr>
                <w:rFonts w:hint="eastAsia" w:ascii="宋体" w:hAnsi="宋体"/>
                <w:color w:val="000000"/>
                <w:sz w:val="24"/>
                <w:szCs w:val="24"/>
                <w:highlight w:val="none"/>
              </w:rPr>
            </w:pPr>
          </w:p>
        </w:tc>
        <w:tc>
          <w:tcPr>
            <w:tcW w:w="823" w:type="dxa"/>
            <w:noWrap w:val="0"/>
            <w:vAlign w:val="top"/>
          </w:tcPr>
          <w:p w14:paraId="240AA5D6">
            <w:pPr>
              <w:ind w:firstLine="480" w:firstLineChars="200"/>
              <w:rPr>
                <w:rFonts w:hint="eastAsia" w:ascii="宋体" w:hAnsi="宋体"/>
                <w:color w:val="000000"/>
                <w:sz w:val="24"/>
                <w:szCs w:val="24"/>
                <w:highlight w:val="none"/>
              </w:rPr>
            </w:pPr>
          </w:p>
        </w:tc>
      </w:tr>
      <w:tr w14:paraId="13BB6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7CAC587">
            <w:pPr>
              <w:ind w:firstLine="480" w:firstLineChars="200"/>
              <w:rPr>
                <w:rFonts w:hint="eastAsia" w:ascii="宋体" w:hAnsi="宋体"/>
                <w:color w:val="000000"/>
                <w:sz w:val="24"/>
                <w:szCs w:val="24"/>
                <w:highlight w:val="none"/>
              </w:rPr>
            </w:pPr>
          </w:p>
        </w:tc>
        <w:tc>
          <w:tcPr>
            <w:tcW w:w="1332" w:type="dxa"/>
            <w:noWrap w:val="0"/>
            <w:vAlign w:val="top"/>
          </w:tcPr>
          <w:p w14:paraId="08DCCDDF">
            <w:pPr>
              <w:ind w:firstLine="480" w:firstLineChars="200"/>
              <w:rPr>
                <w:rFonts w:hint="eastAsia" w:ascii="宋体" w:hAnsi="宋体"/>
                <w:color w:val="000000"/>
                <w:sz w:val="24"/>
                <w:szCs w:val="24"/>
                <w:highlight w:val="none"/>
              </w:rPr>
            </w:pPr>
          </w:p>
        </w:tc>
        <w:tc>
          <w:tcPr>
            <w:tcW w:w="1440" w:type="dxa"/>
            <w:noWrap w:val="0"/>
            <w:vAlign w:val="top"/>
          </w:tcPr>
          <w:p w14:paraId="0F3B15F0">
            <w:pPr>
              <w:ind w:firstLine="480" w:firstLineChars="200"/>
              <w:rPr>
                <w:rFonts w:hint="eastAsia" w:ascii="宋体" w:hAnsi="宋体"/>
                <w:color w:val="000000"/>
                <w:sz w:val="24"/>
                <w:szCs w:val="24"/>
                <w:highlight w:val="none"/>
              </w:rPr>
            </w:pPr>
          </w:p>
        </w:tc>
        <w:tc>
          <w:tcPr>
            <w:tcW w:w="720" w:type="dxa"/>
            <w:noWrap w:val="0"/>
            <w:vAlign w:val="top"/>
          </w:tcPr>
          <w:p w14:paraId="6F4BD533">
            <w:pPr>
              <w:ind w:firstLine="480" w:firstLineChars="200"/>
              <w:rPr>
                <w:rFonts w:hint="eastAsia" w:ascii="宋体" w:hAnsi="宋体"/>
                <w:color w:val="000000"/>
                <w:sz w:val="24"/>
                <w:szCs w:val="24"/>
                <w:highlight w:val="none"/>
              </w:rPr>
            </w:pPr>
          </w:p>
        </w:tc>
        <w:tc>
          <w:tcPr>
            <w:tcW w:w="1620" w:type="dxa"/>
            <w:noWrap w:val="0"/>
            <w:vAlign w:val="top"/>
          </w:tcPr>
          <w:p w14:paraId="1D07B7DB">
            <w:pPr>
              <w:ind w:firstLine="480" w:firstLineChars="200"/>
              <w:rPr>
                <w:rFonts w:hint="eastAsia" w:ascii="宋体" w:hAnsi="宋体"/>
                <w:color w:val="000000"/>
                <w:sz w:val="24"/>
                <w:szCs w:val="24"/>
                <w:highlight w:val="none"/>
              </w:rPr>
            </w:pPr>
          </w:p>
        </w:tc>
        <w:tc>
          <w:tcPr>
            <w:tcW w:w="1260" w:type="dxa"/>
            <w:noWrap w:val="0"/>
            <w:vAlign w:val="top"/>
          </w:tcPr>
          <w:p w14:paraId="47D32DA7">
            <w:pPr>
              <w:ind w:firstLine="480" w:firstLineChars="200"/>
              <w:rPr>
                <w:rFonts w:hint="eastAsia" w:ascii="宋体" w:hAnsi="宋体"/>
                <w:color w:val="000000"/>
                <w:sz w:val="24"/>
                <w:szCs w:val="24"/>
                <w:highlight w:val="none"/>
              </w:rPr>
            </w:pPr>
          </w:p>
        </w:tc>
        <w:tc>
          <w:tcPr>
            <w:tcW w:w="1080" w:type="dxa"/>
            <w:noWrap w:val="0"/>
            <w:vAlign w:val="top"/>
          </w:tcPr>
          <w:p w14:paraId="5D5DC4B0">
            <w:pPr>
              <w:ind w:firstLine="480" w:firstLineChars="200"/>
              <w:rPr>
                <w:rFonts w:hint="eastAsia" w:ascii="宋体" w:hAnsi="宋体"/>
                <w:color w:val="000000"/>
                <w:sz w:val="24"/>
                <w:szCs w:val="24"/>
                <w:highlight w:val="none"/>
              </w:rPr>
            </w:pPr>
          </w:p>
        </w:tc>
        <w:tc>
          <w:tcPr>
            <w:tcW w:w="823" w:type="dxa"/>
            <w:noWrap w:val="0"/>
            <w:vAlign w:val="top"/>
          </w:tcPr>
          <w:p w14:paraId="6F34DE20">
            <w:pPr>
              <w:ind w:firstLine="480" w:firstLineChars="200"/>
              <w:rPr>
                <w:rFonts w:hint="eastAsia" w:ascii="宋体" w:hAnsi="宋体"/>
                <w:color w:val="000000"/>
                <w:sz w:val="24"/>
                <w:szCs w:val="24"/>
                <w:highlight w:val="none"/>
              </w:rPr>
            </w:pPr>
          </w:p>
        </w:tc>
      </w:tr>
      <w:tr w14:paraId="12F61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579C8A97">
            <w:pPr>
              <w:ind w:firstLine="480" w:firstLineChars="200"/>
              <w:rPr>
                <w:rFonts w:hint="eastAsia" w:ascii="宋体" w:hAnsi="宋体"/>
                <w:color w:val="000000"/>
                <w:sz w:val="24"/>
                <w:szCs w:val="24"/>
                <w:highlight w:val="none"/>
              </w:rPr>
            </w:pPr>
          </w:p>
        </w:tc>
        <w:tc>
          <w:tcPr>
            <w:tcW w:w="1332" w:type="dxa"/>
            <w:noWrap w:val="0"/>
            <w:vAlign w:val="top"/>
          </w:tcPr>
          <w:p w14:paraId="74F58EB4">
            <w:pPr>
              <w:ind w:firstLine="480" w:firstLineChars="200"/>
              <w:rPr>
                <w:rFonts w:hint="eastAsia" w:ascii="宋体" w:hAnsi="宋体"/>
                <w:color w:val="000000"/>
                <w:sz w:val="24"/>
                <w:szCs w:val="24"/>
                <w:highlight w:val="none"/>
              </w:rPr>
            </w:pPr>
          </w:p>
        </w:tc>
        <w:tc>
          <w:tcPr>
            <w:tcW w:w="1440" w:type="dxa"/>
            <w:noWrap w:val="0"/>
            <w:vAlign w:val="top"/>
          </w:tcPr>
          <w:p w14:paraId="00BD71C1">
            <w:pPr>
              <w:ind w:firstLine="480" w:firstLineChars="200"/>
              <w:rPr>
                <w:rFonts w:hint="eastAsia" w:ascii="宋体" w:hAnsi="宋体"/>
                <w:color w:val="000000"/>
                <w:sz w:val="24"/>
                <w:szCs w:val="24"/>
                <w:highlight w:val="none"/>
              </w:rPr>
            </w:pPr>
          </w:p>
        </w:tc>
        <w:tc>
          <w:tcPr>
            <w:tcW w:w="720" w:type="dxa"/>
            <w:noWrap w:val="0"/>
            <w:vAlign w:val="top"/>
          </w:tcPr>
          <w:p w14:paraId="5153FDEA">
            <w:pPr>
              <w:ind w:firstLine="480" w:firstLineChars="200"/>
              <w:rPr>
                <w:rFonts w:hint="eastAsia" w:ascii="宋体" w:hAnsi="宋体"/>
                <w:color w:val="000000"/>
                <w:sz w:val="24"/>
                <w:szCs w:val="24"/>
                <w:highlight w:val="none"/>
              </w:rPr>
            </w:pPr>
          </w:p>
        </w:tc>
        <w:tc>
          <w:tcPr>
            <w:tcW w:w="1620" w:type="dxa"/>
            <w:noWrap w:val="0"/>
            <w:vAlign w:val="top"/>
          </w:tcPr>
          <w:p w14:paraId="4CDFC8C0">
            <w:pPr>
              <w:ind w:firstLine="480" w:firstLineChars="200"/>
              <w:rPr>
                <w:rFonts w:hint="eastAsia" w:ascii="宋体" w:hAnsi="宋体"/>
                <w:color w:val="000000"/>
                <w:sz w:val="24"/>
                <w:szCs w:val="24"/>
                <w:highlight w:val="none"/>
              </w:rPr>
            </w:pPr>
          </w:p>
        </w:tc>
        <w:tc>
          <w:tcPr>
            <w:tcW w:w="1260" w:type="dxa"/>
            <w:noWrap w:val="0"/>
            <w:vAlign w:val="top"/>
          </w:tcPr>
          <w:p w14:paraId="28A25F73">
            <w:pPr>
              <w:ind w:firstLine="480" w:firstLineChars="200"/>
              <w:rPr>
                <w:rFonts w:hint="eastAsia" w:ascii="宋体" w:hAnsi="宋体"/>
                <w:color w:val="000000"/>
                <w:sz w:val="24"/>
                <w:szCs w:val="24"/>
                <w:highlight w:val="none"/>
              </w:rPr>
            </w:pPr>
          </w:p>
        </w:tc>
        <w:tc>
          <w:tcPr>
            <w:tcW w:w="1080" w:type="dxa"/>
            <w:noWrap w:val="0"/>
            <w:vAlign w:val="top"/>
          </w:tcPr>
          <w:p w14:paraId="59D9FF87">
            <w:pPr>
              <w:ind w:firstLine="480" w:firstLineChars="200"/>
              <w:rPr>
                <w:rFonts w:hint="eastAsia" w:ascii="宋体" w:hAnsi="宋体"/>
                <w:color w:val="000000"/>
                <w:sz w:val="24"/>
                <w:szCs w:val="24"/>
                <w:highlight w:val="none"/>
              </w:rPr>
            </w:pPr>
          </w:p>
        </w:tc>
        <w:tc>
          <w:tcPr>
            <w:tcW w:w="823" w:type="dxa"/>
            <w:noWrap w:val="0"/>
            <w:vAlign w:val="top"/>
          </w:tcPr>
          <w:p w14:paraId="356D5151">
            <w:pPr>
              <w:ind w:firstLine="480" w:firstLineChars="200"/>
              <w:rPr>
                <w:rFonts w:hint="eastAsia" w:ascii="宋体" w:hAnsi="宋体"/>
                <w:color w:val="000000"/>
                <w:sz w:val="24"/>
                <w:szCs w:val="24"/>
                <w:highlight w:val="none"/>
              </w:rPr>
            </w:pPr>
          </w:p>
        </w:tc>
      </w:tr>
      <w:tr w14:paraId="255BE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67A8A799">
            <w:pPr>
              <w:ind w:firstLine="480" w:firstLineChars="200"/>
              <w:rPr>
                <w:rFonts w:hint="eastAsia" w:ascii="宋体" w:hAnsi="宋体"/>
                <w:color w:val="000000"/>
                <w:sz w:val="24"/>
                <w:szCs w:val="24"/>
                <w:highlight w:val="none"/>
              </w:rPr>
            </w:pPr>
          </w:p>
        </w:tc>
        <w:tc>
          <w:tcPr>
            <w:tcW w:w="1332" w:type="dxa"/>
            <w:noWrap w:val="0"/>
            <w:vAlign w:val="top"/>
          </w:tcPr>
          <w:p w14:paraId="2E14B472">
            <w:pPr>
              <w:ind w:firstLine="480" w:firstLineChars="200"/>
              <w:rPr>
                <w:rFonts w:hint="eastAsia" w:ascii="宋体" w:hAnsi="宋体"/>
                <w:color w:val="000000"/>
                <w:sz w:val="24"/>
                <w:szCs w:val="24"/>
                <w:highlight w:val="none"/>
              </w:rPr>
            </w:pPr>
          </w:p>
        </w:tc>
        <w:tc>
          <w:tcPr>
            <w:tcW w:w="1440" w:type="dxa"/>
            <w:noWrap w:val="0"/>
            <w:vAlign w:val="top"/>
          </w:tcPr>
          <w:p w14:paraId="1996F0A2">
            <w:pPr>
              <w:ind w:firstLine="480" w:firstLineChars="200"/>
              <w:rPr>
                <w:rFonts w:hint="eastAsia" w:ascii="宋体" w:hAnsi="宋体"/>
                <w:color w:val="000000"/>
                <w:sz w:val="24"/>
                <w:szCs w:val="24"/>
                <w:highlight w:val="none"/>
              </w:rPr>
            </w:pPr>
          </w:p>
        </w:tc>
        <w:tc>
          <w:tcPr>
            <w:tcW w:w="720" w:type="dxa"/>
            <w:noWrap w:val="0"/>
            <w:vAlign w:val="top"/>
          </w:tcPr>
          <w:p w14:paraId="5DC753F3">
            <w:pPr>
              <w:ind w:firstLine="480" w:firstLineChars="200"/>
              <w:rPr>
                <w:rFonts w:hint="eastAsia" w:ascii="宋体" w:hAnsi="宋体"/>
                <w:color w:val="000000"/>
                <w:sz w:val="24"/>
                <w:szCs w:val="24"/>
                <w:highlight w:val="none"/>
              </w:rPr>
            </w:pPr>
          </w:p>
        </w:tc>
        <w:tc>
          <w:tcPr>
            <w:tcW w:w="1620" w:type="dxa"/>
            <w:noWrap w:val="0"/>
            <w:vAlign w:val="top"/>
          </w:tcPr>
          <w:p w14:paraId="582B7AF5">
            <w:pPr>
              <w:ind w:firstLine="480" w:firstLineChars="200"/>
              <w:rPr>
                <w:rFonts w:hint="eastAsia" w:ascii="宋体" w:hAnsi="宋体"/>
                <w:color w:val="000000"/>
                <w:sz w:val="24"/>
                <w:szCs w:val="24"/>
                <w:highlight w:val="none"/>
              </w:rPr>
            </w:pPr>
          </w:p>
        </w:tc>
        <w:tc>
          <w:tcPr>
            <w:tcW w:w="1260" w:type="dxa"/>
            <w:noWrap w:val="0"/>
            <w:vAlign w:val="top"/>
          </w:tcPr>
          <w:p w14:paraId="6C2D3824">
            <w:pPr>
              <w:ind w:firstLine="480" w:firstLineChars="200"/>
              <w:rPr>
                <w:rFonts w:hint="eastAsia" w:ascii="宋体" w:hAnsi="宋体"/>
                <w:color w:val="000000"/>
                <w:sz w:val="24"/>
                <w:szCs w:val="24"/>
                <w:highlight w:val="none"/>
              </w:rPr>
            </w:pPr>
          </w:p>
        </w:tc>
        <w:tc>
          <w:tcPr>
            <w:tcW w:w="1080" w:type="dxa"/>
            <w:noWrap w:val="0"/>
            <w:vAlign w:val="top"/>
          </w:tcPr>
          <w:p w14:paraId="43974E0D">
            <w:pPr>
              <w:ind w:firstLine="480" w:firstLineChars="200"/>
              <w:rPr>
                <w:rFonts w:hint="eastAsia" w:ascii="宋体" w:hAnsi="宋体"/>
                <w:color w:val="000000"/>
                <w:sz w:val="24"/>
                <w:szCs w:val="24"/>
                <w:highlight w:val="none"/>
              </w:rPr>
            </w:pPr>
          </w:p>
        </w:tc>
        <w:tc>
          <w:tcPr>
            <w:tcW w:w="823" w:type="dxa"/>
            <w:noWrap w:val="0"/>
            <w:vAlign w:val="top"/>
          </w:tcPr>
          <w:p w14:paraId="6F66E2FA">
            <w:pPr>
              <w:ind w:firstLine="480" w:firstLineChars="200"/>
              <w:rPr>
                <w:rFonts w:hint="eastAsia" w:ascii="宋体" w:hAnsi="宋体"/>
                <w:color w:val="000000"/>
                <w:sz w:val="24"/>
                <w:szCs w:val="24"/>
                <w:highlight w:val="none"/>
              </w:rPr>
            </w:pPr>
          </w:p>
        </w:tc>
      </w:tr>
      <w:tr w14:paraId="04D99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64EF6E3F">
            <w:pPr>
              <w:ind w:firstLine="480" w:firstLineChars="200"/>
              <w:rPr>
                <w:rFonts w:hint="eastAsia" w:ascii="宋体" w:hAnsi="宋体"/>
                <w:color w:val="000000"/>
                <w:sz w:val="24"/>
                <w:szCs w:val="24"/>
                <w:highlight w:val="none"/>
              </w:rPr>
            </w:pPr>
          </w:p>
        </w:tc>
        <w:tc>
          <w:tcPr>
            <w:tcW w:w="1332" w:type="dxa"/>
            <w:noWrap w:val="0"/>
            <w:vAlign w:val="top"/>
          </w:tcPr>
          <w:p w14:paraId="1A3DBC13">
            <w:pPr>
              <w:ind w:firstLine="480" w:firstLineChars="200"/>
              <w:rPr>
                <w:rFonts w:hint="eastAsia" w:ascii="宋体" w:hAnsi="宋体"/>
                <w:color w:val="000000"/>
                <w:sz w:val="24"/>
                <w:szCs w:val="24"/>
                <w:highlight w:val="none"/>
              </w:rPr>
            </w:pPr>
          </w:p>
        </w:tc>
        <w:tc>
          <w:tcPr>
            <w:tcW w:w="1440" w:type="dxa"/>
            <w:noWrap w:val="0"/>
            <w:vAlign w:val="top"/>
          </w:tcPr>
          <w:p w14:paraId="60A7AF59">
            <w:pPr>
              <w:ind w:firstLine="480" w:firstLineChars="200"/>
              <w:rPr>
                <w:rFonts w:hint="eastAsia" w:ascii="宋体" w:hAnsi="宋体"/>
                <w:color w:val="000000"/>
                <w:sz w:val="24"/>
                <w:szCs w:val="24"/>
                <w:highlight w:val="none"/>
              </w:rPr>
            </w:pPr>
          </w:p>
        </w:tc>
        <w:tc>
          <w:tcPr>
            <w:tcW w:w="720" w:type="dxa"/>
            <w:noWrap w:val="0"/>
            <w:vAlign w:val="top"/>
          </w:tcPr>
          <w:p w14:paraId="10779F79">
            <w:pPr>
              <w:ind w:firstLine="480" w:firstLineChars="200"/>
              <w:rPr>
                <w:rFonts w:hint="eastAsia" w:ascii="宋体" w:hAnsi="宋体"/>
                <w:color w:val="000000"/>
                <w:sz w:val="24"/>
                <w:szCs w:val="24"/>
                <w:highlight w:val="none"/>
              </w:rPr>
            </w:pPr>
          </w:p>
        </w:tc>
        <w:tc>
          <w:tcPr>
            <w:tcW w:w="1620" w:type="dxa"/>
            <w:noWrap w:val="0"/>
            <w:vAlign w:val="top"/>
          </w:tcPr>
          <w:p w14:paraId="7D47E232">
            <w:pPr>
              <w:ind w:firstLine="480" w:firstLineChars="200"/>
              <w:rPr>
                <w:rFonts w:hint="eastAsia" w:ascii="宋体" w:hAnsi="宋体"/>
                <w:color w:val="000000"/>
                <w:sz w:val="24"/>
                <w:szCs w:val="24"/>
                <w:highlight w:val="none"/>
              </w:rPr>
            </w:pPr>
          </w:p>
        </w:tc>
        <w:tc>
          <w:tcPr>
            <w:tcW w:w="1260" w:type="dxa"/>
            <w:noWrap w:val="0"/>
            <w:vAlign w:val="top"/>
          </w:tcPr>
          <w:p w14:paraId="451CA352">
            <w:pPr>
              <w:ind w:firstLine="480" w:firstLineChars="200"/>
              <w:rPr>
                <w:rFonts w:hint="eastAsia" w:ascii="宋体" w:hAnsi="宋体"/>
                <w:color w:val="000000"/>
                <w:sz w:val="24"/>
                <w:szCs w:val="24"/>
                <w:highlight w:val="none"/>
              </w:rPr>
            </w:pPr>
          </w:p>
        </w:tc>
        <w:tc>
          <w:tcPr>
            <w:tcW w:w="1080" w:type="dxa"/>
            <w:noWrap w:val="0"/>
            <w:vAlign w:val="top"/>
          </w:tcPr>
          <w:p w14:paraId="1179E450">
            <w:pPr>
              <w:ind w:firstLine="480" w:firstLineChars="200"/>
              <w:rPr>
                <w:rFonts w:hint="eastAsia" w:ascii="宋体" w:hAnsi="宋体"/>
                <w:color w:val="000000"/>
                <w:sz w:val="24"/>
                <w:szCs w:val="24"/>
                <w:highlight w:val="none"/>
              </w:rPr>
            </w:pPr>
          </w:p>
        </w:tc>
        <w:tc>
          <w:tcPr>
            <w:tcW w:w="823" w:type="dxa"/>
            <w:noWrap w:val="0"/>
            <w:vAlign w:val="top"/>
          </w:tcPr>
          <w:p w14:paraId="67399FA8">
            <w:pPr>
              <w:ind w:firstLine="480" w:firstLineChars="200"/>
              <w:rPr>
                <w:rFonts w:hint="eastAsia" w:ascii="宋体" w:hAnsi="宋体"/>
                <w:color w:val="000000"/>
                <w:sz w:val="24"/>
                <w:szCs w:val="24"/>
                <w:highlight w:val="none"/>
              </w:rPr>
            </w:pPr>
          </w:p>
        </w:tc>
      </w:tr>
      <w:tr w14:paraId="3322F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0A284A0">
            <w:pPr>
              <w:ind w:firstLine="480" w:firstLineChars="200"/>
              <w:rPr>
                <w:rFonts w:hint="eastAsia" w:ascii="宋体" w:hAnsi="宋体"/>
                <w:color w:val="000000"/>
                <w:sz w:val="24"/>
                <w:szCs w:val="24"/>
                <w:highlight w:val="none"/>
              </w:rPr>
            </w:pPr>
          </w:p>
        </w:tc>
        <w:tc>
          <w:tcPr>
            <w:tcW w:w="1332" w:type="dxa"/>
            <w:noWrap w:val="0"/>
            <w:vAlign w:val="top"/>
          </w:tcPr>
          <w:p w14:paraId="413E0E2B">
            <w:pPr>
              <w:ind w:firstLine="480" w:firstLineChars="200"/>
              <w:rPr>
                <w:rFonts w:hint="eastAsia" w:ascii="宋体" w:hAnsi="宋体"/>
                <w:color w:val="000000"/>
                <w:sz w:val="24"/>
                <w:szCs w:val="24"/>
                <w:highlight w:val="none"/>
              </w:rPr>
            </w:pPr>
          </w:p>
        </w:tc>
        <w:tc>
          <w:tcPr>
            <w:tcW w:w="1440" w:type="dxa"/>
            <w:noWrap w:val="0"/>
            <w:vAlign w:val="top"/>
          </w:tcPr>
          <w:p w14:paraId="76AD5A0D">
            <w:pPr>
              <w:ind w:firstLine="480" w:firstLineChars="200"/>
              <w:rPr>
                <w:rFonts w:hint="eastAsia" w:ascii="宋体" w:hAnsi="宋体"/>
                <w:color w:val="000000"/>
                <w:sz w:val="24"/>
                <w:szCs w:val="24"/>
                <w:highlight w:val="none"/>
              </w:rPr>
            </w:pPr>
          </w:p>
        </w:tc>
        <w:tc>
          <w:tcPr>
            <w:tcW w:w="720" w:type="dxa"/>
            <w:noWrap w:val="0"/>
            <w:vAlign w:val="top"/>
          </w:tcPr>
          <w:p w14:paraId="33ACA747">
            <w:pPr>
              <w:ind w:firstLine="480" w:firstLineChars="200"/>
              <w:rPr>
                <w:rFonts w:hint="eastAsia" w:ascii="宋体" w:hAnsi="宋体"/>
                <w:color w:val="000000"/>
                <w:sz w:val="24"/>
                <w:szCs w:val="24"/>
                <w:highlight w:val="none"/>
              </w:rPr>
            </w:pPr>
          </w:p>
        </w:tc>
        <w:tc>
          <w:tcPr>
            <w:tcW w:w="1620" w:type="dxa"/>
            <w:noWrap w:val="0"/>
            <w:vAlign w:val="top"/>
          </w:tcPr>
          <w:p w14:paraId="1F0DA439">
            <w:pPr>
              <w:ind w:firstLine="480" w:firstLineChars="200"/>
              <w:rPr>
                <w:rFonts w:hint="eastAsia" w:ascii="宋体" w:hAnsi="宋体"/>
                <w:color w:val="000000"/>
                <w:sz w:val="24"/>
                <w:szCs w:val="24"/>
                <w:highlight w:val="none"/>
              </w:rPr>
            </w:pPr>
          </w:p>
        </w:tc>
        <w:tc>
          <w:tcPr>
            <w:tcW w:w="1260" w:type="dxa"/>
            <w:noWrap w:val="0"/>
            <w:vAlign w:val="top"/>
          </w:tcPr>
          <w:p w14:paraId="5FCF8541">
            <w:pPr>
              <w:ind w:firstLine="480" w:firstLineChars="200"/>
              <w:rPr>
                <w:rFonts w:hint="eastAsia" w:ascii="宋体" w:hAnsi="宋体"/>
                <w:color w:val="000000"/>
                <w:sz w:val="24"/>
                <w:szCs w:val="24"/>
                <w:highlight w:val="none"/>
              </w:rPr>
            </w:pPr>
          </w:p>
        </w:tc>
        <w:tc>
          <w:tcPr>
            <w:tcW w:w="1080" w:type="dxa"/>
            <w:noWrap w:val="0"/>
            <w:vAlign w:val="top"/>
          </w:tcPr>
          <w:p w14:paraId="59FA83C1">
            <w:pPr>
              <w:ind w:firstLine="480" w:firstLineChars="200"/>
              <w:rPr>
                <w:rFonts w:hint="eastAsia" w:ascii="宋体" w:hAnsi="宋体"/>
                <w:color w:val="000000"/>
                <w:sz w:val="24"/>
                <w:szCs w:val="24"/>
                <w:highlight w:val="none"/>
              </w:rPr>
            </w:pPr>
          </w:p>
        </w:tc>
        <w:tc>
          <w:tcPr>
            <w:tcW w:w="823" w:type="dxa"/>
            <w:noWrap w:val="0"/>
            <w:vAlign w:val="top"/>
          </w:tcPr>
          <w:p w14:paraId="6833BA1C">
            <w:pPr>
              <w:ind w:firstLine="480" w:firstLineChars="200"/>
              <w:rPr>
                <w:rFonts w:hint="eastAsia" w:ascii="宋体" w:hAnsi="宋体"/>
                <w:color w:val="000000"/>
                <w:sz w:val="24"/>
                <w:szCs w:val="24"/>
                <w:highlight w:val="none"/>
              </w:rPr>
            </w:pPr>
          </w:p>
        </w:tc>
      </w:tr>
      <w:tr w14:paraId="55C63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02983A8">
            <w:pPr>
              <w:ind w:firstLine="480" w:firstLineChars="200"/>
              <w:rPr>
                <w:rFonts w:hint="eastAsia" w:ascii="宋体" w:hAnsi="宋体"/>
                <w:color w:val="000000"/>
                <w:sz w:val="24"/>
                <w:szCs w:val="24"/>
                <w:highlight w:val="none"/>
              </w:rPr>
            </w:pPr>
          </w:p>
        </w:tc>
        <w:tc>
          <w:tcPr>
            <w:tcW w:w="1332" w:type="dxa"/>
            <w:noWrap w:val="0"/>
            <w:vAlign w:val="top"/>
          </w:tcPr>
          <w:p w14:paraId="723D98C4">
            <w:pPr>
              <w:ind w:firstLine="480" w:firstLineChars="200"/>
              <w:rPr>
                <w:rFonts w:hint="eastAsia" w:ascii="宋体" w:hAnsi="宋体"/>
                <w:color w:val="000000"/>
                <w:sz w:val="24"/>
                <w:szCs w:val="24"/>
                <w:highlight w:val="none"/>
              </w:rPr>
            </w:pPr>
          </w:p>
        </w:tc>
        <w:tc>
          <w:tcPr>
            <w:tcW w:w="1440" w:type="dxa"/>
            <w:noWrap w:val="0"/>
            <w:vAlign w:val="top"/>
          </w:tcPr>
          <w:p w14:paraId="18EB489D">
            <w:pPr>
              <w:ind w:firstLine="480" w:firstLineChars="200"/>
              <w:rPr>
                <w:rFonts w:hint="eastAsia" w:ascii="宋体" w:hAnsi="宋体"/>
                <w:color w:val="000000"/>
                <w:sz w:val="24"/>
                <w:szCs w:val="24"/>
                <w:highlight w:val="none"/>
              </w:rPr>
            </w:pPr>
          </w:p>
        </w:tc>
        <w:tc>
          <w:tcPr>
            <w:tcW w:w="720" w:type="dxa"/>
            <w:noWrap w:val="0"/>
            <w:vAlign w:val="top"/>
          </w:tcPr>
          <w:p w14:paraId="51E69F0D">
            <w:pPr>
              <w:ind w:firstLine="480" w:firstLineChars="200"/>
              <w:rPr>
                <w:rFonts w:hint="eastAsia" w:ascii="宋体" w:hAnsi="宋体"/>
                <w:color w:val="000000"/>
                <w:sz w:val="24"/>
                <w:szCs w:val="24"/>
                <w:highlight w:val="none"/>
              </w:rPr>
            </w:pPr>
          </w:p>
        </w:tc>
        <w:tc>
          <w:tcPr>
            <w:tcW w:w="1620" w:type="dxa"/>
            <w:noWrap w:val="0"/>
            <w:vAlign w:val="top"/>
          </w:tcPr>
          <w:p w14:paraId="70F704D6">
            <w:pPr>
              <w:ind w:firstLine="480" w:firstLineChars="200"/>
              <w:rPr>
                <w:rFonts w:hint="eastAsia" w:ascii="宋体" w:hAnsi="宋体"/>
                <w:color w:val="000000"/>
                <w:sz w:val="24"/>
                <w:szCs w:val="24"/>
                <w:highlight w:val="none"/>
              </w:rPr>
            </w:pPr>
          </w:p>
        </w:tc>
        <w:tc>
          <w:tcPr>
            <w:tcW w:w="1260" w:type="dxa"/>
            <w:noWrap w:val="0"/>
            <w:vAlign w:val="top"/>
          </w:tcPr>
          <w:p w14:paraId="075C5952">
            <w:pPr>
              <w:ind w:firstLine="480" w:firstLineChars="200"/>
              <w:rPr>
                <w:rFonts w:hint="eastAsia" w:ascii="宋体" w:hAnsi="宋体"/>
                <w:color w:val="000000"/>
                <w:sz w:val="24"/>
                <w:szCs w:val="24"/>
                <w:highlight w:val="none"/>
              </w:rPr>
            </w:pPr>
          </w:p>
        </w:tc>
        <w:tc>
          <w:tcPr>
            <w:tcW w:w="1080" w:type="dxa"/>
            <w:noWrap w:val="0"/>
            <w:vAlign w:val="top"/>
          </w:tcPr>
          <w:p w14:paraId="7FF7EA18">
            <w:pPr>
              <w:ind w:firstLine="480" w:firstLineChars="200"/>
              <w:rPr>
                <w:rFonts w:hint="eastAsia" w:ascii="宋体" w:hAnsi="宋体"/>
                <w:color w:val="000000"/>
                <w:sz w:val="24"/>
                <w:szCs w:val="24"/>
                <w:highlight w:val="none"/>
              </w:rPr>
            </w:pPr>
          </w:p>
        </w:tc>
        <w:tc>
          <w:tcPr>
            <w:tcW w:w="823" w:type="dxa"/>
            <w:noWrap w:val="0"/>
            <w:vAlign w:val="top"/>
          </w:tcPr>
          <w:p w14:paraId="33128FF6">
            <w:pPr>
              <w:ind w:firstLine="480" w:firstLineChars="200"/>
              <w:rPr>
                <w:rFonts w:hint="eastAsia" w:ascii="宋体" w:hAnsi="宋体"/>
                <w:color w:val="000000"/>
                <w:sz w:val="24"/>
                <w:szCs w:val="24"/>
                <w:highlight w:val="none"/>
              </w:rPr>
            </w:pPr>
          </w:p>
        </w:tc>
      </w:tr>
      <w:tr w14:paraId="7477C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74E511AE">
            <w:pPr>
              <w:ind w:firstLine="480" w:firstLineChars="200"/>
              <w:rPr>
                <w:rFonts w:hint="eastAsia" w:ascii="宋体" w:hAnsi="宋体"/>
                <w:color w:val="000000"/>
                <w:sz w:val="24"/>
                <w:szCs w:val="24"/>
                <w:highlight w:val="none"/>
              </w:rPr>
            </w:pPr>
          </w:p>
        </w:tc>
        <w:tc>
          <w:tcPr>
            <w:tcW w:w="1332" w:type="dxa"/>
            <w:noWrap w:val="0"/>
            <w:vAlign w:val="top"/>
          </w:tcPr>
          <w:p w14:paraId="5D9C56CB">
            <w:pPr>
              <w:ind w:firstLine="480" w:firstLineChars="200"/>
              <w:rPr>
                <w:rFonts w:hint="eastAsia" w:ascii="宋体" w:hAnsi="宋体"/>
                <w:color w:val="000000"/>
                <w:sz w:val="24"/>
                <w:szCs w:val="24"/>
                <w:highlight w:val="none"/>
              </w:rPr>
            </w:pPr>
          </w:p>
        </w:tc>
        <w:tc>
          <w:tcPr>
            <w:tcW w:w="1440" w:type="dxa"/>
            <w:noWrap w:val="0"/>
            <w:vAlign w:val="top"/>
          </w:tcPr>
          <w:p w14:paraId="421F3D1B">
            <w:pPr>
              <w:ind w:firstLine="480" w:firstLineChars="200"/>
              <w:rPr>
                <w:rFonts w:hint="eastAsia" w:ascii="宋体" w:hAnsi="宋体"/>
                <w:color w:val="000000"/>
                <w:sz w:val="24"/>
                <w:szCs w:val="24"/>
                <w:highlight w:val="none"/>
              </w:rPr>
            </w:pPr>
          </w:p>
        </w:tc>
        <w:tc>
          <w:tcPr>
            <w:tcW w:w="720" w:type="dxa"/>
            <w:noWrap w:val="0"/>
            <w:vAlign w:val="top"/>
          </w:tcPr>
          <w:p w14:paraId="083CD5B1">
            <w:pPr>
              <w:ind w:firstLine="480" w:firstLineChars="200"/>
              <w:rPr>
                <w:rFonts w:hint="eastAsia" w:ascii="宋体" w:hAnsi="宋体"/>
                <w:color w:val="000000"/>
                <w:sz w:val="24"/>
                <w:szCs w:val="24"/>
                <w:highlight w:val="none"/>
              </w:rPr>
            </w:pPr>
          </w:p>
        </w:tc>
        <w:tc>
          <w:tcPr>
            <w:tcW w:w="1620" w:type="dxa"/>
            <w:noWrap w:val="0"/>
            <w:vAlign w:val="top"/>
          </w:tcPr>
          <w:p w14:paraId="26649004">
            <w:pPr>
              <w:ind w:firstLine="480" w:firstLineChars="200"/>
              <w:rPr>
                <w:rFonts w:hint="eastAsia" w:ascii="宋体" w:hAnsi="宋体"/>
                <w:color w:val="000000"/>
                <w:sz w:val="24"/>
                <w:szCs w:val="24"/>
                <w:highlight w:val="none"/>
              </w:rPr>
            </w:pPr>
          </w:p>
        </w:tc>
        <w:tc>
          <w:tcPr>
            <w:tcW w:w="1260" w:type="dxa"/>
            <w:noWrap w:val="0"/>
            <w:vAlign w:val="top"/>
          </w:tcPr>
          <w:p w14:paraId="4139B192">
            <w:pPr>
              <w:ind w:firstLine="480" w:firstLineChars="200"/>
              <w:rPr>
                <w:rFonts w:hint="eastAsia" w:ascii="宋体" w:hAnsi="宋体"/>
                <w:color w:val="000000"/>
                <w:sz w:val="24"/>
                <w:szCs w:val="24"/>
                <w:highlight w:val="none"/>
              </w:rPr>
            </w:pPr>
          </w:p>
        </w:tc>
        <w:tc>
          <w:tcPr>
            <w:tcW w:w="1080" w:type="dxa"/>
            <w:noWrap w:val="0"/>
            <w:vAlign w:val="top"/>
          </w:tcPr>
          <w:p w14:paraId="5F924627">
            <w:pPr>
              <w:ind w:firstLine="480" w:firstLineChars="200"/>
              <w:rPr>
                <w:rFonts w:hint="eastAsia" w:ascii="宋体" w:hAnsi="宋体"/>
                <w:color w:val="000000"/>
                <w:sz w:val="24"/>
                <w:szCs w:val="24"/>
                <w:highlight w:val="none"/>
              </w:rPr>
            </w:pPr>
          </w:p>
        </w:tc>
        <w:tc>
          <w:tcPr>
            <w:tcW w:w="823" w:type="dxa"/>
            <w:noWrap w:val="0"/>
            <w:vAlign w:val="top"/>
          </w:tcPr>
          <w:p w14:paraId="22695D20">
            <w:pPr>
              <w:ind w:firstLine="480" w:firstLineChars="200"/>
              <w:rPr>
                <w:rFonts w:hint="eastAsia" w:ascii="宋体" w:hAnsi="宋体"/>
                <w:color w:val="000000"/>
                <w:sz w:val="24"/>
                <w:szCs w:val="24"/>
                <w:highlight w:val="none"/>
              </w:rPr>
            </w:pPr>
          </w:p>
        </w:tc>
      </w:tr>
      <w:tr w14:paraId="3E8AE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9C8EA1D">
            <w:pPr>
              <w:ind w:firstLine="480" w:firstLineChars="200"/>
              <w:rPr>
                <w:rFonts w:hint="eastAsia" w:ascii="宋体" w:hAnsi="宋体"/>
                <w:color w:val="000000"/>
                <w:sz w:val="24"/>
                <w:szCs w:val="24"/>
                <w:highlight w:val="none"/>
              </w:rPr>
            </w:pPr>
          </w:p>
        </w:tc>
        <w:tc>
          <w:tcPr>
            <w:tcW w:w="1332" w:type="dxa"/>
            <w:noWrap w:val="0"/>
            <w:vAlign w:val="top"/>
          </w:tcPr>
          <w:p w14:paraId="02FCC2F9">
            <w:pPr>
              <w:ind w:firstLine="480" w:firstLineChars="200"/>
              <w:rPr>
                <w:rFonts w:hint="eastAsia" w:ascii="宋体" w:hAnsi="宋体"/>
                <w:color w:val="000000"/>
                <w:sz w:val="24"/>
                <w:szCs w:val="24"/>
                <w:highlight w:val="none"/>
              </w:rPr>
            </w:pPr>
          </w:p>
        </w:tc>
        <w:tc>
          <w:tcPr>
            <w:tcW w:w="1440" w:type="dxa"/>
            <w:noWrap w:val="0"/>
            <w:vAlign w:val="top"/>
          </w:tcPr>
          <w:p w14:paraId="1FDF7FFD">
            <w:pPr>
              <w:ind w:firstLine="480" w:firstLineChars="200"/>
              <w:rPr>
                <w:rFonts w:hint="eastAsia" w:ascii="宋体" w:hAnsi="宋体"/>
                <w:color w:val="000000"/>
                <w:sz w:val="24"/>
                <w:szCs w:val="24"/>
                <w:highlight w:val="none"/>
              </w:rPr>
            </w:pPr>
          </w:p>
        </w:tc>
        <w:tc>
          <w:tcPr>
            <w:tcW w:w="720" w:type="dxa"/>
            <w:noWrap w:val="0"/>
            <w:vAlign w:val="top"/>
          </w:tcPr>
          <w:p w14:paraId="417688B6">
            <w:pPr>
              <w:ind w:firstLine="480" w:firstLineChars="200"/>
              <w:rPr>
                <w:rFonts w:hint="eastAsia" w:ascii="宋体" w:hAnsi="宋体"/>
                <w:color w:val="000000"/>
                <w:sz w:val="24"/>
                <w:szCs w:val="24"/>
                <w:highlight w:val="none"/>
              </w:rPr>
            </w:pPr>
          </w:p>
        </w:tc>
        <w:tc>
          <w:tcPr>
            <w:tcW w:w="1620" w:type="dxa"/>
            <w:noWrap w:val="0"/>
            <w:vAlign w:val="top"/>
          </w:tcPr>
          <w:p w14:paraId="64E2ABA7">
            <w:pPr>
              <w:ind w:firstLine="480" w:firstLineChars="200"/>
              <w:rPr>
                <w:rFonts w:hint="eastAsia" w:ascii="宋体" w:hAnsi="宋体"/>
                <w:color w:val="000000"/>
                <w:sz w:val="24"/>
                <w:szCs w:val="24"/>
                <w:highlight w:val="none"/>
              </w:rPr>
            </w:pPr>
          </w:p>
        </w:tc>
        <w:tc>
          <w:tcPr>
            <w:tcW w:w="1260" w:type="dxa"/>
            <w:noWrap w:val="0"/>
            <w:vAlign w:val="top"/>
          </w:tcPr>
          <w:p w14:paraId="606ECB45">
            <w:pPr>
              <w:ind w:firstLine="480" w:firstLineChars="200"/>
              <w:rPr>
                <w:rFonts w:hint="eastAsia" w:ascii="宋体" w:hAnsi="宋体"/>
                <w:color w:val="000000"/>
                <w:sz w:val="24"/>
                <w:szCs w:val="24"/>
                <w:highlight w:val="none"/>
              </w:rPr>
            </w:pPr>
          </w:p>
        </w:tc>
        <w:tc>
          <w:tcPr>
            <w:tcW w:w="1080" w:type="dxa"/>
            <w:noWrap w:val="0"/>
            <w:vAlign w:val="top"/>
          </w:tcPr>
          <w:p w14:paraId="301DE886">
            <w:pPr>
              <w:ind w:firstLine="480" w:firstLineChars="200"/>
              <w:rPr>
                <w:rFonts w:hint="eastAsia" w:ascii="宋体" w:hAnsi="宋体"/>
                <w:color w:val="000000"/>
                <w:sz w:val="24"/>
                <w:szCs w:val="24"/>
                <w:highlight w:val="none"/>
              </w:rPr>
            </w:pPr>
          </w:p>
        </w:tc>
        <w:tc>
          <w:tcPr>
            <w:tcW w:w="823" w:type="dxa"/>
            <w:noWrap w:val="0"/>
            <w:vAlign w:val="top"/>
          </w:tcPr>
          <w:p w14:paraId="2D665B22">
            <w:pPr>
              <w:ind w:firstLine="480" w:firstLineChars="200"/>
              <w:rPr>
                <w:rFonts w:hint="eastAsia" w:ascii="宋体" w:hAnsi="宋体"/>
                <w:color w:val="000000"/>
                <w:sz w:val="24"/>
                <w:szCs w:val="24"/>
                <w:highlight w:val="none"/>
              </w:rPr>
            </w:pPr>
          </w:p>
        </w:tc>
      </w:tr>
    </w:tbl>
    <w:p w14:paraId="42C3631A">
      <w:pPr>
        <w:ind w:firstLine="480" w:firstLineChars="200"/>
        <w:rPr>
          <w:rFonts w:hint="eastAsia" w:ascii="宋体" w:hAnsi="宋体"/>
          <w:color w:val="000000"/>
          <w:sz w:val="24"/>
          <w:szCs w:val="24"/>
          <w:highlight w:val="none"/>
        </w:rPr>
      </w:pPr>
    </w:p>
    <w:p w14:paraId="48E033A5">
      <w:pPr>
        <w:ind w:firstLine="480" w:firstLineChars="200"/>
        <w:rPr>
          <w:rFonts w:hint="eastAsia" w:ascii="宋体" w:hAnsi="宋体"/>
          <w:color w:val="000000"/>
          <w:sz w:val="24"/>
          <w:szCs w:val="24"/>
          <w:highlight w:val="none"/>
        </w:rPr>
      </w:pPr>
    </w:p>
    <w:p w14:paraId="1362E163">
      <w:pPr>
        <w:ind w:firstLine="480" w:firstLineChars="200"/>
        <w:rPr>
          <w:rFonts w:hint="eastAsia" w:ascii="宋体" w:hAnsi="宋体"/>
          <w:color w:val="000000"/>
          <w:sz w:val="24"/>
          <w:szCs w:val="24"/>
          <w:highlight w:val="none"/>
        </w:rPr>
      </w:pPr>
    </w:p>
    <w:p w14:paraId="2B8501C3">
      <w:pPr>
        <w:ind w:firstLine="480" w:firstLineChars="200"/>
        <w:rPr>
          <w:rFonts w:hint="eastAsia" w:ascii="宋体" w:hAnsi="宋体"/>
          <w:color w:val="000000"/>
          <w:sz w:val="24"/>
          <w:szCs w:val="24"/>
          <w:highlight w:val="none"/>
        </w:rPr>
      </w:pPr>
    </w:p>
    <w:p w14:paraId="1E049619">
      <w:pPr>
        <w:ind w:firstLine="480" w:firstLineChars="200"/>
        <w:rPr>
          <w:rFonts w:hint="eastAsia" w:ascii="宋体" w:hAnsi="宋体"/>
          <w:color w:val="000000"/>
          <w:sz w:val="24"/>
          <w:szCs w:val="24"/>
          <w:highlight w:val="none"/>
        </w:rPr>
      </w:pPr>
    </w:p>
    <w:p w14:paraId="1C3EE36A">
      <w:pPr>
        <w:pStyle w:val="6"/>
        <w:rPr>
          <w:rFonts w:hint="eastAsia" w:ascii="宋体" w:hAnsi="宋体"/>
          <w:color w:val="000000"/>
          <w:sz w:val="24"/>
          <w:szCs w:val="24"/>
          <w:highlight w:val="none"/>
        </w:rPr>
      </w:pPr>
    </w:p>
    <w:p w14:paraId="08816C88">
      <w:pPr>
        <w:pStyle w:val="6"/>
        <w:rPr>
          <w:rFonts w:hint="eastAsia" w:ascii="宋体" w:hAnsi="宋体"/>
          <w:color w:val="000000"/>
          <w:sz w:val="24"/>
          <w:szCs w:val="24"/>
          <w:highlight w:val="none"/>
        </w:rPr>
        <w:sectPr>
          <w:pgSz w:w="11907" w:h="16839"/>
          <w:pgMar w:top="1440" w:right="1134" w:bottom="1440" w:left="1134" w:header="851" w:footer="992" w:gutter="567"/>
          <w:pgBorders>
            <w:top w:val="none" w:sz="0" w:space="0"/>
            <w:left w:val="none" w:sz="0" w:space="0"/>
            <w:bottom w:val="none" w:sz="0" w:space="0"/>
            <w:right w:val="none" w:sz="0" w:space="0"/>
          </w:pgBorders>
          <w:pgNumType w:fmt="decimal"/>
          <w:cols w:space="720" w:num="1"/>
          <w:rtlGutter w:val="0"/>
          <w:docGrid w:type="lines" w:linePitch="312" w:charSpace="0"/>
        </w:sectPr>
      </w:pPr>
    </w:p>
    <w:p w14:paraId="6F5D60E4">
      <w:pPr>
        <w:widowControl/>
        <w:spacing w:line="360" w:lineRule="auto"/>
        <w:ind w:left="0" w:leftChars="0" w:firstLine="0" w:firstLineChars="0"/>
        <w:jc w:val="left"/>
        <w:rPr>
          <w:rFonts w:hint="eastAsia" w:ascii="宋体" w:hAnsi="宋体"/>
          <w:sz w:val="24"/>
          <w:szCs w:val="24"/>
          <w:highlight w:val="none"/>
        </w:rPr>
      </w:pPr>
      <w:r>
        <w:rPr>
          <w:rFonts w:hint="eastAsia" w:ascii="宋体" w:hAnsi="宋体"/>
          <w:sz w:val="24"/>
          <w:szCs w:val="24"/>
          <w:highlight w:val="none"/>
        </w:rPr>
        <w:t>附件2：发包人供应材料设备一览表</w:t>
      </w:r>
    </w:p>
    <w:tbl>
      <w:tblPr>
        <w:tblStyle w:val="9"/>
        <w:tblW w:w="89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
        <w:gridCol w:w="1454"/>
        <w:gridCol w:w="1364"/>
        <w:gridCol w:w="643"/>
        <w:gridCol w:w="951"/>
        <w:gridCol w:w="1056"/>
        <w:gridCol w:w="663"/>
        <w:gridCol w:w="663"/>
        <w:gridCol w:w="868"/>
        <w:gridCol w:w="630"/>
      </w:tblGrid>
      <w:tr w14:paraId="3309A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66" w:type="dxa"/>
            <w:noWrap w:val="0"/>
            <w:vAlign w:val="center"/>
          </w:tcPr>
          <w:p w14:paraId="1FD2DCAE">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序号</w:t>
            </w:r>
          </w:p>
        </w:tc>
        <w:tc>
          <w:tcPr>
            <w:tcW w:w="1454" w:type="dxa"/>
            <w:noWrap w:val="0"/>
            <w:vAlign w:val="center"/>
          </w:tcPr>
          <w:p w14:paraId="52C49C0F">
            <w:pPr>
              <w:widowControl/>
              <w:ind w:left="0" w:leftChars="0" w:firstLine="0" w:firstLineChars="0"/>
              <w:jc w:val="center"/>
              <w:rPr>
                <w:rFonts w:hint="eastAsia" w:ascii="宋体" w:hAnsi="宋体"/>
                <w:color w:val="000000"/>
                <w:kern w:val="0"/>
                <w:sz w:val="24"/>
                <w:szCs w:val="24"/>
                <w:highlight w:val="none"/>
              </w:rPr>
            </w:pPr>
            <w:r>
              <w:rPr>
                <w:rFonts w:hint="eastAsia" w:ascii="宋体" w:hAnsi="宋体"/>
                <w:color w:val="000000"/>
                <w:kern w:val="0"/>
                <w:sz w:val="24"/>
                <w:szCs w:val="24"/>
                <w:highlight w:val="none"/>
              </w:rPr>
              <w:t>材料设备</w:t>
            </w:r>
          </w:p>
          <w:p w14:paraId="42DB1855">
            <w:pPr>
              <w:widowControl/>
              <w:ind w:left="0" w:leftChars="0" w:firstLine="0" w:firstLineChars="0"/>
              <w:jc w:val="center"/>
              <w:rPr>
                <w:rFonts w:hint="eastAsia" w:ascii="宋体" w:hAnsi="宋体"/>
                <w:color w:val="000000"/>
                <w:kern w:val="0"/>
                <w:sz w:val="24"/>
                <w:szCs w:val="24"/>
                <w:highlight w:val="none"/>
              </w:rPr>
            </w:pPr>
            <w:r>
              <w:rPr>
                <w:rFonts w:hint="eastAsia" w:ascii="宋体" w:hAnsi="宋体"/>
                <w:color w:val="000000"/>
                <w:kern w:val="0"/>
                <w:sz w:val="24"/>
                <w:szCs w:val="24"/>
                <w:highlight w:val="none"/>
              </w:rPr>
              <w:t>品种</w:t>
            </w:r>
          </w:p>
        </w:tc>
        <w:tc>
          <w:tcPr>
            <w:tcW w:w="1364" w:type="dxa"/>
            <w:noWrap w:val="0"/>
            <w:vAlign w:val="center"/>
          </w:tcPr>
          <w:p w14:paraId="68B55C69">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规格型号</w:t>
            </w:r>
          </w:p>
        </w:tc>
        <w:tc>
          <w:tcPr>
            <w:tcW w:w="643" w:type="dxa"/>
            <w:noWrap w:val="0"/>
            <w:vAlign w:val="center"/>
          </w:tcPr>
          <w:p w14:paraId="7CA26D05">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单位</w:t>
            </w:r>
          </w:p>
        </w:tc>
        <w:tc>
          <w:tcPr>
            <w:tcW w:w="951" w:type="dxa"/>
            <w:noWrap w:val="0"/>
            <w:vAlign w:val="center"/>
          </w:tcPr>
          <w:p w14:paraId="15AF7EFD">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数量</w:t>
            </w:r>
          </w:p>
        </w:tc>
        <w:tc>
          <w:tcPr>
            <w:tcW w:w="1056" w:type="dxa"/>
            <w:noWrap w:val="0"/>
            <w:vAlign w:val="center"/>
          </w:tcPr>
          <w:p w14:paraId="61BB6855">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单价</w:t>
            </w:r>
          </w:p>
        </w:tc>
        <w:tc>
          <w:tcPr>
            <w:tcW w:w="663" w:type="dxa"/>
            <w:noWrap w:val="0"/>
            <w:vAlign w:val="center"/>
          </w:tcPr>
          <w:p w14:paraId="1876FC27">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质量</w:t>
            </w:r>
          </w:p>
          <w:p w14:paraId="1E714A73">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等级</w:t>
            </w:r>
          </w:p>
        </w:tc>
        <w:tc>
          <w:tcPr>
            <w:tcW w:w="663" w:type="dxa"/>
            <w:noWrap w:val="0"/>
            <w:vAlign w:val="center"/>
          </w:tcPr>
          <w:p w14:paraId="6D824009">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供应</w:t>
            </w:r>
          </w:p>
          <w:p w14:paraId="0AE698D6">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时间</w:t>
            </w:r>
          </w:p>
        </w:tc>
        <w:tc>
          <w:tcPr>
            <w:tcW w:w="868" w:type="dxa"/>
            <w:noWrap w:val="0"/>
            <w:vAlign w:val="center"/>
          </w:tcPr>
          <w:p w14:paraId="628FDBA2">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送达</w:t>
            </w:r>
          </w:p>
          <w:p w14:paraId="48C14470">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地点</w:t>
            </w:r>
          </w:p>
        </w:tc>
        <w:tc>
          <w:tcPr>
            <w:tcW w:w="630" w:type="dxa"/>
            <w:noWrap w:val="0"/>
            <w:vAlign w:val="center"/>
          </w:tcPr>
          <w:p w14:paraId="33C23A41">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备注</w:t>
            </w:r>
          </w:p>
        </w:tc>
      </w:tr>
      <w:tr w14:paraId="312E7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E670341">
            <w:pPr>
              <w:widowControl/>
              <w:jc w:val="center"/>
              <w:rPr>
                <w:rFonts w:hint="eastAsia" w:ascii="宋体" w:hAnsi="宋体"/>
                <w:color w:val="000000"/>
                <w:kern w:val="0"/>
                <w:sz w:val="24"/>
                <w:szCs w:val="24"/>
                <w:highlight w:val="none"/>
              </w:rPr>
            </w:pPr>
          </w:p>
        </w:tc>
        <w:tc>
          <w:tcPr>
            <w:tcW w:w="1454" w:type="dxa"/>
            <w:noWrap w:val="0"/>
            <w:vAlign w:val="center"/>
          </w:tcPr>
          <w:p w14:paraId="6FCDABCD">
            <w:pPr>
              <w:widowControl/>
              <w:jc w:val="center"/>
              <w:rPr>
                <w:rFonts w:hint="eastAsia" w:ascii="宋体" w:hAnsi="宋体"/>
                <w:color w:val="000000"/>
                <w:kern w:val="0"/>
                <w:sz w:val="24"/>
                <w:szCs w:val="24"/>
                <w:highlight w:val="none"/>
              </w:rPr>
            </w:pPr>
          </w:p>
        </w:tc>
        <w:tc>
          <w:tcPr>
            <w:tcW w:w="1364" w:type="dxa"/>
            <w:noWrap w:val="0"/>
            <w:vAlign w:val="center"/>
          </w:tcPr>
          <w:p w14:paraId="55A2AC09">
            <w:pPr>
              <w:widowControl/>
              <w:jc w:val="center"/>
              <w:rPr>
                <w:rFonts w:hint="eastAsia" w:ascii="宋体" w:hAnsi="宋体"/>
                <w:color w:val="000000"/>
                <w:kern w:val="0"/>
                <w:sz w:val="24"/>
                <w:szCs w:val="24"/>
                <w:highlight w:val="none"/>
              </w:rPr>
            </w:pPr>
          </w:p>
        </w:tc>
        <w:tc>
          <w:tcPr>
            <w:tcW w:w="643" w:type="dxa"/>
            <w:noWrap w:val="0"/>
            <w:vAlign w:val="center"/>
          </w:tcPr>
          <w:p w14:paraId="53422E3B">
            <w:pPr>
              <w:widowControl/>
              <w:jc w:val="center"/>
              <w:rPr>
                <w:rFonts w:hint="eastAsia" w:ascii="宋体" w:hAnsi="宋体"/>
                <w:color w:val="000000"/>
                <w:kern w:val="0"/>
                <w:sz w:val="24"/>
                <w:szCs w:val="24"/>
                <w:highlight w:val="none"/>
              </w:rPr>
            </w:pPr>
          </w:p>
        </w:tc>
        <w:tc>
          <w:tcPr>
            <w:tcW w:w="951" w:type="dxa"/>
            <w:noWrap w:val="0"/>
            <w:vAlign w:val="center"/>
          </w:tcPr>
          <w:p w14:paraId="489BE6E2">
            <w:pPr>
              <w:widowControl/>
              <w:jc w:val="center"/>
              <w:rPr>
                <w:rFonts w:hint="eastAsia" w:ascii="宋体" w:hAnsi="宋体"/>
                <w:color w:val="000000"/>
                <w:kern w:val="0"/>
                <w:sz w:val="24"/>
                <w:szCs w:val="24"/>
                <w:highlight w:val="none"/>
              </w:rPr>
            </w:pPr>
          </w:p>
        </w:tc>
        <w:tc>
          <w:tcPr>
            <w:tcW w:w="1056" w:type="dxa"/>
            <w:noWrap w:val="0"/>
            <w:vAlign w:val="center"/>
          </w:tcPr>
          <w:p w14:paraId="6E2C7BF9">
            <w:pPr>
              <w:widowControl/>
              <w:jc w:val="center"/>
              <w:rPr>
                <w:rFonts w:hint="eastAsia" w:ascii="宋体" w:hAnsi="宋体"/>
                <w:color w:val="000000"/>
                <w:kern w:val="0"/>
                <w:sz w:val="24"/>
                <w:szCs w:val="24"/>
                <w:highlight w:val="none"/>
              </w:rPr>
            </w:pPr>
          </w:p>
        </w:tc>
        <w:tc>
          <w:tcPr>
            <w:tcW w:w="663" w:type="dxa"/>
            <w:noWrap w:val="0"/>
            <w:vAlign w:val="center"/>
          </w:tcPr>
          <w:p w14:paraId="1C5CE5A3">
            <w:pPr>
              <w:widowControl/>
              <w:jc w:val="center"/>
              <w:rPr>
                <w:rFonts w:hint="eastAsia" w:ascii="宋体" w:hAnsi="宋体"/>
                <w:color w:val="000000"/>
                <w:kern w:val="0"/>
                <w:sz w:val="24"/>
                <w:szCs w:val="24"/>
                <w:highlight w:val="none"/>
              </w:rPr>
            </w:pPr>
          </w:p>
        </w:tc>
        <w:tc>
          <w:tcPr>
            <w:tcW w:w="663" w:type="dxa"/>
            <w:noWrap w:val="0"/>
            <w:vAlign w:val="center"/>
          </w:tcPr>
          <w:p w14:paraId="2F8E47E6">
            <w:pPr>
              <w:widowControl/>
              <w:jc w:val="center"/>
              <w:rPr>
                <w:rFonts w:ascii="宋体" w:hAnsi="宋体"/>
                <w:color w:val="000000"/>
                <w:kern w:val="0"/>
                <w:sz w:val="24"/>
                <w:szCs w:val="24"/>
                <w:highlight w:val="none"/>
              </w:rPr>
            </w:pPr>
          </w:p>
        </w:tc>
        <w:tc>
          <w:tcPr>
            <w:tcW w:w="868" w:type="dxa"/>
            <w:noWrap w:val="0"/>
            <w:vAlign w:val="center"/>
          </w:tcPr>
          <w:p w14:paraId="22FB519E">
            <w:pPr>
              <w:widowControl/>
              <w:jc w:val="center"/>
              <w:rPr>
                <w:rFonts w:hint="eastAsia" w:ascii="宋体" w:hAnsi="宋体"/>
                <w:color w:val="000000"/>
                <w:kern w:val="0"/>
                <w:sz w:val="24"/>
                <w:szCs w:val="24"/>
                <w:highlight w:val="none"/>
              </w:rPr>
            </w:pPr>
          </w:p>
        </w:tc>
        <w:tc>
          <w:tcPr>
            <w:tcW w:w="630" w:type="dxa"/>
            <w:noWrap w:val="0"/>
            <w:vAlign w:val="center"/>
          </w:tcPr>
          <w:p w14:paraId="7356AA7C">
            <w:pPr>
              <w:widowControl/>
              <w:jc w:val="center"/>
              <w:rPr>
                <w:rFonts w:ascii="宋体" w:hAnsi="宋体"/>
                <w:color w:val="000000"/>
                <w:kern w:val="0"/>
                <w:sz w:val="24"/>
                <w:szCs w:val="24"/>
                <w:highlight w:val="none"/>
              </w:rPr>
            </w:pPr>
          </w:p>
        </w:tc>
      </w:tr>
      <w:tr w14:paraId="0B092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122847D5">
            <w:pPr>
              <w:widowControl/>
              <w:jc w:val="center"/>
              <w:rPr>
                <w:rFonts w:hint="eastAsia" w:ascii="宋体" w:hAnsi="宋体"/>
                <w:color w:val="000000"/>
                <w:kern w:val="0"/>
                <w:sz w:val="24"/>
                <w:szCs w:val="24"/>
                <w:highlight w:val="none"/>
              </w:rPr>
            </w:pPr>
          </w:p>
        </w:tc>
        <w:tc>
          <w:tcPr>
            <w:tcW w:w="1454" w:type="dxa"/>
            <w:noWrap w:val="0"/>
            <w:vAlign w:val="center"/>
          </w:tcPr>
          <w:p w14:paraId="68E66131">
            <w:pPr>
              <w:widowControl/>
              <w:jc w:val="center"/>
              <w:rPr>
                <w:rFonts w:hint="eastAsia" w:ascii="宋体" w:hAnsi="宋体"/>
                <w:color w:val="000000"/>
                <w:kern w:val="0"/>
                <w:sz w:val="24"/>
                <w:szCs w:val="24"/>
                <w:highlight w:val="none"/>
              </w:rPr>
            </w:pPr>
          </w:p>
        </w:tc>
        <w:tc>
          <w:tcPr>
            <w:tcW w:w="1364" w:type="dxa"/>
            <w:noWrap w:val="0"/>
            <w:vAlign w:val="center"/>
          </w:tcPr>
          <w:p w14:paraId="5C8E8E0B">
            <w:pPr>
              <w:widowControl/>
              <w:jc w:val="center"/>
              <w:rPr>
                <w:rFonts w:hint="eastAsia" w:ascii="宋体" w:hAnsi="宋体"/>
                <w:color w:val="000000"/>
                <w:kern w:val="0"/>
                <w:sz w:val="24"/>
                <w:szCs w:val="24"/>
                <w:highlight w:val="none"/>
              </w:rPr>
            </w:pPr>
          </w:p>
        </w:tc>
        <w:tc>
          <w:tcPr>
            <w:tcW w:w="643" w:type="dxa"/>
            <w:noWrap w:val="0"/>
            <w:vAlign w:val="center"/>
          </w:tcPr>
          <w:p w14:paraId="3CD75F57">
            <w:pPr>
              <w:widowControl/>
              <w:jc w:val="center"/>
              <w:rPr>
                <w:rFonts w:hint="eastAsia" w:ascii="宋体" w:hAnsi="宋体"/>
                <w:color w:val="000000"/>
                <w:kern w:val="0"/>
                <w:sz w:val="24"/>
                <w:szCs w:val="24"/>
                <w:highlight w:val="none"/>
              </w:rPr>
            </w:pPr>
          </w:p>
        </w:tc>
        <w:tc>
          <w:tcPr>
            <w:tcW w:w="951" w:type="dxa"/>
            <w:noWrap w:val="0"/>
            <w:vAlign w:val="center"/>
          </w:tcPr>
          <w:p w14:paraId="3CB65BE7">
            <w:pPr>
              <w:widowControl/>
              <w:jc w:val="center"/>
              <w:rPr>
                <w:rFonts w:hint="eastAsia" w:ascii="宋体" w:hAnsi="宋体"/>
                <w:color w:val="000000"/>
                <w:kern w:val="0"/>
                <w:sz w:val="24"/>
                <w:szCs w:val="24"/>
                <w:highlight w:val="none"/>
              </w:rPr>
            </w:pPr>
          </w:p>
        </w:tc>
        <w:tc>
          <w:tcPr>
            <w:tcW w:w="1056" w:type="dxa"/>
            <w:noWrap w:val="0"/>
            <w:vAlign w:val="center"/>
          </w:tcPr>
          <w:p w14:paraId="174AC315">
            <w:pPr>
              <w:widowControl/>
              <w:jc w:val="center"/>
              <w:rPr>
                <w:rFonts w:hint="eastAsia" w:ascii="宋体" w:hAnsi="宋体"/>
                <w:color w:val="000000"/>
                <w:kern w:val="0"/>
                <w:sz w:val="24"/>
                <w:szCs w:val="24"/>
                <w:highlight w:val="none"/>
              </w:rPr>
            </w:pPr>
          </w:p>
        </w:tc>
        <w:tc>
          <w:tcPr>
            <w:tcW w:w="663" w:type="dxa"/>
            <w:noWrap w:val="0"/>
            <w:vAlign w:val="center"/>
          </w:tcPr>
          <w:p w14:paraId="797B469B">
            <w:pPr>
              <w:widowControl/>
              <w:jc w:val="center"/>
              <w:rPr>
                <w:rFonts w:hint="eastAsia" w:ascii="宋体" w:hAnsi="宋体"/>
                <w:color w:val="000000"/>
                <w:kern w:val="0"/>
                <w:sz w:val="24"/>
                <w:szCs w:val="24"/>
                <w:highlight w:val="none"/>
              </w:rPr>
            </w:pPr>
          </w:p>
        </w:tc>
        <w:tc>
          <w:tcPr>
            <w:tcW w:w="663" w:type="dxa"/>
            <w:noWrap w:val="0"/>
            <w:vAlign w:val="center"/>
          </w:tcPr>
          <w:p w14:paraId="6D08817D">
            <w:pPr>
              <w:widowControl/>
              <w:jc w:val="center"/>
              <w:rPr>
                <w:rFonts w:ascii="宋体" w:hAnsi="宋体"/>
                <w:color w:val="000000"/>
                <w:kern w:val="0"/>
                <w:sz w:val="24"/>
                <w:szCs w:val="24"/>
                <w:highlight w:val="none"/>
              </w:rPr>
            </w:pPr>
          </w:p>
        </w:tc>
        <w:tc>
          <w:tcPr>
            <w:tcW w:w="868" w:type="dxa"/>
            <w:noWrap w:val="0"/>
            <w:vAlign w:val="center"/>
          </w:tcPr>
          <w:p w14:paraId="7BFEC80A">
            <w:pPr>
              <w:widowControl/>
              <w:jc w:val="center"/>
              <w:rPr>
                <w:rFonts w:hint="eastAsia" w:ascii="宋体" w:hAnsi="宋体"/>
                <w:color w:val="000000"/>
                <w:kern w:val="0"/>
                <w:sz w:val="24"/>
                <w:szCs w:val="24"/>
                <w:highlight w:val="none"/>
              </w:rPr>
            </w:pPr>
          </w:p>
        </w:tc>
        <w:tc>
          <w:tcPr>
            <w:tcW w:w="630" w:type="dxa"/>
            <w:noWrap w:val="0"/>
            <w:vAlign w:val="center"/>
          </w:tcPr>
          <w:p w14:paraId="21509571">
            <w:pPr>
              <w:widowControl/>
              <w:jc w:val="center"/>
              <w:rPr>
                <w:rFonts w:ascii="宋体" w:hAnsi="宋体"/>
                <w:color w:val="000000"/>
                <w:kern w:val="0"/>
                <w:sz w:val="24"/>
                <w:szCs w:val="24"/>
                <w:highlight w:val="none"/>
              </w:rPr>
            </w:pPr>
          </w:p>
        </w:tc>
      </w:tr>
      <w:tr w14:paraId="1D603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6ACB06EA">
            <w:pPr>
              <w:widowControl/>
              <w:jc w:val="center"/>
              <w:rPr>
                <w:rFonts w:hint="eastAsia" w:ascii="宋体" w:hAnsi="宋体"/>
                <w:color w:val="000000"/>
                <w:kern w:val="0"/>
                <w:sz w:val="24"/>
                <w:szCs w:val="24"/>
                <w:highlight w:val="none"/>
              </w:rPr>
            </w:pPr>
          </w:p>
        </w:tc>
        <w:tc>
          <w:tcPr>
            <w:tcW w:w="1454" w:type="dxa"/>
            <w:noWrap w:val="0"/>
            <w:vAlign w:val="center"/>
          </w:tcPr>
          <w:p w14:paraId="663F9061">
            <w:pPr>
              <w:widowControl/>
              <w:jc w:val="center"/>
              <w:rPr>
                <w:rFonts w:hint="eastAsia" w:ascii="宋体" w:hAnsi="宋体"/>
                <w:color w:val="000000"/>
                <w:kern w:val="0"/>
                <w:sz w:val="24"/>
                <w:szCs w:val="24"/>
                <w:highlight w:val="none"/>
              </w:rPr>
            </w:pPr>
          </w:p>
        </w:tc>
        <w:tc>
          <w:tcPr>
            <w:tcW w:w="1364" w:type="dxa"/>
            <w:noWrap w:val="0"/>
            <w:vAlign w:val="center"/>
          </w:tcPr>
          <w:p w14:paraId="270BF074">
            <w:pPr>
              <w:widowControl/>
              <w:jc w:val="center"/>
              <w:rPr>
                <w:rFonts w:hint="eastAsia" w:ascii="宋体" w:hAnsi="宋体"/>
                <w:color w:val="000000"/>
                <w:kern w:val="0"/>
                <w:sz w:val="24"/>
                <w:szCs w:val="24"/>
                <w:highlight w:val="none"/>
              </w:rPr>
            </w:pPr>
          </w:p>
        </w:tc>
        <w:tc>
          <w:tcPr>
            <w:tcW w:w="643" w:type="dxa"/>
            <w:noWrap w:val="0"/>
            <w:vAlign w:val="center"/>
          </w:tcPr>
          <w:p w14:paraId="1B0A1DF7">
            <w:pPr>
              <w:widowControl/>
              <w:jc w:val="center"/>
              <w:rPr>
                <w:rFonts w:hint="eastAsia" w:ascii="宋体" w:hAnsi="宋体"/>
                <w:color w:val="000000"/>
                <w:kern w:val="0"/>
                <w:sz w:val="24"/>
                <w:szCs w:val="24"/>
                <w:highlight w:val="none"/>
              </w:rPr>
            </w:pPr>
          </w:p>
        </w:tc>
        <w:tc>
          <w:tcPr>
            <w:tcW w:w="951" w:type="dxa"/>
            <w:noWrap w:val="0"/>
            <w:vAlign w:val="center"/>
          </w:tcPr>
          <w:p w14:paraId="40D9672D">
            <w:pPr>
              <w:widowControl/>
              <w:jc w:val="center"/>
              <w:rPr>
                <w:rFonts w:hint="eastAsia" w:ascii="宋体" w:hAnsi="宋体"/>
                <w:color w:val="000000"/>
                <w:kern w:val="0"/>
                <w:sz w:val="24"/>
                <w:szCs w:val="24"/>
                <w:highlight w:val="none"/>
              </w:rPr>
            </w:pPr>
          </w:p>
        </w:tc>
        <w:tc>
          <w:tcPr>
            <w:tcW w:w="1056" w:type="dxa"/>
            <w:noWrap w:val="0"/>
            <w:vAlign w:val="center"/>
          </w:tcPr>
          <w:p w14:paraId="3DDA9E9A">
            <w:pPr>
              <w:widowControl/>
              <w:jc w:val="center"/>
              <w:rPr>
                <w:rFonts w:hint="eastAsia" w:ascii="宋体" w:hAnsi="宋体"/>
                <w:color w:val="000000"/>
                <w:kern w:val="0"/>
                <w:sz w:val="24"/>
                <w:szCs w:val="24"/>
                <w:highlight w:val="none"/>
              </w:rPr>
            </w:pPr>
          </w:p>
        </w:tc>
        <w:tc>
          <w:tcPr>
            <w:tcW w:w="663" w:type="dxa"/>
            <w:noWrap w:val="0"/>
            <w:vAlign w:val="center"/>
          </w:tcPr>
          <w:p w14:paraId="7EE77363">
            <w:pPr>
              <w:widowControl/>
              <w:jc w:val="center"/>
              <w:rPr>
                <w:rFonts w:ascii="宋体" w:hAnsi="宋体"/>
                <w:color w:val="000000"/>
                <w:kern w:val="0"/>
                <w:sz w:val="24"/>
                <w:szCs w:val="24"/>
                <w:highlight w:val="none"/>
              </w:rPr>
            </w:pPr>
          </w:p>
        </w:tc>
        <w:tc>
          <w:tcPr>
            <w:tcW w:w="663" w:type="dxa"/>
            <w:noWrap w:val="0"/>
            <w:vAlign w:val="center"/>
          </w:tcPr>
          <w:p w14:paraId="743EEF18">
            <w:pPr>
              <w:widowControl/>
              <w:jc w:val="center"/>
              <w:rPr>
                <w:rFonts w:ascii="宋体" w:hAnsi="宋体"/>
                <w:color w:val="000000"/>
                <w:kern w:val="0"/>
                <w:sz w:val="24"/>
                <w:szCs w:val="24"/>
                <w:highlight w:val="none"/>
              </w:rPr>
            </w:pPr>
          </w:p>
        </w:tc>
        <w:tc>
          <w:tcPr>
            <w:tcW w:w="868" w:type="dxa"/>
            <w:noWrap w:val="0"/>
            <w:vAlign w:val="center"/>
          </w:tcPr>
          <w:p w14:paraId="706CDEDB">
            <w:pPr>
              <w:widowControl/>
              <w:jc w:val="center"/>
              <w:rPr>
                <w:rFonts w:hint="eastAsia" w:ascii="宋体" w:hAnsi="宋体"/>
                <w:color w:val="000000"/>
                <w:kern w:val="0"/>
                <w:sz w:val="24"/>
                <w:szCs w:val="24"/>
                <w:highlight w:val="none"/>
              </w:rPr>
            </w:pPr>
          </w:p>
        </w:tc>
        <w:tc>
          <w:tcPr>
            <w:tcW w:w="630" w:type="dxa"/>
            <w:noWrap w:val="0"/>
            <w:vAlign w:val="center"/>
          </w:tcPr>
          <w:p w14:paraId="7218FAF9">
            <w:pPr>
              <w:widowControl/>
              <w:jc w:val="center"/>
              <w:rPr>
                <w:rFonts w:ascii="宋体" w:hAnsi="宋体"/>
                <w:color w:val="000000"/>
                <w:kern w:val="0"/>
                <w:sz w:val="24"/>
                <w:szCs w:val="24"/>
                <w:highlight w:val="none"/>
              </w:rPr>
            </w:pPr>
          </w:p>
        </w:tc>
      </w:tr>
      <w:tr w14:paraId="7CE7E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1F26B942">
            <w:pPr>
              <w:widowControl/>
              <w:jc w:val="center"/>
              <w:rPr>
                <w:rFonts w:hint="eastAsia" w:ascii="宋体" w:hAnsi="宋体"/>
                <w:color w:val="000000"/>
                <w:kern w:val="0"/>
                <w:sz w:val="24"/>
                <w:szCs w:val="24"/>
                <w:highlight w:val="none"/>
              </w:rPr>
            </w:pPr>
          </w:p>
        </w:tc>
        <w:tc>
          <w:tcPr>
            <w:tcW w:w="1454" w:type="dxa"/>
            <w:noWrap w:val="0"/>
            <w:vAlign w:val="center"/>
          </w:tcPr>
          <w:p w14:paraId="66395C18">
            <w:pPr>
              <w:widowControl/>
              <w:jc w:val="center"/>
              <w:rPr>
                <w:rFonts w:hint="eastAsia" w:ascii="宋体" w:hAnsi="宋体"/>
                <w:color w:val="000000"/>
                <w:kern w:val="0"/>
                <w:sz w:val="24"/>
                <w:szCs w:val="24"/>
                <w:highlight w:val="none"/>
              </w:rPr>
            </w:pPr>
          </w:p>
        </w:tc>
        <w:tc>
          <w:tcPr>
            <w:tcW w:w="1364" w:type="dxa"/>
            <w:noWrap w:val="0"/>
            <w:vAlign w:val="center"/>
          </w:tcPr>
          <w:p w14:paraId="1EAECCDC">
            <w:pPr>
              <w:widowControl/>
              <w:jc w:val="center"/>
              <w:rPr>
                <w:rFonts w:hint="eastAsia" w:ascii="宋体" w:hAnsi="宋体"/>
                <w:color w:val="000000"/>
                <w:kern w:val="0"/>
                <w:sz w:val="24"/>
                <w:szCs w:val="24"/>
                <w:highlight w:val="none"/>
              </w:rPr>
            </w:pPr>
          </w:p>
        </w:tc>
        <w:tc>
          <w:tcPr>
            <w:tcW w:w="643" w:type="dxa"/>
            <w:noWrap w:val="0"/>
            <w:vAlign w:val="center"/>
          </w:tcPr>
          <w:p w14:paraId="7D4EDD6F">
            <w:pPr>
              <w:widowControl/>
              <w:jc w:val="center"/>
              <w:rPr>
                <w:rFonts w:hint="eastAsia" w:ascii="宋体" w:hAnsi="宋体"/>
                <w:color w:val="000000"/>
                <w:kern w:val="0"/>
                <w:sz w:val="24"/>
                <w:szCs w:val="24"/>
                <w:highlight w:val="none"/>
              </w:rPr>
            </w:pPr>
          </w:p>
        </w:tc>
        <w:tc>
          <w:tcPr>
            <w:tcW w:w="951" w:type="dxa"/>
            <w:noWrap w:val="0"/>
            <w:vAlign w:val="center"/>
          </w:tcPr>
          <w:p w14:paraId="60D78A67">
            <w:pPr>
              <w:widowControl/>
              <w:jc w:val="center"/>
              <w:rPr>
                <w:rFonts w:hint="eastAsia" w:ascii="宋体" w:hAnsi="宋体"/>
                <w:color w:val="000000"/>
                <w:kern w:val="0"/>
                <w:sz w:val="24"/>
                <w:szCs w:val="24"/>
                <w:highlight w:val="none"/>
              </w:rPr>
            </w:pPr>
          </w:p>
        </w:tc>
        <w:tc>
          <w:tcPr>
            <w:tcW w:w="1056" w:type="dxa"/>
            <w:noWrap w:val="0"/>
            <w:vAlign w:val="center"/>
          </w:tcPr>
          <w:p w14:paraId="0D9B6626">
            <w:pPr>
              <w:widowControl/>
              <w:jc w:val="center"/>
              <w:rPr>
                <w:rFonts w:hint="eastAsia" w:ascii="宋体" w:hAnsi="宋体"/>
                <w:color w:val="000000"/>
                <w:kern w:val="0"/>
                <w:sz w:val="24"/>
                <w:szCs w:val="24"/>
                <w:highlight w:val="none"/>
              </w:rPr>
            </w:pPr>
          </w:p>
        </w:tc>
        <w:tc>
          <w:tcPr>
            <w:tcW w:w="663" w:type="dxa"/>
            <w:noWrap w:val="0"/>
            <w:vAlign w:val="center"/>
          </w:tcPr>
          <w:p w14:paraId="4036117A">
            <w:pPr>
              <w:widowControl/>
              <w:jc w:val="center"/>
              <w:rPr>
                <w:rFonts w:ascii="宋体" w:hAnsi="宋体"/>
                <w:color w:val="000000"/>
                <w:kern w:val="0"/>
                <w:sz w:val="24"/>
                <w:szCs w:val="24"/>
                <w:highlight w:val="none"/>
              </w:rPr>
            </w:pPr>
          </w:p>
        </w:tc>
        <w:tc>
          <w:tcPr>
            <w:tcW w:w="663" w:type="dxa"/>
            <w:noWrap w:val="0"/>
            <w:vAlign w:val="center"/>
          </w:tcPr>
          <w:p w14:paraId="16892E2E">
            <w:pPr>
              <w:widowControl/>
              <w:jc w:val="center"/>
              <w:rPr>
                <w:rFonts w:ascii="宋体" w:hAnsi="宋体"/>
                <w:color w:val="000000"/>
                <w:kern w:val="0"/>
                <w:sz w:val="24"/>
                <w:szCs w:val="24"/>
                <w:highlight w:val="none"/>
              </w:rPr>
            </w:pPr>
          </w:p>
        </w:tc>
        <w:tc>
          <w:tcPr>
            <w:tcW w:w="868" w:type="dxa"/>
            <w:noWrap w:val="0"/>
            <w:vAlign w:val="center"/>
          </w:tcPr>
          <w:p w14:paraId="0B5297E8">
            <w:pPr>
              <w:widowControl/>
              <w:jc w:val="center"/>
              <w:rPr>
                <w:rFonts w:hint="eastAsia" w:ascii="宋体" w:hAnsi="宋体"/>
                <w:color w:val="000000"/>
                <w:kern w:val="0"/>
                <w:sz w:val="24"/>
                <w:szCs w:val="24"/>
                <w:highlight w:val="none"/>
              </w:rPr>
            </w:pPr>
          </w:p>
        </w:tc>
        <w:tc>
          <w:tcPr>
            <w:tcW w:w="630" w:type="dxa"/>
            <w:noWrap w:val="0"/>
            <w:vAlign w:val="center"/>
          </w:tcPr>
          <w:p w14:paraId="744E8219">
            <w:pPr>
              <w:widowControl/>
              <w:jc w:val="center"/>
              <w:rPr>
                <w:rFonts w:ascii="宋体" w:hAnsi="宋体"/>
                <w:color w:val="000000"/>
                <w:kern w:val="0"/>
                <w:sz w:val="24"/>
                <w:szCs w:val="24"/>
                <w:highlight w:val="none"/>
              </w:rPr>
            </w:pPr>
          </w:p>
        </w:tc>
      </w:tr>
      <w:tr w14:paraId="18DD5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48356F5">
            <w:pPr>
              <w:widowControl/>
              <w:jc w:val="center"/>
              <w:rPr>
                <w:rFonts w:hint="eastAsia" w:ascii="宋体" w:hAnsi="宋体"/>
                <w:color w:val="000000"/>
                <w:kern w:val="0"/>
                <w:sz w:val="24"/>
                <w:szCs w:val="24"/>
                <w:highlight w:val="none"/>
              </w:rPr>
            </w:pPr>
          </w:p>
        </w:tc>
        <w:tc>
          <w:tcPr>
            <w:tcW w:w="1454" w:type="dxa"/>
            <w:noWrap w:val="0"/>
            <w:vAlign w:val="center"/>
          </w:tcPr>
          <w:p w14:paraId="263ED5A5">
            <w:pPr>
              <w:widowControl/>
              <w:jc w:val="center"/>
              <w:rPr>
                <w:rFonts w:hint="eastAsia" w:ascii="宋体" w:hAnsi="宋体"/>
                <w:color w:val="000000"/>
                <w:kern w:val="0"/>
                <w:sz w:val="24"/>
                <w:szCs w:val="24"/>
                <w:highlight w:val="none"/>
              </w:rPr>
            </w:pPr>
          </w:p>
        </w:tc>
        <w:tc>
          <w:tcPr>
            <w:tcW w:w="1364" w:type="dxa"/>
            <w:noWrap w:val="0"/>
            <w:vAlign w:val="center"/>
          </w:tcPr>
          <w:p w14:paraId="29DE48C1">
            <w:pPr>
              <w:widowControl/>
              <w:jc w:val="center"/>
              <w:rPr>
                <w:rFonts w:hint="eastAsia" w:ascii="宋体" w:hAnsi="宋体"/>
                <w:color w:val="000000"/>
                <w:kern w:val="0"/>
                <w:sz w:val="24"/>
                <w:szCs w:val="24"/>
                <w:highlight w:val="none"/>
              </w:rPr>
            </w:pPr>
          </w:p>
        </w:tc>
        <w:tc>
          <w:tcPr>
            <w:tcW w:w="643" w:type="dxa"/>
            <w:noWrap w:val="0"/>
            <w:vAlign w:val="center"/>
          </w:tcPr>
          <w:p w14:paraId="5BB59980">
            <w:pPr>
              <w:widowControl/>
              <w:jc w:val="center"/>
              <w:rPr>
                <w:rFonts w:hint="eastAsia" w:ascii="宋体" w:hAnsi="宋体"/>
                <w:color w:val="000000"/>
                <w:kern w:val="0"/>
                <w:sz w:val="24"/>
                <w:szCs w:val="24"/>
                <w:highlight w:val="none"/>
              </w:rPr>
            </w:pPr>
          </w:p>
        </w:tc>
        <w:tc>
          <w:tcPr>
            <w:tcW w:w="951" w:type="dxa"/>
            <w:noWrap w:val="0"/>
            <w:vAlign w:val="center"/>
          </w:tcPr>
          <w:p w14:paraId="2C7AB3CD">
            <w:pPr>
              <w:widowControl/>
              <w:jc w:val="center"/>
              <w:rPr>
                <w:rFonts w:hint="eastAsia" w:ascii="宋体" w:hAnsi="宋体"/>
                <w:color w:val="000000"/>
                <w:kern w:val="0"/>
                <w:sz w:val="24"/>
                <w:szCs w:val="24"/>
                <w:highlight w:val="none"/>
              </w:rPr>
            </w:pPr>
          </w:p>
        </w:tc>
        <w:tc>
          <w:tcPr>
            <w:tcW w:w="1056" w:type="dxa"/>
            <w:noWrap w:val="0"/>
            <w:vAlign w:val="center"/>
          </w:tcPr>
          <w:p w14:paraId="76BFB63A">
            <w:pPr>
              <w:widowControl/>
              <w:jc w:val="center"/>
              <w:rPr>
                <w:rFonts w:hint="eastAsia" w:ascii="宋体" w:hAnsi="宋体"/>
                <w:color w:val="000000"/>
                <w:kern w:val="0"/>
                <w:sz w:val="24"/>
                <w:szCs w:val="24"/>
                <w:highlight w:val="none"/>
              </w:rPr>
            </w:pPr>
          </w:p>
        </w:tc>
        <w:tc>
          <w:tcPr>
            <w:tcW w:w="663" w:type="dxa"/>
            <w:noWrap w:val="0"/>
            <w:vAlign w:val="center"/>
          </w:tcPr>
          <w:p w14:paraId="44448D0F">
            <w:pPr>
              <w:widowControl/>
              <w:jc w:val="center"/>
              <w:rPr>
                <w:rFonts w:ascii="宋体" w:hAnsi="宋体"/>
                <w:color w:val="000000"/>
                <w:kern w:val="0"/>
                <w:sz w:val="24"/>
                <w:szCs w:val="24"/>
                <w:highlight w:val="none"/>
              </w:rPr>
            </w:pPr>
          </w:p>
        </w:tc>
        <w:tc>
          <w:tcPr>
            <w:tcW w:w="663" w:type="dxa"/>
            <w:noWrap w:val="0"/>
            <w:vAlign w:val="center"/>
          </w:tcPr>
          <w:p w14:paraId="336815D3">
            <w:pPr>
              <w:widowControl/>
              <w:jc w:val="center"/>
              <w:rPr>
                <w:rFonts w:ascii="宋体" w:hAnsi="宋体"/>
                <w:color w:val="000000"/>
                <w:kern w:val="0"/>
                <w:sz w:val="24"/>
                <w:szCs w:val="24"/>
                <w:highlight w:val="none"/>
              </w:rPr>
            </w:pPr>
          </w:p>
        </w:tc>
        <w:tc>
          <w:tcPr>
            <w:tcW w:w="868" w:type="dxa"/>
            <w:noWrap w:val="0"/>
            <w:vAlign w:val="center"/>
          </w:tcPr>
          <w:p w14:paraId="7755E19D">
            <w:pPr>
              <w:widowControl/>
              <w:jc w:val="center"/>
              <w:rPr>
                <w:rFonts w:hint="eastAsia" w:ascii="宋体" w:hAnsi="宋体"/>
                <w:color w:val="000000"/>
                <w:kern w:val="0"/>
                <w:sz w:val="24"/>
                <w:szCs w:val="24"/>
                <w:highlight w:val="none"/>
              </w:rPr>
            </w:pPr>
          </w:p>
        </w:tc>
        <w:tc>
          <w:tcPr>
            <w:tcW w:w="630" w:type="dxa"/>
            <w:noWrap w:val="0"/>
            <w:vAlign w:val="center"/>
          </w:tcPr>
          <w:p w14:paraId="1C764A3D">
            <w:pPr>
              <w:widowControl/>
              <w:jc w:val="center"/>
              <w:rPr>
                <w:rFonts w:ascii="宋体" w:hAnsi="宋体"/>
                <w:color w:val="000000"/>
                <w:kern w:val="0"/>
                <w:sz w:val="24"/>
                <w:szCs w:val="24"/>
                <w:highlight w:val="none"/>
              </w:rPr>
            </w:pPr>
          </w:p>
        </w:tc>
      </w:tr>
      <w:tr w14:paraId="14D25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6A78C136">
            <w:pPr>
              <w:widowControl/>
              <w:jc w:val="center"/>
              <w:rPr>
                <w:rFonts w:hint="eastAsia" w:ascii="宋体" w:hAnsi="宋体"/>
                <w:color w:val="000000"/>
                <w:kern w:val="0"/>
                <w:sz w:val="24"/>
                <w:szCs w:val="24"/>
                <w:highlight w:val="none"/>
              </w:rPr>
            </w:pPr>
          </w:p>
        </w:tc>
        <w:tc>
          <w:tcPr>
            <w:tcW w:w="1454" w:type="dxa"/>
            <w:noWrap w:val="0"/>
            <w:vAlign w:val="center"/>
          </w:tcPr>
          <w:p w14:paraId="3AB1F063">
            <w:pPr>
              <w:widowControl/>
              <w:jc w:val="center"/>
              <w:rPr>
                <w:rFonts w:hint="eastAsia" w:ascii="宋体" w:hAnsi="宋体"/>
                <w:color w:val="000000"/>
                <w:kern w:val="0"/>
                <w:sz w:val="24"/>
                <w:szCs w:val="24"/>
                <w:highlight w:val="none"/>
              </w:rPr>
            </w:pPr>
          </w:p>
        </w:tc>
        <w:tc>
          <w:tcPr>
            <w:tcW w:w="1364" w:type="dxa"/>
            <w:noWrap w:val="0"/>
            <w:vAlign w:val="center"/>
          </w:tcPr>
          <w:p w14:paraId="1F852E9B">
            <w:pPr>
              <w:widowControl/>
              <w:jc w:val="center"/>
              <w:rPr>
                <w:rFonts w:ascii="宋体" w:hAnsi="宋体"/>
                <w:color w:val="000000"/>
                <w:kern w:val="0"/>
                <w:sz w:val="24"/>
                <w:szCs w:val="24"/>
                <w:highlight w:val="none"/>
              </w:rPr>
            </w:pPr>
          </w:p>
        </w:tc>
        <w:tc>
          <w:tcPr>
            <w:tcW w:w="643" w:type="dxa"/>
            <w:noWrap w:val="0"/>
            <w:vAlign w:val="center"/>
          </w:tcPr>
          <w:p w14:paraId="60393EEC">
            <w:pPr>
              <w:widowControl/>
              <w:jc w:val="center"/>
              <w:rPr>
                <w:rFonts w:hint="eastAsia" w:ascii="宋体" w:hAnsi="宋体"/>
                <w:color w:val="000000"/>
                <w:kern w:val="0"/>
                <w:sz w:val="24"/>
                <w:szCs w:val="24"/>
                <w:highlight w:val="none"/>
              </w:rPr>
            </w:pPr>
          </w:p>
        </w:tc>
        <w:tc>
          <w:tcPr>
            <w:tcW w:w="951" w:type="dxa"/>
            <w:noWrap w:val="0"/>
            <w:vAlign w:val="center"/>
          </w:tcPr>
          <w:p w14:paraId="118C914E">
            <w:pPr>
              <w:widowControl/>
              <w:jc w:val="center"/>
              <w:rPr>
                <w:rFonts w:hint="eastAsia" w:ascii="宋体" w:hAnsi="宋体"/>
                <w:color w:val="000000"/>
                <w:kern w:val="0"/>
                <w:sz w:val="24"/>
                <w:szCs w:val="24"/>
                <w:highlight w:val="none"/>
              </w:rPr>
            </w:pPr>
          </w:p>
        </w:tc>
        <w:tc>
          <w:tcPr>
            <w:tcW w:w="1056" w:type="dxa"/>
            <w:noWrap w:val="0"/>
            <w:vAlign w:val="center"/>
          </w:tcPr>
          <w:p w14:paraId="4EE1EF53">
            <w:pPr>
              <w:widowControl/>
              <w:jc w:val="center"/>
              <w:rPr>
                <w:rFonts w:hint="eastAsia" w:ascii="宋体" w:hAnsi="宋体"/>
                <w:color w:val="000000"/>
                <w:kern w:val="0"/>
                <w:sz w:val="24"/>
                <w:szCs w:val="24"/>
                <w:highlight w:val="none"/>
              </w:rPr>
            </w:pPr>
          </w:p>
        </w:tc>
        <w:tc>
          <w:tcPr>
            <w:tcW w:w="663" w:type="dxa"/>
            <w:noWrap w:val="0"/>
            <w:vAlign w:val="center"/>
          </w:tcPr>
          <w:p w14:paraId="5B046996">
            <w:pPr>
              <w:widowControl/>
              <w:jc w:val="center"/>
              <w:rPr>
                <w:rFonts w:ascii="宋体" w:hAnsi="宋体"/>
                <w:color w:val="000000"/>
                <w:kern w:val="0"/>
                <w:sz w:val="24"/>
                <w:szCs w:val="24"/>
                <w:highlight w:val="none"/>
              </w:rPr>
            </w:pPr>
          </w:p>
        </w:tc>
        <w:tc>
          <w:tcPr>
            <w:tcW w:w="663" w:type="dxa"/>
            <w:noWrap w:val="0"/>
            <w:vAlign w:val="center"/>
          </w:tcPr>
          <w:p w14:paraId="197599CB">
            <w:pPr>
              <w:widowControl/>
              <w:jc w:val="center"/>
              <w:rPr>
                <w:rFonts w:ascii="宋体" w:hAnsi="宋体"/>
                <w:color w:val="000000"/>
                <w:kern w:val="0"/>
                <w:sz w:val="24"/>
                <w:szCs w:val="24"/>
                <w:highlight w:val="none"/>
              </w:rPr>
            </w:pPr>
          </w:p>
        </w:tc>
        <w:tc>
          <w:tcPr>
            <w:tcW w:w="868" w:type="dxa"/>
            <w:noWrap w:val="0"/>
            <w:vAlign w:val="center"/>
          </w:tcPr>
          <w:p w14:paraId="58EE2FCE">
            <w:pPr>
              <w:widowControl/>
              <w:jc w:val="center"/>
              <w:rPr>
                <w:rFonts w:hint="eastAsia" w:ascii="宋体" w:hAnsi="宋体"/>
                <w:color w:val="000000"/>
                <w:kern w:val="0"/>
                <w:sz w:val="24"/>
                <w:szCs w:val="24"/>
                <w:highlight w:val="none"/>
              </w:rPr>
            </w:pPr>
          </w:p>
        </w:tc>
        <w:tc>
          <w:tcPr>
            <w:tcW w:w="630" w:type="dxa"/>
            <w:noWrap w:val="0"/>
            <w:vAlign w:val="center"/>
          </w:tcPr>
          <w:p w14:paraId="7D50BDDC">
            <w:pPr>
              <w:widowControl/>
              <w:jc w:val="center"/>
              <w:rPr>
                <w:rFonts w:ascii="宋体" w:hAnsi="宋体"/>
                <w:color w:val="000000"/>
                <w:kern w:val="0"/>
                <w:sz w:val="24"/>
                <w:szCs w:val="24"/>
                <w:highlight w:val="none"/>
              </w:rPr>
            </w:pPr>
          </w:p>
        </w:tc>
      </w:tr>
      <w:tr w14:paraId="13A2C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096F062D">
            <w:pPr>
              <w:widowControl/>
              <w:jc w:val="center"/>
              <w:rPr>
                <w:rFonts w:hint="eastAsia" w:ascii="宋体" w:hAnsi="宋体"/>
                <w:color w:val="000000"/>
                <w:kern w:val="0"/>
                <w:sz w:val="24"/>
                <w:szCs w:val="24"/>
                <w:highlight w:val="none"/>
              </w:rPr>
            </w:pPr>
          </w:p>
        </w:tc>
        <w:tc>
          <w:tcPr>
            <w:tcW w:w="1454" w:type="dxa"/>
            <w:noWrap w:val="0"/>
            <w:vAlign w:val="center"/>
          </w:tcPr>
          <w:p w14:paraId="61FD1254">
            <w:pPr>
              <w:widowControl/>
              <w:jc w:val="center"/>
              <w:rPr>
                <w:rFonts w:hint="eastAsia" w:ascii="宋体" w:hAnsi="宋体"/>
                <w:color w:val="000000"/>
                <w:kern w:val="0"/>
                <w:sz w:val="24"/>
                <w:szCs w:val="24"/>
                <w:highlight w:val="none"/>
              </w:rPr>
            </w:pPr>
          </w:p>
        </w:tc>
        <w:tc>
          <w:tcPr>
            <w:tcW w:w="1364" w:type="dxa"/>
            <w:noWrap w:val="0"/>
            <w:vAlign w:val="center"/>
          </w:tcPr>
          <w:p w14:paraId="4DA2998F">
            <w:pPr>
              <w:widowControl/>
              <w:jc w:val="center"/>
              <w:rPr>
                <w:rFonts w:ascii="宋体" w:hAnsi="宋体"/>
                <w:color w:val="000000"/>
                <w:kern w:val="0"/>
                <w:sz w:val="24"/>
                <w:szCs w:val="24"/>
                <w:highlight w:val="none"/>
              </w:rPr>
            </w:pPr>
          </w:p>
        </w:tc>
        <w:tc>
          <w:tcPr>
            <w:tcW w:w="643" w:type="dxa"/>
            <w:noWrap w:val="0"/>
            <w:vAlign w:val="center"/>
          </w:tcPr>
          <w:p w14:paraId="3089BC73">
            <w:pPr>
              <w:widowControl/>
              <w:jc w:val="center"/>
              <w:rPr>
                <w:rFonts w:hint="eastAsia" w:ascii="宋体" w:hAnsi="宋体"/>
                <w:color w:val="000000"/>
                <w:kern w:val="0"/>
                <w:sz w:val="24"/>
                <w:szCs w:val="24"/>
                <w:highlight w:val="none"/>
              </w:rPr>
            </w:pPr>
          </w:p>
        </w:tc>
        <w:tc>
          <w:tcPr>
            <w:tcW w:w="951" w:type="dxa"/>
            <w:noWrap w:val="0"/>
            <w:vAlign w:val="center"/>
          </w:tcPr>
          <w:p w14:paraId="3F30EFB8">
            <w:pPr>
              <w:widowControl/>
              <w:jc w:val="center"/>
              <w:rPr>
                <w:rFonts w:hint="eastAsia" w:ascii="宋体" w:hAnsi="宋体"/>
                <w:color w:val="000000"/>
                <w:kern w:val="0"/>
                <w:sz w:val="24"/>
                <w:szCs w:val="24"/>
                <w:highlight w:val="none"/>
              </w:rPr>
            </w:pPr>
          </w:p>
        </w:tc>
        <w:tc>
          <w:tcPr>
            <w:tcW w:w="1056" w:type="dxa"/>
            <w:noWrap w:val="0"/>
            <w:vAlign w:val="center"/>
          </w:tcPr>
          <w:p w14:paraId="38275675">
            <w:pPr>
              <w:widowControl/>
              <w:jc w:val="center"/>
              <w:rPr>
                <w:rFonts w:hint="eastAsia" w:ascii="宋体" w:hAnsi="宋体"/>
                <w:color w:val="000000"/>
                <w:kern w:val="0"/>
                <w:sz w:val="24"/>
                <w:szCs w:val="24"/>
                <w:highlight w:val="none"/>
              </w:rPr>
            </w:pPr>
          </w:p>
        </w:tc>
        <w:tc>
          <w:tcPr>
            <w:tcW w:w="663" w:type="dxa"/>
            <w:noWrap w:val="0"/>
            <w:vAlign w:val="center"/>
          </w:tcPr>
          <w:p w14:paraId="3B393FF5">
            <w:pPr>
              <w:widowControl/>
              <w:jc w:val="center"/>
              <w:rPr>
                <w:rFonts w:ascii="宋体" w:hAnsi="宋体"/>
                <w:color w:val="000000"/>
                <w:kern w:val="0"/>
                <w:sz w:val="24"/>
                <w:szCs w:val="24"/>
                <w:highlight w:val="none"/>
              </w:rPr>
            </w:pPr>
          </w:p>
        </w:tc>
        <w:tc>
          <w:tcPr>
            <w:tcW w:w="663" w:type="dxa"/>
            <w:noWrap w:val="0"/>
            <w:vAlign w:val="center"/>
          </w:tcPr>
          <w:p w14:paraId="4BE65605">
            <w:pPr>
              <w:widowControl/>
              <w:jc w:val="center"/>
              <w:rPr>
                <w:rFonts w:ascii="宋体" w:hAnsi="宋体"/>
                <w:color w:val="000000"/>
                <w:kern w:val="0"/>
                <w:sz w:val="24"/>
                <w:szCs w:val="24"/>
                <w:highlight w:val="none"/>
              </w:rPr>
            </w:pPr>
          </w:p>
        </w:tc>
        <w:tc>
          <w:tcPr>
            <w:tcW w:w="868" w:type="dxa"/>
            <w:noWrap w:val="0"/>
            <w:vAlign w:val="center"/>
          </w:tcPr>
          <w:p w14:paraId="4A13A3AC">
            <w:pPr>
              <w:widowControl/>
              <w:jc w:val="center"/>
              <w:rPr>
                <w:rFonts w:hint="eastAsia" w:ascii="宋体" w:hAnsi="宋体"/>
                <w:color w:val="000000"/>
                <w:kern w:val="0"/>
                <w:sz w:val="24"/>
                <w:szCs w:val="24"/>
                <w:highlight w:val="none"/>
              </w:rPr>
            </w:pPr>
          </w:p>
        </w:tc>
        <w:tc>
          <w:tcPr>
            <w:tcW w:w="630" w:type="dxa"/>
            <w:noWrap w:val="0"/>
            <w:vAlign w:val="center"/>
          </w:tcPr>
          <w:p w14:paraId="5DC2B5FD">
            <w:pPr>
              <w:widowControl/>
              <w:jc w:val="center"/>
              <w:rPr>
                <w:rFonts w:ascii="宋体" w:hAnsi="宋体"/>
                <w:color w:val="000000"/>
                <w:kern w:val="0"/>
                <w:sz w:val="24"/>
                <w:szCs w:val="24"/>
                <w:highlight w:val="none"/>
              </w:rPr>
            </w:pPr>
          </w:p>
        </w:tc>
      </w:tr>
      <w:tr w14:paraId="3CC63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40BEF4CB">
            <w:pPr>
              <w:widowControl/>
              <w:jc w:val="center"/>
              <w:rPr>
                <w:rFonts w:hint="eastAsia" w:ascii="宋体" w:hAnsi="宋体"/>
                <w:color w:val="000000"/>
                <w:kern w:val="0"/>
                <w:sz w:val="24"/>
                <w:szCs w:val="24"/>
                <w:highlight w:val="none"/>
              </w:rPr>
            </w:pPr>
          </w:p>
        </w:tc>
        <w:tc>
          <w:tcPr>
            <w:tcW w:w="1454" w:type="dxa"/>
            <w:noWrap w:val="0"/>
            <w:vAlign w:val="center"/>
          </w:tcPr>
          <w:p w14:paraId="3438F16B">
            <w:pPr>
              <w:widowControl/>
              <w:jc w:val="center"/>
              <w:rPr>
                <w:rFonts w:hint="eastAsia" w:ascii="宋体" w:hAnsi="宋体"/>
                <w:color w:val="000000"/>
                <w:kern w:val="0"/>
                <w:sz w:val="24"/>
                <w:szCs w:val="24"/>
                <w:highlight w:val="none"/>
              </w:rPr>
            </w:pPr>
          </w:p>
        </w:tc>
        <w:tc>
          <w:tcPr>
            <w:tcW w:w="1364" w:type="dxa"/>
            <w:noWrap w:val="0"/>
            <w:vAlign w:val="center"/>
          </w:tcPr>
          <w:p w14:paraId="0D390895">
            <w:pPr>
              <w:widowControl/>
              <w:jc w:val="center"/>
              <w:rPr>
                <w:rFonts w:ascii="宋体" w:hAnsi="宋体"/>
                <w:color w:val="000000"/>
                <w:kern w:val="0"/>
                <w:sz w:val="24"/>
                <w:szCs w:val="24"/>
                <w:highlight w:val="none"/>
              </w:rPr>
            </w:pPr>
          </w:p>
        </w:tc>
        <w:tc>
          <w:tcPr>
            <w:tcW w:w="643" w:type="dxa"/>
            <w:noWrap w:val="0"/>
            <w:vAlign w:val="center"/>
          </w:tcPr>
          <w:p w14:paraId="515E74B2">
            <w:pPr>
              <w:widowControl/>
              <w:jc w:val="center"/>
              <w:rPr>
                <w:rFonts w:hint="eastAsia" w:ascii="宋体" w:hAnsi="宋体"/>
                <w:color w:val="000000"/>
                <w:kern w:val="0"/>
                <w:sz w:val="24"/>
                <w:szCs w:val="24"/>
                <w:highlight w:val="none"/>
              </w:rPr>
            </w:pPr>
          </w:p>
        </w:tc>
        <w:tc>
          <w:tcPr>
            <w:tcW w:w="951" w:type="dxa"/>
            <w:noWrap w:val="0"/>
            <w:vAlign w:val="center"/>
          </w:tcPr>
          <w:p w14:paraId="0552118A">
            <w:pPr>
              <w:widowControl/>
              <w:jc w:val="center"/>
              <w:rPr>
                <w:rFonts w:hint="eastAsia" w:ascii="宋体" w:hAnsi="宋体"/>
                <w:color w:val="000000"/>
                <w:kern w:val="0"/>
                <w:sz w:val="24"/>
                <w:szCs w:val="24"/>
                <w:highlight w:val="none"/>
              </w:rPr>
            </w:pPr>
          </w:p>
        </w:tc>
        <w:tc>
          <w:tcPr>
            <w:tcW w:w="1056" w:type="dxa"/>
            <w:noWrap w:val="0"/>
            <w:vAlign w:val="center"/>
          </w:tcPr>
          <w:p w14:paraId="184A84BF">
            <w:pPr>
              <w:widowControl/>
              <w:jc w:val="center"/>
              <w:rPr>
                <w:rFonts w:hint="eastAsia" w:ascii="宋体" w:hAnsi="宋体"/>
                <w:color w:val="000000"/>
                <w:kern w:val="0"/>
                <w:sz w:val="24"/>
                <w:szCs w:val="24"/>
                <w:highlight w:val="none"/>
              </w:rPr>
            </w:pPr>
          </w:p>
        </w:tc>
        <w:tc>
          <w:tcPr>
            <w:tcW w:w="663" w:type="dxa"/>
            <w:noWrap w:val="0"/>
            <w:vAlign w:val="center"/>
          </w:tcPr>
          <w:p w14:paraId="7DD8BBFD">
            <w:pPr>
              <w:widowControl/>
              <w:jc w:val="center"/>
              <w:rPr>
                <w:rFonts w:ascii="宋体" w:hAnsi="宋体"/>
                <w:color w:val="000000"/>
                <w:kern w:val="0"/>
                <w:sz w:val="24"/>
                <w:szCs w:val="24"/>
                <w:highlight w:val="none"/>
              </w:rPr>
            </w:pPr>
          </w:p>
        </w:tc>
        <w:tc>
          <w:tcPr>
            <w:tcW w:w="663" w:type="dxa"/>
            <w:noWrap w:val="0"/>
            <w:vAlign w:val="center"/>
          </w:tcPr>
          <w:p w14:paraId="235473DB">
            <w:pPr>
              <w:widowControl/>
              <w:jc w:val="center"/>
              <w:rPr>
                <w:rFonts w:ascii="宋体" w:hAnsi="宋体"/>
                <w:color w:val="000000"/>
                <w:kern w:val="0"/>
                <w:sz w:val="24"/>
                <w:szCs w:val="24"/>
                <w:highlight w:val="none"/>
              </w:rPr>
            </w:pPr>
          </w:p>
        </w:tc>
        <w:tc>
          <w:tcPr>
            <w:tcW w:w="868" w:type="dxa"/>
            <w:noWrap w:val="0"/>
            <w:vAlign w:val="center"/>
          </w:tcPr>
          <w:p w14:paraId="10D6DA4D">
            <w:pPr>
              <w:widowControl/>
              <w:jc w:val="center"/>
              <w:rPr>
                <w:rFonts w:hint="eastAsia" w:ascii="宋体" w:hAnsi="宋体"/>
                <w:color w:val="000000"/>
                <w:kern w:val="0"/>
                <w:sz w:val="24"/>
                <w:szCs w:val="24"/>
                <w:highlight w:val="none"/>
              </w:rPr>
            </w:pPr>
          </w:p>
        </w:tc>
        <w:tc>
          <w:tcPr>
            <w:tcW w:w="630" w:type="dxa"/>
            <w:noWrap w:val="0"/>
            <w:vAlign w:val="center"/>
          </w:tcPr>
          <w:p w14:paraId="0EA50083">
            <w:pPr>
              <w:widowControl/>
              <w:jc w:val="center"/>
              <w:rPr>
                <w:rFonts w:ascii="宋体" w:hAnsi="宋体"/>
                <w:color w:val="000000"/>
                <w:kern w:val="0"/>
                <w:sz w:val="24"/>
                <w:szCs w:val="24"/>
                <w:highlight w:val="none"/>
              </w:rPr>
            </w:pPr>
          </w:p>
        </w:tc>
      </w:tr>
      <w:tr w14:paraId="75C66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7AC7A40">
            <w:pPr>
              <w:widowControl/>
              <w:jc w:val="center"/>
              <w:rPr>
                <w:rFonts w:hint="eastAsia" w:ascii="宋体" w:hAnsi="宋体"/>
                <w:color w:val="000000"/>
                <w:kern w:val="0"/>
                <w:sz w:val="24"/>
                <w:szCs w:val="24"/>
                <w:highlight w:val="none"/>
              </w:rPr>
            </w:pPr>
          </w:p>
        </w:tc>
        <w:tc>
          <w:tcPr>
            <w:tcW w:w="1454" w:type="dxa"/>
            <w:noWrap w:val="0"/>
            <w:vAlign w:val="center"/>
          </w:tcPr>
          <w:p w14:paraId="03893020">
            <w:pPr>
              <w:widowControl/>
              <w:jc w:val="center"/>
              <w:rPr>
                <w:rFonts w:hint="eastAsia" w:ascii="宋体" w:hAnsi="宋体"/>
                <w:color w:val="000000"/>
                <w:kern w:val="0"/>
                <w:sz w:val="24"/>
                <w:szCs w:val="24"/>
                <w:highlight w:val="none"/>
              </w:rPr>
            </w:pPr>
          </w:p>
        </w:tc>
        <w:tc>
          <w:tcPr>
            <w:tcW w:w="1364" w:type="dxa"/>
            <w:noWrap w:val="0"/>
            <w:vAlign w:val="center"/>
          </w:tcPr>
          <w:p w14:paraId="2A4DA7B1">
            <w:pPr>
              <w:widowControl/>
              <w:jc w:val="center"/>
              <w:rPr>
                <w:rFonts w:hint="eastAsia" w:ascii="宋体" w:hAnsi="宋体"/>
                <w:color w:val="000000"/>
                <w:kern w:val="0"/>
                <w:sz w:val="24"/>
                <w:szCs w:val="24"/>
                <w:highlight w:val="none"/>
              </w:rPr>
            </w:pPr>
          </w:p>
        </w:tc>
        <w:tc>
          <w:tcPr>
            <w:tcW w:w="643" w:type="dxa"/>
            <w:noWrap w:val="0"/>
            <w:vAlign w:val="center"/>
          </w:tcPr>
          <w:p w14:paraId="27D1BA1F">
            <w:pPr>
              <w:widowControl/>
              <w:jc w:val="center"/>
              <w:rPr>
                <w:rFonts w:hint="eastAsia" w:ascii="宋体" w:hAnsi="宋体"/>
                <w:color w:val="000000"/>
                <w:kern w:val="0"/>
                <w:sz w:val="24"/>
                <w:szCs w:val="24"/>
                <w:highlight w:val="none"/>
              </w:rPr>
            </w:pPr>
          </w:p>
        </w:tc>
        <w:tc>
          <w:tcPr>
            <w:tcW w:w="951" w:type="dxa"/>
            <w:noWrap w:val="0"/>
            <w:vAlign w:val="center"/>
          </w:tcPr>
          <w:p w14:paraId="1D24768D">
            <w:pPr>
              <w:widowControl/>
              <w:jc w:val="center"/>
              <w:rPr>
                <w:rFonts w:hint="eastAsia" w:ascii="宋体" w:hAnsi="宋体"/>
                <w:color w:val="000000"/>
                <w:kern w:val="0"/>
                <w:sz w:val="24"/>
                <w:szCs w:val="24"/>
                <w:highlight w:val="none"/>
              </w:rPr>
            </w:pPr>
          </w:p>
        </w:tc>
        <w:tc>
          <w:tcPr>
            <w:tcW w:w="1056" w:type="dxa"/>
            <w:noWrap w:val="0"/>
            <w:vAlign w:val="center"/>
          </w:tcPr>
          <w:p w14:paraId="57FEAEB4">
            <w:pPr>
              <w:widowControl/>
              <w:jc w:val="center"/>
              <w:rPr>
                <w:rFonts w:hint="eastAsia" w:ascii="宋体" w:hAnsi="宋体"/>
                <w:color w:val="000000"/>
                <w:kern w:val="0"/>
                <w:sz w:val="24"/>
                <w:szCs w:val="24"/>
                <w:highlight w:val="none"/>
              </w:rPr>
            </w:pPr>
          </w:p>
        </w:tc>
        <w:tc>
          <w:tcPr>
            <w:tcW w:w="663" w:type="dxa"/>
            <w:noWrap w:val="0"/>
            <w:vAlign w:val="center"/>
          </w:tcPr>
          <w:p w14:paraId="13676431">
            <w:pPr>
              <w:widowControl/>
              <w:jc w:val="center"/>
              <w:rPr>
                <w:rFonts w:ascii="宋体" w:hAnsi="宋体"/>
                <w:color w:val="000000"/>
                <w:kern w:val="0"/>
                <w:sz w:val="24"/>
                <w:szCs w:val="24"/>
                <w:highlight w:val="none"/>
              </w:rPr>
            </w:pPr>
          </w:p>
        </w:tc>
        <w:tc>
          <w:tcPr>
            <w:tcW w:w="663" w:type="dxa"/>
            <w:noWrap w:val="0"/>
            <w:vAlign w:val="center"/>
          </w:tcPr>
          <w:p w14:paraId="6F1C082C">
            <w:pPr>
              <w:widowControl/>
              <w:jc w:val="center"/>
              <w:rPr>
                <w:rFonts w:ascii="宋体" w:hAnsi="宋体"/>
                <w:color w:val="000000"/>
                <w:kern w:val="0"/>
                <w:sz w:val="24"/>
                <w:szCs w:val="24"/>
                <w:highlight w:val="none"/>
              </w:rPr>
            </w:pPr>
          </w:p>
        </w:tc>
        <w:tc>
          <w:tcPr>
            <w:tcW w:w="868" w:type="dxa"/>
            <w:noWrap w:val="0"/>
            <w:vAlign w:val="center"/>
          </w:tcPr>
          <w:p w14:paraId="4021F42F">
            <w:pPr>
              <w:widowControl/>
              <w:jc w:val="center"/>
              <w:rPr>
                <w:rFonts w:hint="eastAsia" w:ascii="宋体" w:hAnsi="宋体"/>
                <w:color w:val="000000"/>
                <w:kern w:val="0"/>
                <w:sz w:val="24"/>
                <w:szCs w:val="24"/>
                <w:highlight w:val="none"/>
              </w:rPr>
            </w:pPr>
          </w:p>
        </w:tc>
        <w:tc>
          <w:tcPr>
            <w:tcW w:w="630" w:type="dxa"/>
            <w:noWrap w:val="0"/>
            <w:vAlign w:val="center"/>
          </w:tcPr>
          <w:p w14:paraId="2683811C">
            <w:pPr>
              <w:widowControl/>
              <w:jc w:val="center"/>
              <w:rPr>
                <w:rFonts w:ascii="宋体" w:hAnsi="宋体"/>
                <w:color w:val="000000"/>
                <w:kern w:val="0"/>
                <w:sz w:val="24"/>
                <w:szCs w:val="24"/>
                <w:highlight w:val="none"/>
              </w:rPr>
            </w:pPr>
          </w:p>
        </w:tc>
      </w:tr>
      <w:tr w14:paraId="132D5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40B4AB3A">
            <w:pPr>
              <w:widowControl/>
              <w:jc w:val="center"/>
              <w:rPr>
                <w:rFonts w:hint="eastAsia" w:ascii="宋体" w:hAnsi="宋体"/>
                <w:color w:val="000000"/>
                <w:kern w:val="0"/>
                <w:sz w:val="24"/>
                <w:szCs w:val="24"/>
                <w:highlight w:val="none"/>
              </w:rPr>
            </w:pPr>
          </w:p>
        </w:tc>
        <w:tc>
          <w:tcPr>
            <w:tcW w:w="1454" w:type="dxa"/>
            <w:noWrap w:val="0"/>
            <w:vAlign w:val="center"/>
          </w:tcPr>
          <w:p w14:paraId="3B026850">
            <w:pPr>
              <w:widowControl/>
              <w:jc w:val="center"/>
              <w:rPr>
                <w:rFonts w:hint="eastAsia" w:ascii="宋体" w:hAnsi="宋体"/>
                <w:color w:val="000000"/>
                <w:kern w:val="0"/>
                <w:sz w:val="24"/>
                <w:szCs w:val="24"/>
                <w:highlight w:val="none"/>
              </w:rPr>
            </w:pPr>
          </w:p>
        </w:tc>
        <w:tc>
          <w:tcPr>
            <w:tcW w:w="1364" w:type="dxa"/>
            <w:noWrap w:val="0"/>
            <w:vAlign w:val="center"/>
          </w:tcPr>
          <w:p w14:paraId="706DBDE6">
            <w:pPr>
              <w:widowControl/>
              <w:jc w:val="center"/>
              <w:rPr>
                <w:rFonts w:hint="eastAsia" w:ascii="宋体" w:hAnsi="宋体"/>
                <w:color w:val="000000"/>
                <w:kern w:val="0"/>
                <w:sz w:val="24"/>
                <w:szCs w:val="24"/>
                <w:highlight w:val="none"/>
              </w:rPr>
            </w:pPr>
          </w:p>
        </w:tc>
        <w:tc>
          <w:tcPr>
            <w:tcW w:w="643" w:type="dxa"/>
            <w:noWrap w:val="0"/>
            <w:vAlign w:val="center"/>
          </w:tcPr>
          <w:p w14:paraId="4BE89EC8">
            <w:pPr>
              <w:widowControl/>
              <w:jc w:val="center"/>
              <w:rPr>
                <w:rFonts w:hint="eastAsia" w:ascii="宋体" w:hAnsi="宋体"/>
                <w:color w:val="000000"/>
                <w:kern w:val="0"/>
                <w:sz w:val="24"/>
                <w:szCs w:val="24"/>
                <w:highlight w:val="none"/>
              </w:rPr>
            </w:pPr>
          </w:p>
        </w:tc>
        <w:tc>
          <w:tcPr>
            <w:tcW w:w="951" w:type="dxa"/>
            <w:noWrap w:val="0"/>
            <w:vAlign w:val="center"/>
          </w:tcPr>
          <w:p w14:paraId="4140C9DB">
            <w:pPr>
              <w:widowControl/>
              <w:jc w:val="center"/>
              <w:rPr>
                <w:rFonts w:hint="eastAsia" w:ascii="宋体" w:hAnsi="宋体"/>
                <w:color w:val="000000"/>
                <w:kern w:val="0"/>
                <w:sz w:val="24"/>
                <w:szCs w:val="24"/>
                <w:highlight w:val="none"/>
              </w:rPr>
            </w:pPr>
          </w:p>
        </w:tc>
        <w:tc>
          <w:tcPr>
            <w:tcW w:w="1056" w:type="dxa"/>
            <w:noWrap w:val="0"/>
            <w:vAlign w:val="center"/>
          </w:tcPr>
          <w:p w14:paraId="56DCC7C8">
            <w:pPr>
              <w:widowControl/>
              <w:jc w:val="center"/>
              <w:rPr>
                <w:rFonts w:hint="eastAsia" w:ascii="宋体" w:hAnsi="宋体"/>
                <w:color w:val="000000"/>
                <w:kern w:val="0"/>
                <w:sz w:val="24"/>
                <w:szCs w:val="24"/>
                <w:highlight w:val="none"/>
              </w:rPr>
            </w:pPr>
          </w:p>
        </w:tc>
        <w:tc>
          <w:tcPr>
            <w:tcW w:w="663" w:type="dxa"/>
            <w:noWrap w:val="0"/>
            <w:vAlign w:val="center"/>
          </w:tcPr>
          <w:p w14:paraId="159890A1">
            <w:pPr>
              <w:widowControl/>
              <w:jc w:val="center"/>
              <w:rPr>
                <w:rFonts w:ascii="宋体" w:hAnsi="宋体"/>
                <w:color w:val="000000"/>
                <w:kern w:val="0"/>
                <w:sz w:val="24"/>
                <w:szCs w:val="24"/>
                <w:highlight w:val="none"/>
              </w:rPr>
            </w:pPr>
          </w:p>
        </w:tc>
        <w:tc>
          <w:tcPr>
            <w:tcW w:w="663" w:type="dxa"/>
            <w:noWrap w:val="0"/>
            <w:vAlign w:val="center"/>
          </w:tcPr>
          <w:p w14:paraId="595D1C34">
            <w:pPr>
              <w:widowControl/>
              <w:jc w:val="center"/>
              <w:rPr>
                <w:rFonts w:ascii="宋体" w:hAnsi="宋体"/>
                <w:color w:val="000000"/>
                <w:kern w:val="0"/>
                <w:sz w:val="24"/>
                <w:szCs w:val="24"/>
                <w:highlight w:val="none"/>
              </w:rPr>
            </w:pPr>
          </w:p>
        </w:tc>
        <w:tc>
          <w:tcPr>
            <w:tcW w:w="868" w:type="dxa"/>
            <w:noWrap w:val="0"/>
            <w:vAlign w:val="center"/>
          </w:tcPr>
          <w:p w14:paraId="358B7FEA">
            <w:pPr>
              <w:widowControl/>
              <w:jc w:val="center"/>
              <w:rPr>
                <w:rFonts w:hint="eastAsia" w:ascii="宋体" w:hAnsi="宋体"/>
                <w:color w:val="000000"/>
                <w:kern w:val="0"/>
                <w:sz w:val="24"/>
                <w:szCs w:val="24"/>
                <w:highlight w:val="none"/>
              </w:rPr>
            </w:pPr>
          </w:p>
        </w:tc>
        <w:tc>
          <w:tcPr>
            <w:tcW w:w="630" w:type="dxa"/>
            <w:noWrap w:val="0"/>
            <w:vAlign w:val="center"/>
          </w:tcPr>
          <w:p w14:paraId="1E7E62FA">
            <w:pPr>
              <w:widowControl/>
              <w:jc w:val="center"/>
              <w:rPr>
                <w:rFonts w:ascii="宋体" w:hAnsi="宋体"/>
                <w:color w:val="000000"/>
                <w:kern w:val="0"/>
                <w:sz w:val="24"/>
                <w:szCs w:val="24"/>
                <w:highlight w:val="none"/>
              </w:rPr>
            </w:pPr>
          </w:p>
        </w:tc>
      </w:tr>
      <w:tr w14:paraId="74C3D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FF1D904">
            <w:pPr>
              <w:widowControl/>
              <w:jc w:val="center"/>
              <w:rPr>
                <w:rFonts w:hint="eastAsia" w:ascii="宋体" w:hAnsi="宋体"/>
                <w:color w:val="000000"/>
                <w:kern w:val="0"/>
                <w:sz w:val="24"/>
                <w:szCs w:val="24"/>
                <w:highlight w:val="none"/>
              </w:rPr>
            </w:pPr>
          </w:p>
        </w:tc>
        <w:tc>
          <w:tcPr>
            <w:tcW w:w="1454" w:type="dxa"/>
            <w:noWrap w:val="0"/>
            <w:vAlign w:val="center"/>
          </w:tcPr>
          <w:p w14:paraId="0442A5E0">
            <w:pPr>
              <w:widowControl/>
              <w:jc w:val="center"/>
              <w:rPr>
                <w:rFonts w:hint="eastAsia" w:ascii="宋体" w:hAnsi="宋体"/>
                <w:color w:val="000000"/>
                <w:kern w:val="0"/>
                <w:sz w:val="24"/>
                <w:szCs w:val="24"/>
                <w:highlight w:val="none"/>
              </w:rPr>
            </w:pPr>
          </w:p>
        </w:tc>
        <w:tc>
          <w:tcPr>
            <w:tcW w:w="1364" w:type="dxa"/>
            <w:noWrap w:val="0"/>
            <w:vAlign w:val="center"/>
          </w:tcPr>
          <w:p w14:paraId="18EEDACC">
            <w:pPr>
              <w:widowControl/>
              <w:jc w:val="center"/>
              <w:rPr>
                <w:rFonts w:hint="eastAsia" w:ascii="宋体" w:hAnsi="宋体"/>
                <w:color w:val="000000"/>
                <w:kern w:val="0"/>
                <w:sz w:val="24"/>
                <w:szCs w:val="24"/>
                <w:highlight w:val="none"/>
              </w:rPr>
            </w:pPr>
          </w:p>
        </w:tc>
        <w:tc>
          <w:tcPr>
            <w:tcW w:w="643" w:type="dxa"/>
            <w:noWrap w:val="0"/>
            <w:vAlign w:val="center"/>
          </w:tcPr>
          <w:p w14:paraId="03EFBC4A">
            <w:pPr>
              <w:widowControl/>
              <w:jc w:val="center"/>
              <w:rPr>
                <w:rFonts w:hint="eastAsia" w:ascii="宋体" w:hAnsi="宋体"/>
                <w:color w:val="000000"/>
                <w:kern w:val="0"/>
                <w:sz w:val="24"/>
                <w:szCs w:val="24"/>
                <w:highlight w:val="none"/>
              </w:rPr>
            </w:pPr>
          </w:p>
        </w:tc>
        <w:tc>
          <w:tcPr>
            <w:tcW w:w="951" w:type="dxa"/>
            <w:noWrap w:val="0"/>
            <w:vAlign w:val="center"/>
          </w:tcPr>
          <w:p w14:paraId="5268F08A">
            <w:pPr>
              <w:widowControl/>
              <w:jc w:val="center"/>
              <w:rPr>
                <w:rFonts w:hint="eastAsia" w:ascii="宋体" w:hAnsi="宋体"/>
                <w:color w:val="000000"/>
                <w:kern w:val="0"/>
                <w:sz w:val="24"/>
                <w:szCs w:val="24"/>
                <w:highlight w:val="none"/>
              </w:rPr>
            </w:pPr>
          </w:p>
        </w:tc>
        <w:tc>
          <w:tcPr>
            <w:tcW w:w="1056" w:type="dxa"/>
            <w:noWrap w:val="0"/>
            <w:vAlign w:val="center"/>
          </w:tcPr>
          <w:p w14:paraId="03976C75">
            <w:pPr>
              <w:widowControl/>
              <w:jc w:val="center"/>
              <w:rPr>
                <w:rFonts w:hint="eastAsia" w:ascii="宋体" w:hAnsi="宋体"/>
                <w:color w:val="000000"/>
                <w:kern w:val="0"/>
                <w:sz w:val="24"/>
                <w:szCs w:val="24"/>
                <w:highlight w:val="none"/>
              </w:rPr>
            </w:pPr>
          </w:p>
        </w:tc>
        <w:tc>
          <w:tcPr>
            <w:tcW w:w="663" w:type="dxa"/>
            <w:noWrap w:val="0"/>
            <w:vAlign w:val="center"/>
          </w:tcPr>
          <w:p w14:paraId="3ECA753B">
            <w:pPr>
              <w:widowControl/>
              <w:jc w:val="center"/>
              <w:rPr>
                <w:rFonts w:hint="eastAsia" w:ascii="宋体" w:hAnsi="宋体"/>
                <w:color w:val="000000"/>
                <w:kern w:val="0"/>
                <w:sz w:val="24"/>
                <w:szCs w:val="24"/>
                <w:highlight w:val="none"/>
              </w:rPr>
            </w:pPr>
          </w:p>
        </w:tc>
        <w:tc>
          <w:tcPr>
            <w:tcW w:w="663" w:type="dxa"/>
            <w:noWrap w:val="0"/>
            <w:vAlign w:val="center"/>
          </w:tcPr>
          <w:p w14:paraId="770DE9F5">
            <w:pPr>
              <w:widowControl/>
              <w:jc w:val="center"/>
              <w:rPr>
                <w:rFonts w:ascii="宋体" w:hAnsi="宋体"/>
                <w:color w:val="000000"/>
                <w:kern w:val="0"/>
                <w:sz w:val="24"/>
                <w:szCs w:val="24"/>
                <w:highlight w:val="none"/>
              </w:rPr>
            </w:pPr>
          </w:p>
        </w:tc>
        <w:tc>
          <w:tcPr>
            <w:tcW w:w="868" w:type="dxa"/>
            <w:noWrap w:val="0"/>
            <w:vAlign w:val="center"/>
          </w:tcPr>
          <w:p w14:paraId="4DAB7478">
            <w:pPr>
              <w:widowControl/>
              <w:jc w:val="center"/>
              <w:rPr>
                <w:rFonts w:hint="eastAsia" w:ascii="宋体" w:hAnsi="宋体"/>
                <w:color w:val="000000"/>
                <w:kern w:val="0"/>
                <w:sz w:val="24"/>
                <w:szCs w:val="24"/>
                <w:highlight w:val="none"/>
              </w:rPr>
            </w:pPr>
          </w:p>
        </w:tc>
        <w:tc>
          <w:tcPr>
            <w:tcW w:w="630" w:type="dxa"/>
            <w:noWrap w:val="0"/>
            <w:vAlign w:val="center"/>
          </w:tcPr>
          <w:p w14:paraId="08D33738">
            <w:pPr>
              <w:widowControl/>
              <w:jc w:val="center"/>
              <w:rPr>
                <w:rFonts w:ascii="宋体" w:hAnsi="宋体"/>
                <w:color w:val="000000"/>
                <w:kern w:val="0"/>
                <w:sz w:val="24"/>
                <w:szCs w:val="24"/>
                <w:highlight w:val="none"/>
              </w:rPr>
            </w:pPr>
          </w:p>
        </w:tc>
      </w:tr>
      <w:tr w14:paraId="6E480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7E5CEEE1">
            <w:pPr>
              <w:widowControl/>
              <w:jc w:val="center"/>
              <w:rPr>
                <w:rFonts w:hint="eastAsia" w:ascii="宋体" w:hAnsi="宋体"/>
                <w:color w:val="000000"/>
                <w:kern w:val="0"/>
                <w:sz w:val="24"/>
                <w:szCs w:val="24"/>
                <w:highlight w:val="none"/>
              </w:rPr>
            </w:pPr>
          </w:p>
        </w:tc>
        <w:tc>
          <w:tcPr>
            <w:tcW w:w="1454" w:type="dxa"/>
            <w:noWrap w:val="0"/>
            <w:vAlign w:val="center"/>
          </w:tcPr>
          <w:p w14:paraId="07F33943">
            <w:pPr>
              <w:widowControl/>
              <w:jc w:val="center"/>
              <w:rPr>
                <w:rFonts w:hint="eastAsia" w:ascii="宋体" w:hAnsi="宋体"/>
                <w:color w:val="000000"/>
                <w:kern w:val="0"/>
                <w:sz w:val="24"/>
                <w:szCs w:val="24"/>
                <w:highlight w:val="none"/>
              </w:rPr>
            </w:pPr>
          </w:p>
        </w:tc>
        <w:tc>
          <w:tcPr>
            <w:tcW w:w="1364" w:type="dxa"/>
            <w:noWrap w:val="0"/>
            <w:vAlign w:val="center"/>
          </w:tcPr>
          <w:p w14:paraId="5F8366CF">
            <w:pPr>
              <w:widowControl/>
              <w:jc w:val="center"/>
              <w:rPr>
                <w:rFonts w:hint="eastAsia" w:ascii="宋体" w:hAnsi="宋体"/>
                <w:color w:val="000000"/>
                <w:kern w:val="0"/>
                <w:sz w:val="24"/>
                <w:szCs w:val="24"/>
                <w:highlight w:val="none"/>
              </w:rPr>
            </w:pPr>
          </w:p>
        </w:tc>
        <w:tc>
          <w:tcPr>
            <w:tcW w:w="643" w:type="dxa"/>
            <w:noWrap w:val="0"/>
            <w:vAlign w:val="center"/>
          </w:tcPr>
          <w:p w14:paraId="7894A9E1">
            <w:pPr>
              <w:widowControl/>
              <w:jc w:val="center"/>
              <w:rPr>
                <w:rFonts w:hint="eastAsia" w:ascii="宋体" w:hAnsi="宋体"/>
                <w:color w:val="000000"/>
                <w:kern w:val="0"/>
                <w:sz w:val="24"/>
                <w:szCs w:val="24"/>
                <w:highlight w:val="none"/>
              </w:rPr>
            </w:pPr>
          </w:p>
        </w:tc>
        <w:tc>
          <w:tcPr>
            <w:tcW w:w="951" w:type="dxa"/>
            <w:noWrap w:val="0"/>
            <w:vAlign w:val="center"/>
          </w:tcPr>
          <w:p w14:paraId="41CE2376">
            <w:pPr>
              <w:widowControl/>
              <w:jc w:val="center"/>
              <w:rPr>
                <w:rFonts w:hint="eastAsia" w:ascii="宋体" w:hAnsi="宋体"/>
                <w:color w:val="000000"/>
                <w:kern w:val="0"/>
                <w:sz w:val="24"/>
                <w:szCs w:val="24"/>
                <w:highlight w:val="none"/>
              </w:rPr>
            </w:pPr>
          </w:p>
        </w:tc>
        <w:tc>
          <w:tcPr>
            <w:tcW w:w="1056" w:type="dxa"/>
            <w:noWrap w:val="0"/>
            <w:vAlign w:val="center"/>
          </w:tcPr>
          <w:p w14:paraId="38C6F1D1">
            <w:pPr>
              <w:widowControl/>
              <w:jc w:val="center"/>
              <w:rPr>
                <w:rFonts w:hint="eastAsia" w:ascii="宋体" w:hAnsi="宋体"/>
                <w:color w:val="000000"/>
                <w:kern w:val="0"/>
                <w:sz w:val="24"/>
                <w:szCs w:val="24"/>
                <w:highlight w:val="none"/>
              </w:rPr>
            </w:pPr>
          </w:p>
        </w:tc>
        <w:tc>
          <w:tcPr>
            <w:tcW w:w="663" w:type="dxa"/>
            <w:noWrap w:val="0"/>
            <w:vAlign w:val="center"/>
          </w:tcPr>
          <w:p w14:paraId="39EB8244">
            <w:pPr>
              <w:widowControl/>
              <w:jc w:val="center"/>
              <w:rPr>
                <w:rFonts w:hint="eastAsia" w:ascii="宋体" w:hAnsi="宋体"/>
                <w:color w:val="000000"/>
                <w:kern w:val="0"/>
                <w:sz w:val="24"/>
                <w:szCs w:val="24"/>
                <w:highlight w:val="none"/>
              </w:rPr>
            </w:pPr>
          </w:p>
        </w:tc>
        <w:tc>
          <w:tcPr>
            <w:tcW w:w="663" w:type="dxa"/>
            <w:noWrap w:val="0"/>
            <w:vAlign w:val="center"/>
          </w:tcPr>
          <w:p w14:paraId="484237BA">
            <w:pPr>
              <w:widowControl/>
              <w:jc w:val="center"/>
              <w:rPr>
                <w:rFonts w:ascii="宋体" w:hAnsi="宋体"/>
                <w:color w:val="000000"/>
                <w:kern w:val="0"/>
                <w:sz w:val="24"/>
                <w:szCs w:val="24"/>
                <w:highlight w:val="none"/>
              </w:rPr>
            </w:pPr>
          </w:p>
        </w:tc>
        <w:tc>
          <w:tcPr>
            <w:tcW w:w="868" w:type="dxa"/>
            <w:noWrap w:val="0"/>
            <w:vAlign w:val="center"/>
          </w:tcPr>
          <w:p w14:paraId="65CAD0E9">
            <w:pPr>
              <w:widowControl/>
              <w:jc w:val="center"/>
              <w:rPr>
                <w:rFonts w:hint="eastAsia" w:ascii="宋体" w:hAnsi="宋体"/>
                <w:color w:val="000000"/>
                <w:kern w:val="0"/>
                <w:sz w:val="24"/>
                <w:szCs w:val="24"/>
                <w:highlight w:val="none"/>
              </w:rPr>
            </w:pPr>
          </w:p>
        </w:tc>
        <w:tc>
          <w:tcPr>
            <w:tcW w:w="630" w:type="dxa"/>
            <w:noWrap w:val="0"/>
            <w:vAlign w:val="center"/>
          </w:tcPr>
          <w:p w14:paraId="4A6C3581">
            <w:pPr>
              <w:widowControl/>
              <w:jc w:val="center"/>
              <w:rPr>
                <w:rFonts w:ascii="宋体" w:hAnsi="宋体"/>
                <w:color w:val="000000"/>
                <w:kern w:val="0"/>
                <w:sz w:val="24"/>
                <w:szCs w:val="24"/>
                <w:highlight w:val="none"/>
              </w:rPr>
            </w:pPr>
          </w:p>
        </w:tc>
      </w:tr>
      <w:tr w14:paraId="30C95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7D2D40C">
            <w:pPr>
              <w:widowControl/>
              <w:jc w:val="center"/>
              <w:rPr>
                <w:rFonts w:hint="eastAsia" w:ascii="宋体" w:hAnsi="宋体"/>
                <w:color w:val="000000"/>
                <w:kern w:val="0"/>
                <w:sz w:val="24"/>
                <w:szCs w:val="24"/>
                <w:highlight w:val="none"/>
              </w:rPr>
            </w:pPr>
          </w:p>
        </w:tc>
        <w:tc>
          <w:tcPr>
            <w:tcW w:w="1454" w:type="dxa"/>
            <w:noWrap w:val="0"/>
            <w:vAlign w:val="center"/>
          </w:tcPr>
          <w:p w14:paraId="63028F93">
            <w:pPr>
              <w:widowControl/>
              <w:jc w:val="center"/>
              <w:rPr>
                <w:rFonts w:hint="eastAsia" w:ascii="宋体" w:hAnsi="宋体"/>
                <w:color w:val="000000"/>
                <w:kern w:val="0"/>
                <w:sz w:val="24"/>
                <w:szCs w:val="24"/>
                <w:highlight w:val="none"/>
              </w:rPr>
            </w:pPr>
          </w:p>
        </w:tc>
        <w:tc>
          <w:tcPr>
            <w:tcW w:w="1364" w:type="dxa"/>
            <w:noWrap w:val="0"/>
            <w:vAlign w:val="center"/>
          </w:tcPr>
          <w:p w14:paraId="3270DE79">
            <w:pPr>
              <w:widowControl/>
              <w:jc w:val="center"/>
              <w:rPr>
                <w:rFonts w:hint="eastAsia" w:ascii="宋体" w:hAnsi="宋体"/>
                <w:color w:val="000000"/>
                <w:kern w:val="0"/>
                <w:sz w:val="24"/>
                <w:szCs w:val="24"/>
                <w:highlight w:val="none"/>
              </w:rPr>
            </w:pPr>
          </w:p>
        </w:tc>
        <w:tc>
          <w:tcPr>
            <w:tcW w:w="643" w:type="dxa"/>
            <w:noWrap w:val="0"/>
            <w:vAlign w:val="center"/>
          </w:tcPr>
          <w:p w14:paraId="29D6BDB9">
            <w:pPr>
              <w:widowControl/>
              <w:jc w:val="center"/>
              <w:rPr>
                <w:rFonts w:hint="eastAsia" w:ascii="宋体" w:hAnsi="宋体"/>
                <w:color w:val="000000"/>
                <w:kern w:val="0"/>
                <w:sz w:val="24"/>
                <w:szCs w:val="24"/>
                <w:highlight w:val="none"/>
              </w:rPr>
            </w:pPr>
          </w:p>
        </w:tc>
        <w:tc>
          <w:tcPr>
            <w:tcW w:w="951" w:type="dxa"/>
            <w:noWrap w:val="0"/>
            <w:vAlign w:val="center"/>
          </w:tcPr>
          <w:p w14:paraId="6CF05908">
            <w:pPr>
              <w:widowControl/>
              <w:jc w:val="center"/>
              <w:rPr>
                <w:rFonts w:hint="eastAsia" w:ascii="宋体" w:hAnsi="宋体"/>
                <w:color w:val="000000"/>
                <w:kern w:val="0"/>
                <w:sz w:val="24"/>
                <w:szCs w:val="24"/>
                <w:highlight w:val="none"/>
              </w:rPr>
            </w:pPr>
          </w:p>
        </w:tc>
        <w:tc>
          <w:tcPr>
            <w:tcW w:w="1056" w:type="dxa"/>
            <w:noWrap w:val="0"/>
            <w:vAlign w:val="center"/>
          </w:tcPr>
          <w:p w14:paraId="7971B4C6">
            <w:pPr>
              <w:widowControl/>
              <w:jc w:val="center"/>
              <w:rPr>
                <w:rFonts w:hint="eastAsia" w:ascii="宋体" w:hAnsi="宋体"/>
                <w:color w:val="000000"/>
                <w:kern w:val="0"/>
                <w:sz w:val="24"/>
                <w:szCs w:val="24"/>
                <w:highlight w:val="none"/>
              </w:rPr>
            </w:pPr>
          </w:p>
        </w:tc>
        <w:tc>
          <w:tcPr>
            <w:tcW w:w="663" w:type="dxa"/>
            <w:noWrap w:val="0"/>
            <w:vAlign w:val="center"/>
          </w:tcPr>
          <w:p w14:paraId="43447768">
            <w:pPr>
              <w:widowControl/>
              <w:jc w:val="center"/>
              <w:rPr>
                <w:rFonts w:hint="eastAsia" w:ascii="宋体" w:hAnsi="宋体"/>
                <w:color w:val="000000"/>
                <w:kern w:val="0"/>
                <w:sz w:val="24"/>
                <w:szCs w:val="24"/>
                <w:highlight w:val="none"/>
              </w:rPr>
            </w:pPr>
          </w:p>
        </w:tc>
        <w:tc>
          <w:tcPr>
            <w:tcW w:w="663" w:type="dxa"/>
            <w:noWrap w:val="0"/>
            <w:vAlign w:val="center"/>
          </w:tcPr>
          <w:p w14:paraId="366CD98C">
            <w:pPr>
              <w:widowControl/>
              <w:jc w:val="center"/>
              <w:rPr>
                <w:rFonts w:ascii="宋体" w:hAnsi="宋体"/>
                <w:color w:val="000000"/>
                <w:kern w:val="0"/>
                <w:sz w:val="24"/>
                <w:szCs w:val="24"/>
                <w:highlight w:val="none"/>
              </w:rPr>
            </w:pPr>
          </w:p>
        </w:tc>
        <w:tc>
          <w:tcPr>
            <w:tcW w:w="868" w:type="dxa"/>
            <w:noWrap w:val="0"/>
            <w:vAlign w:val="center"/>
          </w:tcPr>
          <w:p w14:paraId="724045CA">
            <w:pPr>
              <w:widowControl/>
              <w:jc w:val="center"/>
              <w:rPr>
                <w:rFonts w:hint="eastAsia" w:ascii="宋体" w:hAnsi="宋体"/>
                <w:color w:val="000000"/>
                <w:kern w:val="0"/>
                <w:sz w:val="24"/>
                <w:szCs w:val="24"/>
                <w:highlight w:val="none"/>
              </w:rPr>
            </w:pPr>
          </w:p>
        </w:tc>
        <w:tc>
          <w:tcPr>
            <w:tcW w:w="630" w:type="dxa"/>
            <w:noWrap w:val="0"/>
            <w:vAlign w:val="center"/>
          </w:tcPr>
          <w:p w14:paraId="67F50D2D">
            <w:pPr>
              <w:widowControl/>
              <w:jc w:val="center"/>
              <w:rPr>
                <w:rFonts w:ascii="宋体" w:hAnsi="宋体"/>
                <w:color w:val="000000"/>
                <w:kern w:val="0"/>
                <w:sz w:val="24"/>
                <w:szCs w:val="24"/>
                <w:highlight w:val="none"/>
              </w:rPr>
            </w:pPr>
          </w:p>
        </w:tc>
      </w:tr>
      <w:tr w14:paraId="0CBBF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256E7E2E">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36F6191D">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0454FF1A">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6296A3BE">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0F834597">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AD29668">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1B8D2D1D">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1BA41840">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246E12E3">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70944760">
            <w:pPr>
              <w:widowControl/>
              <w:jc w:val="center"/>
              <w:rPr>
                <w:rFonts w:ascii="宋体" w:hAnsi="宋体"/>
                <w:color w:val="000000"/>
                <w:kern w:val="0"/>
                <w:sz w:val="24"/>
                <w:szCs w:val="24"/>
                <w:highlight w:val="none"/>
              </w:rPr>
            </w:pPr>
          </w:p>
        </w:tc>
      </w:tr>
      <w:tr w14:paraId="694CE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7CE0F917">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7779B480">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05B14602">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33016B61">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3E800F3E">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4C51E8A">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4E654FB2">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7C1363F4">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295D9906">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28646DB6">
            <w:pPr>
              <w:widowControl/>
              <w:jc w:val="center"/>
              <w:rPr>
                <w:rFonts w:ascii="宋体" w:hAnsi="宋体"/>
                <w:color w:val="000000"/>
                <w:kern w:val="0"/>
                <w:sz w:val="24"/>
                <w:szCs w:val="24"/>
                <w:highlight w:val="none"/>
              </w:rPr>
            </w:pPr>
          </w:p>
        </w:tc>
      </w:tr>
      <w:tr w14:paraId="04887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01BF5892">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286BFFE6">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31102E2B">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2EF88367">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343F1A3D">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A528132">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6E398AD0">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4F8D8D1C">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0628F581">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1F4BB9CD">
            <w:pPr>
              <w:widowControl/>
              <w:jc w:val="center"/>
              <w:rPr>
                <w:rFonts w:ascii="宋体" w:hAnsi="宋体"/>
                <w:color w:val="000000"/>
                <w:kern w:val="0"/>
                <w:sz w:val="24"/>
                <w:szCs w:val="24"/>
                <w:highlight w:val="none"/>
              </w:rPr>
            </w:pPr>
          </w:p>
        </w:tc>
      </w:tr>
      <w:tr w14:paraId="3E20A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641611F9">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25652EC8">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4532F888">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696FF7CF">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5B906334">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082E4A64">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47B2D3A4">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170F7E90">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66D5B3A1">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26EB567B">
            <w:pPr>
              <w:widowControl/>
              <w:jc w:val="center"/>
              <w:rPr>
                <w:rFonts w:ascii="宋体" w:hAnsi="宋体"/>
                <w:color w:val="000000"/>
                <w:kern w:val="0"/>
                <w:sz w:val="24"/>
                <w:szCs w:val="24"/>
                <w:highlight w:val="none"/>
              </w:rPr>
            </w:pPr>
          </w:p>
        </w:tc>
      </w:tr>
    </w:tbl>
    <w:p w14:paraId="41AED0AA">
      <w:pPr>
        <w:widowControl/>
        <w:spacing w:line="360" w:lineRule="auto"/>
        <w:ind w:firstLine="480" w:firstLineChars="200"/>
        <w:rPr>
          <w:rFonts w:hint="eastAsia" w:ascii="宋体" w:hAnsi="宋体"/>
          <w:sz w:val="24"/>
          <w:szCs w:val="24"/>
          <w:highlight w:val="none"/>
        </w:rPr>
      </w:pPr>
    </w:p>
    <w:p w14:paraId="1B8AB639">
      <w:pPr>
        <w:pStyle w:val="6"/>
        <w:rPr>
          <w:rFonts w:hint="eastAsia" w:ascii="宋体" w:hAnsi="宋体"/>
          <w:color w:val="000000"/>
          <w:sz w:val="24"/>
          <w:szCs w:val="24"/>
          <w:highlight w:val="none"/>
        </w:rPr>
        <w:sectPr>
          <w:pgSz w:w="11907" w:h="16839"/>
          <w:pgMar w:top="1020" w:right="1134" w:bottom="1020" w:left="1134" w:header="851" w:footer="992" w:gutter="567"/>
          <w:pgBorders>
            <w:top w:val="none" w:sz="0" w:space="0"/>
            <w:left w:val="none" w:sz="0" w:space="0"/>
            <w:bottom w:val="none" w:sz="0" w:space="0"/>
            <w:right w:val="none" w:sz="0" w:space="0"/>
          </w:pgBorders>
          <w:pgNumType w:fmt="decimal"/>
          <w:cols w:space="720" w:num="1"/>
          <w:rtlGutter w:val="0"/>
          <w:docGrid w:type="lines" w:linePitch="312" w:charSpace="0"/>
        </w:sectPr>
      </w:pPr>
    </w:p>
    <w:p w14:paraId="63BC1788">
      <w:pPr>
        <w:ind w:left="0" w:leftChars="0" w:firstLine="0" w:firstLineChars="0"/>
        <w:rPr>
          <w:rFonts w:hint="eastAsia" w:ascii="宋体" w:hAnsi="宋体" w:eastAsia="宋体"/>
          <w:color w:val="000000"/>
          <w:sz w:val="24"/>
          <w:szCs w:val="24"/>
          <w:highlight w:val="none"/>
          <w:lang w:val="en-US" w:eastAsia="zh-CN"/>
        </w:rPr>
      </w:pPr>
      <w:r>
        <w:rPr>
          <w:rFonts w:hint="eastAsia" w:ascii="宋体" w:hAnsi="宋体"/>
          <w:color w:val="000000"/>
          <w:sz w:val="24"/>
          <w:szCs w:val="24"/>
          <w:highlight w:val="none"/>
        </w:rPr>
        <w:t>附件</w:t>
      </w:r>
      <w:r>
        <w:rPr>
          <w:rFonts w:hint="eastAsia" w:ascii="宋体" w:hAnsi="宋体"/>
          <w:color w:val="000000"/>
          <w:sz w:val="24"/>
          <w:szCs w:val="24"/>
          <w:highlight w:val="none"/>
          <w:lang w:val="en-US" w:eastAsia="zh-CN"/>
        </w:rPr>
        <w:t>3</w:t>
      </w:r>
    </w:p>
    <w:p w14:paraId="14534DDB">
      <w:pPr>
        <w:spacing w:line="480" w:lineRule="auto"/>
        <w:jc w:val="center"/>
        <w:rPr>
          <w:rFonts w:hint="eastAsia" w:ascii="宋体" w:hAnsi="宋体"/>
          <w:color w:val="000000"/>
          <w:sz w:val="24"/>
          <w:szCs w:val="24"/>
          <w:highlight w:val="none"/>
        </w:rPr>
      </w:pPr>
      <w:r>
        <w:rPr>
          <w:rFonts w:hint="eastAsia" w:ascii="宋体" w:hAnsi="宋体"/>
          <w:b/>
          <w:color w:val="000000"/>
          <w:sz w:val="24"/>
          <w:szCs w:val="24"/>
          <w:highlight w:val="none"/>
        </w:rPr>
        <w:t>质量保证书</w:t>
      </w:r>
    </w:p>
    <w:p w14:paraId="69AE508C">
      <w:pPr>
        <w:spacing w:line="400" w:lineRule="exact"/>
        <w:ind w:firstLine="410" w:firstLineChars="171"/>
        <w:rPr>
          <w:rFonts w:hint="eastAsia" w:ascii="宋体" w:hAnsi="宋体"/>
          <w:color w:val="000000"/>
          <w:sz w:val="24"/>
          <w:szCs w:val="24"/>
          <w:highlight w:val="none"/>
        </w:rPr>
      </w:pPr>
    </w:p>
    <w:p w14:paraId="54B5D81F">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rPr>
        <w:t>发包人（全称）：</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rPr>
        <w:t xml:space="preserve">                                                                  </w:t>
      </w:r>
    </w:p>
    <w:p w14:paraId="4A838544">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rPr>
        <w:t>承包人（全称）：</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rPr>
        <w:t xml:space="preserve">                                                                       </w:t>
      </w:r>
    </w:p>
    <w:p w14:paraId="75DC5411">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为保证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（工程全称）在合理使用期限内正常使用，发包人、承包人协商一致签订工程质量保证书。承包人在质量保证期内按照有关管理规定及双方约定承担本工程质量保修责任。</w:t>
      </w:r>
    </w:p>
    <w:p w14:paraId="3FFBD581">
      <w:pPr>
        <w:spacing w:line="400" w:lineRule="exact"/>
        <w:ind w:firstLine="410" w:firstLineChars="171"/>
        <w:outlineLvl w:val="1"/>
        <w:rPr>
          <w:rFonts w:hint="eastAsia" w:ascii="宋体" w:hAnsi="宋体"/>
          <w:color w:val="000000"/>
          <w:sz w:val="24"/>
          <w:szCs w:val="24"/>
          <w:highlight w:val="none"/>
        </w:rPr>
      </w:pPr>
      <w:bookmarkStart w:id="72" w:name="_Toc9023"/>
      <w:bookmarkStart w:id="73" w:name="_Toc23823"/>
      <w:bookmarkStart w:id="74" w:name="_Toc8960"/>
      <w:r>
        <w:rPr>
          <w:rFonts w:hint="eastAsia" w:ascii="宋体" w:hAnsi="宋体"/>
          <w:color w:val="000000"/>
          <w:sz w:val="24"/>
          <w:szCs w:val="24"/>
          <w:highlight w:val="none"/>
        </w:rPr>
        <w:t>一、工程质量保修范围和内容</w:t>
      </w:r>
      <w:bookmarkEnd w:id="72"/>
      <w:bookmarkEnd w:id="73"/>
      <w:bookmarkEnd w:id="74"/>
    </w:p>
    <w:p w14:paraId="0E386FE4">
      <w:pPr>
        <w:spacing w:line="400" w:lineRule="exact"/>
        <w:ind w:firstLine="410" w:firstLineChars="171"/>
        <w:rPr>
          <w:rFonts w:hint="eastAsia" w:ascii="宋体" w:hAnsi="宋体" w:eastAsia="宋体"/>
          <w:color w:val="000000"/>
          <w:sz w:val="24"/>
          <w:szCs w:val="24"/>
          <w:highlight w:val="none"/>
          <w:lang w:eastAsia="zh-CN"/>
        </w:rPr>
      </w:pPr>
      <w:r>
        <w:rPr>
          <w:rFonts w:hint="eastAsia" w:ascii="宋体" w:hAnsi="宋体"/>
          <w:color w:val="000000"/>
          <w:sz w:val="24"/>
          <w:szCs w:val="24"/>
          <w:highlight w:val="none"/>
        </w:rPr>
        <w:t>按照《建设工程质量管理条例》及有关法律、法规、规章的管理规定，双方约定由施工单位在质量保修期内，承担本工程的质量保修责任。</w:t>
      </w:r>
    </w:p>
    <w:p w14:paraId="6598EEAF">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质量保修范围和内容：</w:t>
      </w:r>
      <w:r>
        <w:rPr>
          <w:rFonts w:ascii="宋体" w:hAnsi="宋体"/>
          <w:color w:val="000000"/>
          <w:sz w:val="24"/>
          <w:szCs w:val="24"/>
          <w:highlight w:val="none"/>
        </w:rPr>
        <w:t>_______</w:t>
      </w:r>
      <w:r>
        <w:rPr>
          <w:rFonts w:hint="eastAsia" w:ascii="宋体" w:hAnsi="宋体"/>
          <w:color w:val="000000"/>
          <w:sz w:val="24"/>
          <w:szCs w:val="24"/>
          <w:highlight w:val="none"/>
        </w:rPr>
        <w:t>______________________________________</w:t>
      </w:r>
    </w:p>
    <w:p w14:paraId="312146E2">
      <w:pPr>
        <w:spacing w:line="400" w:lineRule="exact"/>
        <w:ind w:firstLine="410" w:firstLineChars="171"/>
        <w:outlineLvl w:val="1"/>
        <w:rPr>
          <w:rFonts w:hint="eastAsia" w:ascii="宋体" w:hAnsi="宋体"/>
          <w:color w:val="000000"/>
          <w:sz w:val="24"/>
          <w:szCs w:val="24"/>
          <w:highlight w:val="none"/>
        </w:rPr>
      </w:pPr>
      <w:bookmarkStart w:id="75" w:name="_Toc5371"/>
      <w:bookmarkStart w:id="76" w:name="_Toc17829"/>
      <w:bookmarkStart w:id="77" w:name="_Toc5061"/>
      <w:r>
        <w:rPr>
          <w:rFonts w:hint="eastAsia" w:ascii="宋体" w:hAnsi="宋体"/>
          <w:color w:val="000000"/>
          <w:sz w:val="24"/>
          <w:szCs w:val="24"/>
          <w:highlight w:val="none"/>
        </w:rPr>
        <w:t>二、质量保修期</w:t>
      </w:r>
      <w:bookmarkEnd w:id="75"/>
      <w:bookmarkEnd w:id="76"/>
      <w:bookmarkEnd w:id="77"/>
    </w:p>
    <w:p w14:paraId="6AB6E9F6">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质量保修期自竣工验收合格之日起计算。分单项竣工验收的工程，按单项工程分别计算质量保修期。</w:t>
      </w:r>
    </w:p>
    <w:p w14:paraId="11591AC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双方根据《建设工程质量管理条例》及国家有关规定，结合具体工程原定质量保修期如下：</w:t>
      </w:r>
    </w:p>
    <w:p w14:paraId="7D21DFF8">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1、基础设施工程、房屋建筑的地基基础工程和主体结构工程，为设计文件规定的该工程的合理使用年限；</w:t>
      </w:r>
    </w:p>
    <w:p w14:paraId="769474CB">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2、屋面防水工程、有防水要求的卫生间、房间和外墙面的防渗漏，为5年；</w:t>
      </w:r>
    </w:p>
    <w:p w14:paraId="51E86085">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3、供热与供冷系统，为2个采暖期、供冷期；</w:t>
      </w:r>
    </w:p>
    <w:p w14:paraId="487203FA">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4、电气管线、给排水管道、设备安装和装修工程，为2年。</w:t>
      </w:r>
    </w:p>
    <w:p w14:paraId="688621EA">
      <w:pPr>
        <w:spacing w:line="360" w:lineRule="auto"/>
        <w:ind w:firstLine="528" w:firstLineChars="220"/>
        <w:rPr>
          <w:rFonts w:hint="eastAsia" w:ascii="宋体" w:hAnsi="宋体"/>
          <w:color w:val="000000"/>
          <w:sz w:val="24"/>
          <w:szCs w:val="24"/>
          <w:highlight w:val="none"/>
        </w:rPr>
      </w:pPr>
      <w:r>
        <w:rPr>
          <w:rFonts w:hint="eastAsia" w:ascii="宋体" w:hAnsi="宋体"/>
          <w:color w:val="000000"/>
          <w:sz w:val="24"/>
          <w:szCs w:val="24"/>
          <w:highlight w:val="none"/>
        </w:rPr>
        <w:t>⒌其他约定</w:t>
      </w:r>
      <w:r>
        <w:rPr>
          <w:rFonts w:hint="eastAsia" w:ascii="宋体" w:hAnsi="宋体"/>
          <w:color w:val="000000"/>
          <w:sz w:val="24"/>
          <w:szCs w:val="24"/>
          <w:highlight w:val="none"/>
          <w:u w:val="single"/>
        </w:rPr>
        <w:t xml:space="preserve">： 中标后商定              </w:t>
      </w:r>
      <w:r>
        <w:rPr>
          <w:rFonts w:hint="eastAsia" w:ascii="宋体" w:hAnsi="宋体"/>
          <w:color w:val="000000"/>
          <w:sz w:val="24"/>
          <w:szCs w:val="24"/>
          <w:highlight w:val="none"/>
        </w:rPr>
        <w:t xml:space="preserve"> </w:t>
      </w:r>
    </w:p>
    <w:p w14:paraId="43EC7225">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质量保修期自工程竣工验收合格之日起计算。                    </w:t>
      </w:r>
    </w:p>
    <w:p w14:paraId="05A935A7">
      <w:pPr>
        <w:spacing w:line="400" w:lineRule="exact"/>
        <w:ind w:firstLine="410" w:firstLineChars="171"/>
        <w:outlineLvl w:val="1"/>
        <w:rPr>
          <w:rFonts w:hint="eastAsia" w:ascii="宋体" w:hAnsi="宋体"/>
          <w:color w:val="000000"/>
          <w:sz w:val="24"/>
          <w:szCs w:val="24"/>
          <w:highlight w:val="none"/>
        </w:rPr>
      </w:pPr>
      <w:bookmarkStart w:id="78" w:name="_Toc26327"/>
      <w:bookmarkStart w:id="79" w:name="_Toc4683"/>
      <w:bookmarkStart w:id="80" w:name="_Toc5483"/>
      <w:r>
        <w:rPr>
          <w:rFonts w:hint="eastAsia" w:ascii="宋体" w:hAnsi="宋体"/>
          <w:color w:val="000000"/>
          <w:sz w:val="24"/>
          <w:szCs w:val="24"/>
          <w:highlight w:val="none"/>
        </w:rPr>
        <w:t>三、质量保修责任</w:t>
      </w:r>
      <w:bookmarkEnd w:id="78"/>
      <w:bookmarkEnd w:id="79"/>
      <w:bookmarkEnd w:id="80"/>
    </w:p>
    <w:p w14:paraId="53C156D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1、</w:t>
      </w:r>
      <w:r>
        <w:rPr>
          <w:rFonts w:ascii="宋体" w:hAnsi="宋体"/>
          <w:color w:val="000000"/>
          <w:sz w:val="24"/>
          <w:szCs w:val="24"/>
          <w:highlight w:val="none"/>
        </w:rPr>
        <w:t>属于</w:t>
      </w:r>
      <w:r>
        <w:rPr>
          <w:rFonts w:hint="eastAsia" w:ascii="宋体" w:hAnsi="宋体"/>
          <w:color w:val="000000"/>
          <w:sz w:val="24"/>
          <w:szCs w:val="24"/>
          <w:highlight w:val="none"/>
        </w:rPr>
        <w:t>保修</w:t>
      </w:r>
      <w:r>
        <w:rPr>
          <w:rFonts w:ascii="宋体" w:hAnsi="宋体"/>
          <w:color w:val="000000"/>
          <w:sz w:val="24"/>
          <w:szCs w:val="24"/>
          <w:highlight w:val="none"/>
        </w:rPr>
        <w:t>范围、内容的项目，承包人应当在</w:t>
      </w:r>
      <w:r>
        <w:rPr>
          <w:rFonts w:hint="eastAsia" w:ascii="宋体" w:hAnsi="宋体"/>
          <w:color w:val="000000"/>
          <w:sz w:val="24"/>
          <w:szCs w:val="24"/>
          <w:highlight w:val="none"/>
        </w:rPr>
        <w:t>接到报修通知之日起7天内派人维修</w:t>
      </w:r>
      <w:r>
        <w:rPr>
          <w:rFonts w:ascii="宋体" w:hAnsi="宋体"/>
          <w:color w:val="000000"/>
          <w:sz w:val="24"/>
          <w:szCs w:val="24"/>
          <w:highlight w:val="none"/>
        </w:rPr>
        <w:t>。承包人不在约定期限内派人</w:t>
      </w:r>
      <w:r>
        <w:rPr>
          <w:rFonts w:hint="eastAsia" w:ascii="宋体" w:hAnsi="宋体"/>
          <w:color w:val="000000"/>
          <w:sz w:val="24"/>
          <w:szCs w:val="24"/>
          <w:highlight w:val="none"/>
        </w:rPr>
        <w:t>维修</w:t>
      </w:r>
      <w:r>
        <w:rPr>
          <w:rFonts w:ascii="宋体" w:hAnsi="宋体"/>
          <w:color w:val="000000"/>
          <w:sz w:val="24"/>
          <w:szCs w:val="24"/>
          <w:highlight w:val="none"/>
        </w:rPr>
        <w:t>的，发包人可以委托他人</w:t>
      </w:r>
      <w:r>
        <w:rPr>
          <w:rFonts w:hint="eastAsia" w:ascii="宋体" w:hAnsi="宋体"/>
          <w:color w:val="000000"/>
          <w:sz w:val="24"/>
          <w:szCs w:val="24"/>
          <w:highlight w:val="none"/>
        </w:rPr>
        <w:t>修理</w:t>
      </w:r>
      <w:r>
        <w:rPr>
          <w:rFonts w:ascii="宋体" w:hAnsi="宋体"/>
          <w:color w:val="000000"/>
          <w:sz w:val="24"/>
          <w:szCs w:val="24"/>
          <w:highlight w:val="none"/>
        </w:rPr>
        <w:t>。</w:t>
      </w:r>
    </w:p>
    <w:p w14:paraId="2BE2B723">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2、发生紧急抢修事故的，承包人在接到事故通知后，应当立即到达事故现场抢修。</w:t>
      </w:r>
    </w:p>
    <w:p w14:paraId="66A41477">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3、对于涉及结构安全的质量问题，应当立即向当地建设行政主管部门报告，采取安全防范措施；由于原设计单位或者具有相应资质等级的设计单位提出保修方案，承包人实施保修。</w:t>
      </w:r>
    </w:p>
    <w:p w14:paraId="7FEA2F4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4、质量保修完成后，由发包人组织验收</w:t>
      </w:r>
    </w:p>
    <w:p w14:paraId="26701A71">
      <w:pPr>
        <w:spacing w:line="400" w:lineRule="exact"/>
        <w:ind w:firstLine="410" w:firstLineChars="171"/>
        <w:outlineLvl w:val="1"/>
        <w:rPr>
          <w:rFonts w:hint="eastAsia" w:ascii="宋体" w:hAnsi="宋体"/>
          <w:color w:val="000000"/>
          <w:sz w:val="24"/>
          <w:szCs w:val="24"/>
          <w:highlight w:val="none"/>
        </w:rPr>
      </w:pPr>
      <w:bookmarkStart w:id="81" w:name="_Toc29731"/>
      <w:bookmarkStart w:id="82" w:name="_Toc24176"/>
      <w:bookmarkStart w:id="83" w:name="_Toc32594"/>
      <w:r>
        <w:rPr>
          <w:rFonts w:hint="eastAsia" w:ascii="宋体" w:hAnsi="宋体"/>
          <w:color w:val="000000"/>
          <w:sz w:val="24"/>
          <w:szCs w:val="24"/>
          <w:highlight w:val="none"/>
        </w:rPr>
        <w:t>四、质量保修金的支付</w:t>
      </w:r>
      <w:bookmarkEnd w:id="81"/>
      <w:bookmarkEnd w:id="82"/>
      <w:bookmarkEnd w:id="83"/>
    </w:p>
    <w:p w14:paraId="19F3BAD4">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工程质量保修金一般不超过施工合同价款的</w:t>
      </w:r>
      <w:r>
        <w:rPr>
          <w:rFonts w:hint="eastAsia" w:ascii="宋体" w:hAnsi="宋体"/>
          <w:color w:val="000000"/>
          <w:sz w:val="24"/>
          <w:szCs w:val="24"/>
          <w:highlight w:val="none"/>
          <w:lang w:val="en-US" w:eastAsia="zh-CN"/>
        </w:rPr>
        <w:t>3</w:t>
      </w:r>
      <w:r>
        <w:rPr>
          <w:rFonts w:hint="eastAsia" w:ascii="宋体" w:hAnsi="宋体"/>
          <w:color w:val="000000"/>
          <w:sz w:val="24"/>
          <w:szCs w:val="24"/>
          <w:highlight w:val="none"/>
        </w:rPr>
        <w:t>%，本工程约定的工程质量保修金为工程结算审定总价的</w:t>
      </w:r>
      <w:r>
        <w:rPr>
          <w:rFonts w:hint="eastAsia" w:ascii="宋体" w:hAnsi="宋体"/>
          <w:color w:val="000000"/>
          <w:sz w:val="24"/>
          <w:szCs w:val="24"/>
          <w:highlight w:val="none"/>
          <w:lang w:val="en-US" w:eastAsia="zh-CN"/>
        </w:rPr>
        <w:t>3</w:t>
      </w:r>
      <w:r>
        <w:rPr>
          <w:rFonts w:hint="eastAsia" w:ascii="宋体" w:hAnsi="宋体"/>
          <w:color w:val="000000"/>
          <w:sz w:val="24"/>
          <w:szCs w:val="24"/>
          <w:highlight w:val="none"/>
        </w:rPr>
        <w:t>%。</w:t>
      </w:r>
    </w:p>
    <w:p w14:paraId="3116C6FB">
      <w:pPr>
        <w:spacing w:line="400" w:lineRule="exact"/>
        <w:ind w:firstLine="410" w:firstLineChars="171"/>
        <w:outlineLvl w:val="1"/>
        <w:rPr>
          <w:rFonts w:hint="eastAsia" w:ascii="宋体" w:hAnsi="宋体"/>
          <w:color w:val="000000"/>
          <w:sz w:val="24"/>
          <w:szCs w:val="24"/>
          <w:highlight w:val="none"/>
        </w:rPr>
      </w:pPr>
      <w:bookmarkStart w:id="84" w:name="_Toc3410"/>
      <w:bookmarkStart w:id="85" w:name="_Toc7060"/>
      <w:bookmarkStart w:id="86" w:name="_Toc15194"/>
      <w:r>
        <w:rPr>
          <w:rFonts w:hint="eastAsia" w:ascii="宋体" w:hAnsi="宋体"/>
          <w:color w:val="000000"/>
          <w:sz w:val="24"/>
          <w:szCs w:val="24"/>
          <w:highlight w:val="none"/>
        </w:rPr>
        <w:t>五、工程质量保修金的返还</w:t>
      </w:r>
      <w:bookmarkEnd w:id="84"/>
      <w:bookmarkEnd w:id="85"/>
      <w:bookmarkEnd w:id="86"/>
    </w:p>
    <w:p w14:paraId="4C18F03B">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1、发包人在竣工验收合格并保修期满经验收合格后10日内无息退还保修金全部金额。</w:t>
      </w:r>
    </w:p>
    <w:p w14:paraId="24593BB3">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2、发包人和承包人对保修金预留、返还以及工程维修质量、费用有争议，按承包合同约定的争议和纠纷解决程序处理。</w:t>
      </w:r>
    </w:p>
    <w:p w14:paraId="1BBF3803">
      <w:pPr>
        <w:spacing w:line="400" w:lineRule="exact"/>
        <w:ind w:firstLine="410" w:firstLineChars="171"/>
        <w:outlineLvl w:val="1"/>
        <w:rPr>
          <w:rFonts w:hint="eastAsia" w:ascii="宋体" w:hAnsi="宋体"/>
          <w:color w:val="000000"/>
          <w:sz w:val="24"/>
          <w:szCs w:val="24"/>
          <w:highlight w:val="none"/>
        </w:rPr>
      </w:pPr>
      <w:bookmarkStart w:id="87" w:name="_Toc18890"/>
      <w:bookmarkStart w:id="88" w:name="_Toc30205"/>
      <w:bookmarkStart w:id="89" w:name="_Toc16596"/>
      <w:r>
        <w:rPr>
          <w:rFonts w:hint="eastAsia" w:ascii="宋体" w:hAnsi="宋体"/>
          <w:color w:val="000000"/>
          <w:sz w:val="24"/>
          <w:szCs w:val="24"/>
          <w:highlight w:val="none"/>
        </w:rPr>
        <w:t>六、其他</w:t>
      </w:r>
      <w:bookmarkEnd w:id="87"/>
      <w:bookmarkEnd w:id="88"/>
      <w:bookmarkEnd w:id="89"/>
    </w:p>
    <w:p w14:paraId="322F92B5">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双方约定的其他工程质量保修事项：</w:t>
      </w:r>
    </w:p>
    <w:p w14:paraId="78655616">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w:t>
      </w:r>
    </w:p>
    <w:p w14:paraId="568DF874">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w:t>
      </w:r>
    </w:p>
    <w:p w14:paraId="0676370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本工程质量保证书，作为施工合同附件，由施工合同发包人、承包人双方在竣工验收前共同签署，</w:t>
      </w:r>
    </w:p>
    <w:p w14:paraId="66BCF657">
      <w:pPr>
        <w:spacing w:line="400" w:lineRule="exact"/>
        <w:ind w:firstLine="410" w:firstLineChars="171"/>
        <w:rPr>
          <w:rFonts w:hint="eastAsia" w:ascii="宋体" w:hAnsi="宋体"/>
          <w:color w:val="000000"/>
          <w:sz w:val="24"/>
          <w:szCs w:val="24"/>
          <w:highlight w:val="none"/>
        </w:rPr>
      </w:pPr>
    </w:p>
    <w:p w14:paraId="1D20CE86">
      <w:pPr>
        <w:spacing w:line="400" w:lineRule="exact"/>
        <w:ind w:firstLine="410" w:firstLineChars="171"/>
        <w:rPr>
          <w:rFonts w:hint="eastAsia" w:ascii="宋体" w:hAnsi="宋体"/>
          <w:color w:val="000000"/>
          <w:sz w:val="24"/>
          <w:szCs w:val="24"/>
          <w:highlight w:val="none"/>
        </w:rPr>
      </w:pPr>
    </w:p>
    <w:p w14:paraId="29C8C083">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发包人（公章）：                         承包人（公章）：</w:t>
      </w:r>
    </w:p>
    <w:p w14:paraId="454F99C0">
      <w:pPr>
        <w:spacing w:line="400" w:lineRule="exact"/>
        <w:ind w:firstLine="410" w:firstLineChars="171"/>
        <w:rPr>
          <w:rFonts w:hint="eastAsia" w:ascii="宋体" w:hAnsi="宋体"/>
          <w:color w:val="000000"/>
          <w:sz w:val="24"/>
          <w:szCs w:val="24"/>
          <w:highlight w:val="none"/>
        </w:rPr>
      </w:pPr>
    </w:p>
    <w:p w14:paraId="22DD8FC8">
      <w:pPr>
        <w:spacing w:line="400" w:lineRule="exact"/>
        <w:ind w:firstLine="410" w:firstLineChars="171"/>
        <w:rPr>
          <w:rFonts w:hint="eastAsia" w:ascii="宋体" w:hAnsi="宋体"/>
          <w:color w:val="000000"/>
          <w:sz w:val="24"/>
          <w:szCs w:val="24"/>
          <w:highlight w:val="none"/>
        </w:rPr>
      </w:pPr>
    </w:p>
    <w:p w14:paraId="22CBFDDF">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法定代表人（签字）：                     法定代表人（签字）：</w:t>
      </w:r>
    </w:p>
    <w:p w14:paraId="79A57B88">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    </w:t>
      </w:r>
    </w:p>
    <w:p w14:paraId="19210265">
      <w:pPr>
        <w:spacing w:line="400" w:lineRule="exact"/>
        <w:ind w:firstLine="410" w:firstLineChars="171"/>
        <w:rPr>
          <w:rFonts w:hint="eastAsia" w:ascii="宋体" w:hAnsi="宋体"/>
          <w:color w:val="000000"/>
          <w:sz w:val="24"/>
          <w:szCs w:val="24"/>
          <w:highlight w:val="none"/>
        </w:rPr>
      </w:pPr>
    </w:p>
    <w:p w14:paraId="05C2B94B">
      <w:pPr>
        <w:spacing w:line="400" w:lineRule="exact"/>
        <w:ind w:firstLine="410" w:firstLineChars="171"/>
        <w:rPr>
          <w:rFonts w:hint="eastAsia" w:ascii="宋体" w:hAnsi="宋体"/>
          <w:color w:val="000000"/>
          <w:sz w:val="24"/>
          <w:szCs w:val="24"/>
          <w:highlight w:val="none"/>
        </w:rPr>
      </w:pPr>
    </w:p>
    <w:p w14:paraId="04359DB4">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 年    月    日                          年    月   日</w:t>
      </w:r>
    </w:p>
    <w:p w14:paraId="44A9EC23">
      <w:pPr>
        <w:spacing w:line="400" w:lineRule="exact"/>
        <w:ind w:firstLine="410" w:firstLineChars="171"/>
        <w:rPr>
          <w:rFonts w:hint="eastAsia" w:ascii="宋体" w:hAnsi="宋体"/>
          <w:color w:val="000000"/>
          <w:sz w:val="24"/>
          <w:szCs w:val="24"/>
          <w:highlight w:val="none"/>
        </w:rPr>
      </w:pPr>
    </w:p>
    <w:p w14:paraId="15A5E5FE">
      <w:pPr>
        <w:spacing w:line="400" w:lineRule="exact"/>
        <w:ind w:firstLine="410" w:firstLineChars="171"/>
        <w:rPr>
          <w:rFonts w:hint="eastAsia" w:ascii="宋体" w:hAnsi="宋体"/>
          <w:color w:val="000000"/>
          <w:sz w:val="24"/>
          <w:szCs w:val="24"/>
          <w:highlight w:val="none"/>
        </w:rPr>
      </w:pPr>
    </w:p>
    <w:p w14:paraId="1A8A7786">
      <w:pPr>
        <w:ind w:firstLine="410" w:firstLineChars="171"/>
        <w:rPr>
          <w:rFonts w:hint="eastAsia" w:ascii="宋体" w:hAnsi="宋体"/>
          <w:color w:val="000000"/>
          <w:sz w:val="24"/>
          <w:szCs w:val="24"/>
          <w:highlight w:val="none"/>
        </w:rPr>
      </w:pPr>
    </w:p>
    <w:p w14:paraId="46B3135A">
      <w:pPr>
        <w:ind w:firstLine="410" w:firstLineChars="171"/>
        <w:rPr>
          <w:rFonts w:hint="eastAsia" w:ascii="宋体" w:hAnsi="宋体"/>
          <w:color w:val="000000"/>
          <w:sz w:val="24"/>
          <w:szCs w:val="24"/>
          <w:highlight w:val="none"/>
        </w:rPr>
      </w:pPr>
    </w:p>
    <w:p w14:paraId="45ECFEF5">
      <w:pPr>
        <w:ind w:firstLine="410" w:firstLineChars="171"/>
        <w:rPr>
          <w:rFonts w:hint="eastAsia" w:ascii="宋体" w:hAnsi="宋体"/>
          <w:color w:val="000000"/>
          <w:sz w:val="24"/>
          <w:szCs w:val="24"/>
          <w:highlight w:val="none"/>
        </w:rPr>
      </w:pPr>
    </w:p>
    <w:p w14:paraId="59161753">
      <w:pPr>
        <w:ind w:firstLine="410" w:firstLineChars="171"/>
        <w:rPr>
          <w:rFonts w:hint="eastAsia" w:ascii="宋体" w:hAnsi="宋体"/>
          <w:color w:val="000000"/>
          <w:sz w:val="24"/>
          <w:szCs w:val="24"/>
          <w:highlight w:val="none"/>
        </w:rPr>
      </w:pPr>
    </w:p>
    <w:p w14:paraId="430A6D49">
      <w:pPr>
        <w:ind w:firstLine="410" w:firstLineChars="171"/>
        <w:rPr>
          <w:rFonts w:hint="eastAsia" w:ascii="宋体" w:hAnsi="宋体"/>
          <w:color w:val="000000"/>
          <w:sz w:val="24"/>
          <w:szCs w:val="24"/>
          <w:highlight w:val="none"/>
        </w:rPr>
      </w:pPr>
    </w:p>
    <w:p w14:paraId="04C14DAF">
      <w:pPr>
        <w:ind w:firstLine="410" w:firstLineChars="171"/>
        <w:rPr>
          <w:rFonts w:hint="eastAsia" w:ascii="宋体" w:hAnsi="宋体"/>
          <w:color w:val="000000"/>
          <w:sz w:val="24"/>
          <w:szCs w:val="24"/>
          <w:highlight w:val="none"/>
        </w:rPr>
      </w:pPr>
    </w:p>
    <w:p w14:paraId="6518E1CF">
      <w:pPr>
        <w:ind w:firstLine="410" w:firstLineChars="171"/>
        <w:rPr>
          <w:rFonts w:hint="eastAsia" w:ascii="宋体" w:hAnsi="宋体"/>
          <w:color w:val="000000"/>
          <w:sz w:val="24"/>
          <w:szCs w:val="24"/>
          <w:highlight w:val="none"/>
        </w:rPr>
      </w:pPr>
    </w:p>
    <w:p w14:paraId="625AB295">
      <w:pPr>
        <w:ind w:firstLine="410" w:firstLineChars="171"/>
        <w:rPr>
          <w:rFonts w:hint="eastAsia" w:ascii="宋体" w:hAnsi="宋体"/>
          <w:color w:val="000000"/>
          <w:sz w:val="24"/>
          <w:szCs w:val="24"/>
          <w:highlight w:val="none"/>
        </w:rPr>
      </w:pPr>
    </w:p>
    <w:p w14:paraId="409841DD">
      <w:pPr>
        <w:ind w:firstLine="410" w:firstLineChars="171"/>
        <w:rPr>
          <w:rFonts w:hint="eastAsia" w:ascii="宋体" w:hAnsi="宋体"/>
          <w:color w:val="000000"/>
          <w:sz w:val="24"/>
          <w:szCs w:val="24"/>
          <w:highlight w:val="none"/>
        </w:rPr>
      </w:pPr>
    </w:p>
    <w:p w14:paraId="296879E6">
      <w:pPr>
        <w:ind w:firstLine="410" w:firstLineChars="171"/>
        <w:rPr>
          <w:rFonts w:hint="eastAsia" w:ascii="宋体" w:hAnsi="宋体"/>
          <w:color w:val="000000"/>
          <w:sz w:val="24"/>
          <w:szCs w:val="24"/>
          <w:highlight w:val="none"/>
        </w:rPr>
      </w:pPr>
    </w:p>
    <w:p w14:paraId="7B8C1C99">
      <w:pPr>
        <w:ind w:firstLine="410" w:firstLineChars="171"/>
        <w:rPr>
          <w:rFonts w:hint="eastAsia" w:ascii="宋体" w:hAnsi="宋体"/>
          <w:color w:val="000000"/>
          <w:sz w:val="24"/>
          <w:szCs w:val="24"/>
          <w:highlight w:val="none"/>
        </w:rPr>
      </w:pPr>
    </w:p>
    <w:p w14:paraId="0426B44A">
      <w:pPr>
        <w:ind w:firstLine="410" w:firstLineChars="171"/>
        <w:rPr>
          <w:rFonts w:hint="eastAsia" w:ascii="宋体" w:hAnsi="宋体"/>
          <w:color w:val="000000"/>
          <w:sz w:val="24"/>
          <w:szCs w:val="24"/>
          <w:highlight w:val="none"/>
        </w:rPr>
      </w:pPr>
    </w:p>
    <w:p w14:paraId="708605A7">
      <w:pPr>
        <w:ind w:firstLine="410" w:firstLineChars="171"/>
        <w:rPr>
          <w:rFonts w:hint="eastAsia" w:ascii="宋体" w:hAnsi="宋体"/>
          <w:color w:val="000000"/>
          <w:sz w:val="24"/>
          <w:szCs w:val="24"/>
          <w:highlight w:val="none"/>
        </w:rPr>
      </w:pPr>
    </w:p>
    <w:p w14:paraId="694179B7">
      <w:pPr>
        <w:ind w:firstLine="410" w:firstLineChars="171"/>
        <w:rPr>
          <w:rFonts w:hint="eastAsia" w:ascii="宋体" w:hAnsi="宋体"/>
          <w:color w:val="000000"/>
          <w:sz w:val="24"/>
          <w:szCs w:val="24"/>
          <w:highlight w:val="none"/>
        </w:rPr>
      </w:pPr>
    </w:p>
    <w:p w14:paraId="3E48EEAC">
      <w:pPr>
        <w:ind w:firstLine="410" w:firstLineChars="171"/>
        <w:rPr>
          <w:rFonts w:hint="eastAsia" w:ascii="宋体" w:hAnsi="宋体"/>
          <w:color w:val="000000"/>
          <w:sz w:val="24"/>
          <w:szCs w:val="24"/>
          <w:highlight w:val="none"/>
        </w:rPr>
      </w:pPr>
    </w:p>
    <w:p w14:paraId="34E080F3">
      <w:pPr>
        <w:pStyle w:val="16"/>
        <w:ind w:left="0" w:leftChars="0" w:firstLine="0" w:firstLineChars="0"/>
        <w:rPr>
          <w:b/>
          <w:bCs/>
          <w:sz w:val="24"/>
          <w:szCs w:val="24"/>
          <w:highlight w:val="none"/>
        </w:rPr>
      </w:pPr>
      <w:r>
        <w:rPr>
          <w:rFonts w:hint="eastAsia"/>
          <w:sz w:val="24"/>
          <w:szCs w:val="24"/>
          <w:highlight w:val="none"/>
        </w:rPr>
        <w:t xml:space="preserve">附件 </w:t>
      </w:r>
      <w:r>
        <w:rPr>
          <w:rFonts w:hint="eastAsia"/>
          <w:sz w:val="24"/>
          <w:szCs w:val="24"/>
          <w:highlight w:val="none"/>
          <w:lang w:val="en-US" w:eastAsia="zh-CN"/>
        </w:rPr>
        <w:t xml:space="preserve">4 </w:t>
      </w:r>
      <w:r>
        <w:rPr>
          <w:rFonts w:hint="eastAsia"/>
          <w:sz w:val="24"/>
          <w:szCs w:val="24"/>
          <w:highlight w:val="none"/>
        </w:rPr>
        <w:t>：</w:t>
      </w:r>
      <w:r>
        <w:rPr>
          <w:rFonts w:hint="eastAsia" w:ascii="宋体" w:hAnsi="宋体" w:cs="宋体"/>
          <w:sz w:val="24"/>
          <w:szCs w:val="24"/>
          <w:highlight w:val="none"/>
        </w:rPr>
        <w:t>农民工工资按时发放承诺书</w:t>
      </w:r>
    </w:p>
    <w:p w14:paraId="7A5745A6">
      <w:pPr>
        <w:pStyle w:val="16"/>
        <w:ind w:firstLine="0" w:firstLineChars="0"/>
        <w:rPr>
          <w:sz w:val="24"/>
          <w:szCs w:val="24"/>
          <w:highlight w:val="none"/>
        </w:rPr>
      </w:pPr>
    </w:p>
    <w:p w14:paraId="3F980FCD">
      <w:pPr>
        <w:pStyle w:val="16"/>
        <w:ind w:firstLine="422"/>
        <w:jc w:val="center"/>
        <w:rPr>
          <w:rFonts w:hint="eastAsia" w:ascii="宋体" w:hAnsi="宋体"/>
          <w:b/>
          <w:sz w:val="24"/>
          <w:szCs w:val="24"/>
          <w:highlight w:val="none"/>
        </w:rPr>
      </w:pPr>
      <w:r>
        <w:rPr>
          <w:rFonts w:hint="eastAsia" w:ascii="宋体" w:hAnsi="宋体"/>
          <w:b/>
          <w:sz w:val="24"/>
          <w:szCs w:val="24"/>
          <w:highlight w:val="none"/>
        </w:rPr>
        <w:t>农民工工资按时发放承诺书</w:t>
      </w:r>
    </w:p>
    <w:p w14:paraId="4C64D8E8">
      <w:pPr>
        <w:pStyle w:val="16"/>
        <w:rPr>
          <w:sz w:val="24"/>
          <w:szCs w:val="24"/>
          <w:highlight w:val="none"/>
        </w:rPr>
      </w:pPr>
    </w:p>
    <w:p w14:paraId="620867A4">
      <w:pPr>
        <w:pStyle w:val="16"/>
        <w:spacing w:line="360" w:lineRule="auto"/>
        <w:rPr>
          <w:rFonts w:ascii="宋体" w:hAnsi="宋体" w:cs="宋体"/>
          <w:sz w:val="24"/>
          <w:szCs w:val="24"/>
          <w:highlight w:val="none"/>
        </w:rPr>
      </w:pPr>
      <w:r>
        <w:rPr>
          <w:rFonts w:hint="eastAsia" w:ascii="宋体" w:hAnsi="宋体" w:cs="宋体"/>
          <w:sz w:val="24"/>
          <w:szCs w:val="24"/>
          <w:highlight w:val="none"/>
        </w:rPr>
        <w:t>致：</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r>
        <w:rPr>
          <w:rFonts w:hint="eastAsia" w:ascii="宋体" w:hAnsi="宋体" w:cs="宋体"/>
          <w:sz w:val="24"/>
          <w:szCs w:val="24"/>
          <w:highlight w:val="none"/>
        </w:rPr>
        <w:tab/>
      </w:r>
    </w:p>
    <w:p w14:paraId="0F79E61C">
      <w:pPr>
        <w:pStyle w:val="16"/>
        <w:spacing w:line="360" w:lineRule="auto"/>
        <w:rPr>
          <w:rFonts w:ascii="宋体" w:hAnsi="宋体" w:cs="宋体"/>
          <w:sz w:val="24"/>
          <w:szCs w:val="24"/>
          <w:highlight w:val="none"/>
        </w:rPr>
      </w:pPr>
      <w:r>
        <w:rPr>
          <w:rFonts w:hint="eastAsia" w:ascii="宋体" w:hAnsi="宋体" w:cs="宋体"/>
          <w:sz w:val="24"/>
          <w:szCs w:val="24"/>
          <w:highlight w:val="none"/>
        </w:rPr>
        <w:t>我公司为保证农民工工资按时发放，避免拖欠或克扣农民工资的现象发生，向贵单位郑重承诺如下：</w:t>
      </w:r>
    </w:p>
    <w:p w14:paraId="54AE2DD9">
      <w:pPr>
        <w:pStyle w:val="16"/>
        <w:spacing w:line="360" w:lineRule="auto"/>
        <w:rPr>
          <w:rFonts w:ascii="宋体" w:hAnsi="宋体" w:cs="宋体"/>
          <w:sz w:val="24"/>
          <w:szCs w:val="24"/>
          <w:highlight w:val="none"/>
        </w:rPr>
      </w:pPr>
      <w:r>
        <w:rPr>
          <w:rFonts w:hint="eastAsia" w:ascii="宋体" w:hAnsi="宋体" w:cs="宋体"/>
          <w:sz w:val="24"/>
          <w:szCs w:val="24"/>
          <w:highlight w:val="none"/>
        </w:rPr>
        <w:t>我们公司已充分认识到农民工资发放的重要性，中标后在组建项目领导班子的同时组建以现场施工负责人为组长的农民工及相关问题专项解决工作组（联系电话：手机</w:t>
      </w:r>
      <w:r>
        <w:rPr>
          <w:rFonts w:hint="eastAsia" w:ascii="宋体" w:hAnsi="宋体" w:cs="宋体"/>
          <w:sz w:val="24"/>
          <w:szCs w:val="24"/>
          <w:highlight w:val="none"/>
          <w:u w:val="single"/>
        </w:rPr>
        <w:t xml:space="preserve">    </w:t>
      </w:r>
      <w:r>
        <w:rPr>
          <w:rFonts w:hint="eastAsia" w:ascii="宋体" w:hAnsi="宋体" w:cs="宋体"/>
          <w:sz w:val="24"/>
          <w:szCs w:val="24"/>
          <w:highlight w:val="none"/>
        </w:rPr>
        <w:t>），该工作组为常设机构，随时负责解决与农民工有关的所有事宜。</w:t>
      </w:r>
    </w:p>
    <w:p w14:paraId="5F345CF3">
      <w:pPr>
        <w:pStyle w:val="16"/>
        <w:spacing w:line="360" w:lineRule="auto"/>
        <w:rPr>
          <w:rFonts w:ascii="宋体" w:hAnsi="宋体" w:cs="宋体"/>
          <w:sz w:val="24"/>
          <w:szCs w:val="24"/>
          <w:highlight w:val="none"/>
        </w:rPr>
      </w:pPr>
      <w:r>
        <w:rPr>
          <w:rFonts w:hint="eastAsia" w:ascii="宋体" w:hAnsi="宋体" w:cs="宋体"/>
          <w:sz w:val="24"/>
          <w:szCs w:val="24"/>
          <w:highlight w:val="none"/>
        </w:rPr>
        <w:t>我们获得工程款后，优先支付农民工资，并将工资直接发放给农民工本人。</w:t>
      </w:r>
    </w:p>
    <w:p w14:paraId="783E4CF4">
      <w:pPr>
        <w:pStyle w:val="16"/>
        <w:spacing w:line="360" w:lineRule="auto"/>
        <w:rPr>
          <w:rFonts w:ascii="宋体" w:hAnsi="宋体" w:cs="宋体"/>
          <w:sz w:val="24"/>
          <w:szCs w:val="24"/>
          <w:highlight w:val="none"/>
        </w:rPr>
      </w:pPr>
      <w:r>
        <w:rPr>
          <w:rFonts w:hint="eastAsia" w:ascii="宋体" w:hAnsi="宋体" w:cs="宋体"/>
          <w:sz w:val="24"/>
          <w:szCs w:val="24"/>
          <w:highlight w:val="none"/>
        </w:rPr>
        <w:t>在支付农民工资时，编制工资支付表，如实记录工资支付情况，并将有关记录保存备查。</w:t>
      </w:r>
    </w:p>
    <w:p w14:paraId="1A01C38D">
      <w:pPr>
        <w:pStyle w:val="16"/>
        <w:spacing w:line="360" w:lineRule="auto"/>
        <w:rPr>
          <w:rFonts w:ascii="宋体" w:hAnsi="宋体" w:cs="宋体"/>
          <w:sz w:val="24"/>
          <w:szCs w:val="24"/>
          <w:highlight w:val="none"/>
        </w:rPr>
      </w:pPr>
      <w:r>
        <w:rPr>
          <w:rFonts w:hint="eastAsia" w:ascii="宋体" w:hAnsi="宋体" w:cs="宋体"/>
          <w:sz w:val="24"/>
          <w:szCs w:val="24"/>
          <w:highlight w:val="none"/>
        </w:rPr>
        <w:t>我们保证绝不违反规定将工程分包给不具备用工主体资格的组织或个人，否则，贵单位有权要求其退场；并接受贵单位每次10000.00元的经济处罚。</w:t>
      </w:r>
    </w:p>
    <w:p w14:paraId="07125AC2">
      <w:pPr>
        <w:pStyle w:val="16"/>
        <w:spacing w:line="360" w:lineRule="auto"/>
        <w:rPr>
          <w:rFonts w:ascii="宋体" w:hAnsi="宋体" w:cs="宋体"/>
          <w:sz w:val="24"/>
          <w:szCs w:val="24"/>
          <w:highlight w:val="none"/>
        </w:rPr>
      </w:pPr>
      <w:r>
        <w:rPr>
          <w:rFonts w:hint="eastAsia" w:ascii="宋体" w:hAnsi="宋体" w:cs="宋体"/>
          <w:sz w:val="24"/>
          <w:szCs w:val="24"/>
          <w:highlight w:val="none"/>
        </w:rPr>
        <w:t>我们保证对劳务分包企业的工资支付情况及有关事宜，进行全方位监督，确保农民工及时足额领到工资。</w:t>
      </w:r>
    </w:p>
    <w:p w14:paraId="52CC5142">
      <w:pPr>
        <w:pStyle w:val="16"/>
        <w:spacing w:line="360" w:lineRule="auto"/>
        <w:rPr>
          <w:rFonts w:ascii="宋体" w:hAnsi="宋体" w:cs="宋体"/>
          <w:sz w:val="24"/>
          <w:szCs w:val="24"/>
          <w:highlight w:val="none"/>
        </w:rPr>
      </w:pPr>
      <w:r>
        <w:rPr>
          <w:rFonts w:hint="eastAsia" w:ascii="宋体" w:hAnsi="宋体" w:cs="宋体"/>
          <w:sz w:val="24"/>
          <w:szCs w:val="24"/>
          <w:highlight w:val="none"/>
        </w:rPr>
        <w:t>我公司为避免出现拖欠或克扣农民工工资等现象，建立了农民工资储备金应急机制，防止出现因拖欠农民工工资而引发群体性上访事件。</w:t>
      </w:r>
    </w:p>
    <w:p w14:paraId="35C729B5">
      <w:pPr>
        <w:pStyle w:val="16"/>
        <w:spacing w:line="360" w:lineRule="auto"/>
        <w:rPr>
          <w:rFonts w:ascii="宋体" w:hAnsi="宋体" w:cs="宋体"/>
          <w:sz w:val="24"/>
          <w:szCs w:val="24"/>
          <w:highlight w:val="none"/>
        </w:rPr>
      </w:pPr>
      <w:r>
        <w:rPr>
          <w:rFonts w:hint="eastAsia" w:ascii="宋体" w:hAnsi="宋体" w:cs="宋体"/>
          <w:sz w:val="24"/>
          <w:szCs w:val="24"/>
          <w:highlight w:val="none"/>
        </w:rPr>
        <w:t>我公司在支付农民工资时，随时接受贵单位及贵单位委托的监理公司的监督检查， 并对提出的质疑做合理解释。</w:t>
      </w:r>
    </w:p>
    <w:p w14:paraId="1412A62F">
      <w:pPr>
        <w:pStyle w:val="16"/>
        <w:spacing w:line="360" w:lineRule="auto"/>
        <w:rPr>
          <w:rFonts w:ascii="宋体" w:hAnsi="宋体" w:cs="宋体"/>
          <w:sz w:val="24"/>
          <w:szCs w:val="24"/>
          <w:highlight w:val="none"/>
        </w:rPr>
      </w:pPr>
      <w:r>
        <w:rPr>
          <w:rFonts w:hint="eastAsia" w:ascii="宋体" w:hAnsi="宋体" w:cs="宋体"/>
          <w:sz w:val="24"/>
          <w:szCs w:val="24"/>
          <w:highlight w:val="none"/>
        </w:rPr>
        <w:t>若由于我司未处理好农民工资及与农民工有关的所有事宜而产生纠纷（如投诉、打架、滋事等事件），由此给贵单位造成恶劣影响或干扰贵中心正常工作，我公司愿接受每次人民币 30000 元的违约处罚所发生费用从支付我公司工程款中扣减。</w:t>
      </w:r>
    </w:p>
    <w:p w14:paraId="17E18D9F">
      <w:pPr>
        <w:pStyle w:val="16"/>
        <w:spacing w:line="360" w:lineRule="auto"/>
        <w:rPr>
          <w:rFonts w:ascii="宋体" w:hAnsi="宋体" w:cs="宋体"/>
          <w:sz w:val="24"/>
          <w:szCs w:val="24"/>
          <w:highlight w:val="none"/>
        </w:rPr>
      </w:pPr>
      <w:r>
        <w:rPr>
          <w:rFonts w:hint="eastAsia" w:ascii="宋体" w:hAnsi="宋体" w:cs="宋体"/>
          <w:sz w:val="24"/>
          <w:szCs w:val="24"/>
          <w:highlight w:val="none"/>
        </w:rPr>
        <w:t>特此承诺</w:t>
      </w:r>
    </w:p>
    <w:p w14:paraId="6C5F8B1E">
      <w:pPr>
        <w:pStyle w:val="16"/>
        <w:rPr>
          <w:sz w:val="24"/>
          <w:szCs w:val="24"/>
          <w:highlight w:val="none"/>
        </w:rPr>
      </w:pPr>
    </w:p>
    <w:p w14:paraId="3198BEA3">
      <w:pPr>
        <w:pStyle w:val="16"/>
        <w:rPr>
          <w:sz w:val="24"/>
          <w:szCs w:val="24"/>
          <w:highlight w:val="none"/>
          <w:u w:val="single"/>
        </w:rPr>
      </w:pPr>
      <w:r>
        <w:rPr>
          <w:rFonts w:hint="eastAsia"/>
          <w:sz w:val="24"/>
          <w:szCs w:val="24"/>
          <w:highlight w:val="none"/>
        </w:rPr>
        <w:t>承包单位：</w:t>
      </w:r>
      <w:r>
        <w:rPr>
          <w:rFonts w:hint="eastAsia"/>
          <w:sz w:val="24"/>
          <w:szCs w:val="24"/>
          <w:highlight w:val="none"/>
          <w:u w:val="single"/>
        </w:rPr>
        <w:tab/>
      </w:r>
      <w:r>
        <w:rPr>
          <w:rFonts w:hint="eastAsia"/>
          <w:sz w:val="24"/>
          <w:szCs w:val="24"/>
          <w:highlight w:val="none"/>
          <w:u w:val="single"/>
        </w:rPr>
        <w:t xml:space="preserve">                 （盖章）</w:t>
      </w:r>
    </w:p>
    <w:p w14:paraId="47F0A375">
      <w:pPr>
        <w:pStyle w:val="16"/>
        <w:ind w:firstLine="0" w:firstLineChars="0"/>
        <w:rPr>
          <w:sz w:val="24"/>
          <w:szCs w:val="24"/>
          <w:highlight w:val="none"/>
        </w:rPr>
      </w:pPr>
    </w:p>
    <w:p w14:paraId="5255C13B">
      <w:pPr>
        <w:pStyle w:val="16"/>
        <w:rPr>
          <w:sz w:val="24"/>
          <w:szCs w:val="24"/>
          <w:highlight w:val="none"/>
          <w:u w:val="single"/>
        </w:rPr>
      </w:pPr>
      <w:r>
        <w:rPr>
          <w:rFonts w:hint="eastAsia"/>
          <w:sz w:val="24"/>
          <w:szCs w:val="24"/>
          <w:highlight w:val="none"/>
        </w:rPr>
        <w:t>法定代表人或法定委托人：</w:t>
      </w:r>
      <w:r>
        <w:rPr>
          <w:rFonts w:hint="eastAsia"/>
          <w:sz w:val="24"/>
          <w:szCs w:val="24"/>
          <w:highlight w:val="none"/>
          <w:u w:val="single"/>
        </w:rPr>
        <w:t xml:space="preserve">                </w:t>
      </w:r>
    </w:p>
    <w:p w14:paraId="5A72694F">
      <w:pPr>
        <w:pStyle w:val="16"/>
        <w:rPr>
          <w:sz w:val="24"/>
          <w:szCs w:val="24"/>
          <w:highlight w:val="none"/>
          <w:u w:val="single"/>
        </w:rPr>
      </w:pPr>
    </w:p>
    <w:p w14:paraId="421827C0">
      <w:pPr>
        <w:pStyle w:val="16"/>
        <w:ind w:firstLine="960" w:firstLineChars="400"/>
        <w:rPr>
          <w:sz w:val="24"/>
          <w:szCs w:val="24"/>
          <w:highlight w:val="none"/>
          <w:u w:val="single"/>
        </w:rPr>
      </w:pPr>
      <w:r>
        <w:rPr>
          <w:rFonts w:hint="eastAsia"/>
          <w:sz w:val="24"/>
          <w:szCs w:val="24"/>
          <w:highlight w:val="none"/>
          <w:u w:val="single"/>
        </w:rPr>
        <w:t>年  月</w:t>
      </w:r>
      <w:r>
        <w:rPr>
          <w:rFonts w:hint="eastAsia"/>
          <w:sz w:val="24"/>
          <w:szCs w:val="24"/>
          <w:highlight w:val="none"/>
          <w:u w:val="single"/>
        </w:rPr>
        <w:tab/>
      </w:r>
      <w:r>
        <w:rPr>
          <w:rFonts w:hint="eastAsia"/>
          <w:sz w:val="24"/>
          <w:szCs w:val="24"/>
          <w:highlight w:val="none"/>
          <w:u w:val="single"/>
        </w:rPr>
        <w:t xml:space="preserve">  日</w:t>
      </w:r>
    </w:p>
    <w:p w14:paraId="4B2F74D3">
      <w:pPr>
        <w:pStyle w:val="16"/>
        <w:spacing w:line="360" w:lineRule="auto"/>
        <w:ind w:firstLine="0" w:firstLineChars="0"/>
        <w:rPr>
          <w:rFonts w:hint="eastAsia" w:ascii="宋体" w:hAnsi="宋体" w:cs="宋体"/>
          <w:sz w:val="24"/>
          <w:szCs w:val="24"/>
          <w:highlight w:val="none"/>
        </w:rPr>
      </w:pPr>
    </w:p>
    <w:p w14:paraId="161C1B59">
      <w:pPr>
        <w:pStyle w:val="16"/>
        <w:spacing w:line="360" w:lineRule="auto"/>
        <w:ind w:firstLine="0" w:firstLineChars="0"/>
        <w:rPr>
          <w:rFonts w:hint="eastAsia" w:ascii="宋体" w:hAnsi="宋体" w:cs="宋体"/>
          <w:sz w:val="24"/>
          <w:szCs w:val="24"/>
          <w:highlight w:val="none"/>
        </w:rPr>
      </w:pPr>
    </w:p>
    <w:p w14:paraId="400CC6B7">
      <w:pPr>
        <w:pStyle w:val="16"/>
        <w:spacing w:line="360" w:lineRule="auto"/>
        <w:ind w:firstLine="0" w:firstLineChars="0"/>
        <w:rPr>
          <w:rFonts w:hint="eastAsia" w:ascii="宋体" w:hAnsi="宋体" w:cs="宋体"/>
          <w:sz w:val="24"/>
          <w:szCs w:val="24"/>
          <w:highlight w:val="none"/>
        </w:rPr>
      </w:pPr>
    </w:p>
    <w:p w14:paraId="3B39701B">
      <w:pPr>
        <w:pStyle w:val="16"/>
        <w:spacing w:line="360" w:lineRule="auto"/>
        <w:ind w:firstLine="0" w:firstLineChars="0"/>
        <w:rPr>
          <w:rFonts w:hint="eastAsia" w:ascii="宋体" w:hAnsi="宋体"/>
          <w:b/>
          <w:sz w:val="24"/>
          <w:szCs w:val="24"/>
          <w:highlight w:val="none"/>
        </w:rPr>
      </w:pPr>
      <w:r>
        <w:rPr>
          <w:rFonts w:hint="eastAsia" w:ascii="宋体" w:hAnsi="宋体" w:cs="宋体"/>
          <w:sz w:val="24"/>
          <w:szCs w:val="24"/>
          <w:highlight w:val="none"/>
        </w:rPr>
        <w:t xml:space="preserve">附件 </w:t>
      </w:r>
      <w:r>
        <w:rPr>
          <w:rFonts w:hint="eastAsia" w:ascii="宋体" w:hAnsi="宋体" w:cs="宋体"/>
          <w:sz w:val="24"/>
          <w:szCs w:val="24"/>
          <w:highlight w:val="none"/>
          <w:lang w:val="en-US" w:eastAsia="zh-CN"/>
        </w:rPr>
        <w:t>5</w:t>
      </w:r>
      <w:r>
        <w:rPr>
          <w:rFonts w:hint="eastAsia" w:ascii="宋体" w:hAnsi="宋体" w:cs="宋体"/>
          <w:sz w:val="24"/>
          <w:szCs w:val="24"/>
          <w:highlight w:val="none"/>
        </w:rPr>
        <w:t>:施工安全生产合同书</w:t>
      </w:r>
    </w:p>
    <w:p w14:paraId="6EDBD1D4">
      <w:pPr>
        <w:pStyle w:val="16"/>
        <w:ind w:firstLine="422"/>
        <w:jc w:val="center"/>
        <w:rPr>
          <w:rFonts w:hint="eastAsia" w:ascii="宋体" w:hAnsi="宋体"/>
          <w:b/>
          <w:sz w:val="24"/>
          <w:szCs w:val="24"/>
          <w:highlight w:val="none"/>
        </w:rPr>
      </w:pPr>
      <w:r>
        <w:rPr>
          <w:rFonts w:hint="eastAsia" w:ascii="宋体" w:hAnsi="宋体"/>
          <w:b/>
          <w:sz w:val="24"/>
          <w:szCs w:val="24"/>
          <w:highlight w:val="none"/>
        </w:rPr>
        <w:t>施工安全生产合同书</w:t>
      </w:r>
    </w:p>
    <w:p w14:paraId="3B01242F">
      <w:pPr>
        <w:pStyle w:val="16"/>
        <w:spacing w:line="360" w:lineRule="auto"/>
        <w:ind w:firstLine="422"/>
        <w:rPr>
          <w:rFonts w:ascii="宋体" w:hAnsi="宋体" w:cs="宋体"/>
          <w:sz w:val="24"/>
          <w:szCs w:val="24"/>
          <w:highlight w:val="none"/>
        </w:rPr>
      </w:pPr>
      <w:r>
        <w:rPr>
          <w:rFonts w:hint="eastAsia" w:ascii="宋体" w:hAnsi="宋体" w:cs="宋体"/>
          <w:b/>
          <w:bCs/>
          <w:sz w:val="24"/>
          <w:szCs w:val="24"/>
          <w:highlight w:val="none"/>
        </w:rPr>
        <w:t>发包人（全称）：</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r>
        <w:rPr>
          <w:rFonts w:hint="eastAsia" w:ascii="宋体" w:hAnsi="宋体" w:cs="宋体"/>
          <w:sz w:val="24"/>
          <w:szCs w:val="24"/>
          <w:highlight w:val="none"/>
        </w:rPr>
        <w:tab/>
      </w:r>
    </w:p>
    <w:p w14:paraId="55866A02">
      <w:pPr>
        <w:pStyle w:val="16"/>
        <w:spacing w:line="360" w:lineRule="auto"/>
        <w:ind w:firstLine="422"/>
        <w:rPr>
          <w:rFonts w:ascii="宋体" w:hAnsi="宋体" w:cs="宋体"/>
          <w:sz w:val="24"/>
          <w:szCs w:val="24"/>
          <w:highlight w:val="none"/>
        </w:rPr>
      </w:pPr>
      <w:r>
        <w:rPr>
          <w:rFonts w:hint="eastAsia" w:ascii="宋体" w:hAnsi="宋体" w:cs="宋体"/>
          <w:b/>
          <w:bCs/>
          <w:sz w:val="24"/>
          <w:szCs w:val="24"/>
          <w:highlight w:val="none"/>
        </w:rPr>
        <w:t>承包人（全称）：</w:t>
      </w:r>
      <w:r>
        <w:rPr>
          <w:rFonts w:hint="eastAsia" w:ascii="宋体" w:hAnsi="宋体" w:cs="宋体"/>
          <w:sz w:val="24"/>
          <w:szCs w:val="24"/>
          <w:highlight w:val="none"/>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ab/>
      </w:r>
    </w:p>
    <w:p w14:paraId="735E22FA">
      <w:pPr>
        <w:pStyle w:val="16"/>
        <w:spacing w:line="360" w:lineRule="auto"/>
        <w:rPr>
          <w:rFonts w:ascii="宋体" w:hAnsi="宋体" w:cs="宋体"/>
          <w:sz w:val="24"/>
          <w:szCs w:val="24"/>
          <w:highlight w:val="none"/>
        </w:rPr>
      </w:pPr>
      <w:r>
        <w:rPr>
          <w:rFonts w:hint="eastAsia" w:ascii="宋体" w:hAnsi="宋体" w:cs="宋体"/>
          <w:sz w:val="24"/>
          <w:szCs w:val="24"/>
          <w:highlight w:val="none"/>
        </w:rPr>
        <w:t>为加强建设工程安全生产管理，落实安全生产责任，防止和减少生产安全事故，经甲乙双方在平等、自愿的基础上协商一致，根据《中华人民共和国安全生产法》、《建设工程安全生产管理条例》及相关法律、法规的规定，达成如下合同。</w:t>
      </w:r>
    </w:p>
    <w:p w14:paraId="3F5E75ED">
      <w:pPr>
        <w:pStyle w:val="16"/>
        <w:spacing w:line="360" w:lineRule="auto"/>
        <w:ind w:firstLine="422"/>
        <w:outlineLvl w:val="1"/>
        <w:rPr>
          <w:rFonts w:ascii="宋体" w:hAnsi="宋体" w:cs="宋体"/>
          <w:b/>
          <w:bCs/>
          <w:sz w:val="24"/>
          <w:szCs w:val="24"/>
          <w:highlight w:val="none"/>
        </w:rPr>
      </w:pPr>
      <w:bookmarkStart w:id="90" w:name="_Toc7698"/>
      <w:bookmarkStart w:id="91" w:name="_Toc25076"/>
      <w:bookmarkStart w:id="92" w:name="_Toc14218"/>
      <w:r>
        <w:rPr>
          <w:rFonts w:hint="eastAsia" w:ascii="宋体" w:hAnsi="宋体" w:cs="宋体"/>
          <w:b/>
          <w:bCs/>
          <w:sz w:val="24"/>
          <w:szCs w:val="24"/>
          <w:highlight w:val="none"/>
        </w:rPr>
        <w:t>一、建设工程安全生产管理目标及必须达到的安全事故控制指标</w:t>
      </w:r>
      <w:bookmarkEnd w:id="90"/>
      <w:bookmarkEnd w:id="91"/>
      <w:bookmarkEnd w:id="92"/>
    </w:p>
    <w:p w14:paraId="57D6CAAB">
      <w:pPr>
        <w:pStyle w:val="16"/>
        <w:spacing w:line="360" w:lineRule="auto"/>
        <w:rPr>
          <w:rFonts w:ascii="宋体" w:hAnsi="宋体" w:cs="宋体"/>
          <w:sz w:val="24"/>
          <w:szCs w:val="24"/>
          <w:highlight w:val="none"/>
        </w:rPr>
      </w:pPr>
      <w:r>
        <w:rPr>
          <w:rFonts w:hint="eastAsia" w:ascii="宋体" w:hAnsi="宋体" w:cs="宋体"/>
          <w:sz w:val="24"/>
          <w:szCs w:val="24"/>
          <w:highlight w:val="none"/>
        </w:rPr>
        <w:t>遵守《建设工程安全生产管理条例》的规定，实现安全生产管理目标：无重伤、无死亡、无施工坍塌、无高处坠落、无滑坡、无火灾、无用电事故、无重大机械事故等各类安全生产事故。即：</w:t>
      </w:r>
    </w:p>
    <w:p w14:paraId="1094AE60">
      <w:pPr>
        <w:pStyle w:val="16"/>
        <w:spacing w:line="360" w:lineRule="auto"/>
        <w:rPr>
          <w:rFonts w:ascii="宋体" w:hAnsi="宋体" w:cs="宋体"/>
          <w:sz w:val="24"/>
          <w:szCs w:val="24"/>
          <w:highlight w:val="none"/>
        </w:rPr>
      </w:pPr>
      <w:r>
        <w:rPr>
          <w:rFonts w:hint="eastAsia" w:ascii="宋体" w:hAnsi="宋体" w:cs="宋体"/>
          <w:sz w:val="24"/>
          <w:szCs w:val="24"/>
          <w:highlight w:val="none"/>
        </w:rPr>
        <w:t>1、因工死亡率为零；</w:t>
      </w:r>
    </w:p>
    <w:p w14:paraId="3D674BC3">
      <w:pPr>
        <w:pStyle w:val="16"/>
        <w:spacing w:line="360" w:lineRule="auto"/>
        <w:rPr>
          <w:rFonts w:ascii="宋体" w:hAnsi="宋体" w:cs="宋体"/>
          <w:sz w:val="24"/>
          <w:szCs w:val="24"/>
          <w:highlight w:val="none"/>
        </w:rPr>
      </w:pPr>
      <w:r>
        <w:rPr>
          <w:rFonts w:hint="eastAsia" w:ascii="宋体" w:hAnsi="宋体" w:cs="宋体"/>
          <w:sz w:val="24"/>
          <w:szCs w:val="24"/>
          <w:highlight w:val="none"/>
        </w:rPr>
        <w:t>2、因工重伤率为零；</w:t>
      </w:r>
    </w:p>
    <w:p w14:paraId="1181CF9B">
      <w:pPr>
        <w:pStyle w:val="16"/>
        <w:spacing w:line="360" w:lineRule="auto"/>
        <w:rPr>
          <w:rFonts w:ascii="宋体" w:hAnsi="宋体" w:cs="宋体"/>
          <w:sz w:val="24"/>
          <w:szCs w:val="24"/>
          <w:highlight w:val="none"/>
        </w:rPr>
      </w:pPr>
      <w:r>
        <w:rPr>
          <w:rFonts w:hint="eastAsia" w:ascii="宋体" w:hAnsi="宋体" w:cs="宋体"/>
          <w:sz w:val="24"/>
          <w:szCs w:val="24"/>
          <w:highlight w:val="none"/>
        </w:rPr>
        <w:t>3、因工轻伤事故率不高于 1.5‰；</w:t>
      </w:r>
    </w:p>
    <w:p w14:paraId="4005D1C3">
      <w:pPr>
        <w:pStyle w:val="16"/>
        <w:spacing w:line="360" w:lineRule="auto"/>
        <w:rPr>
          <w:rFonts w:ascii="宋体" w:hAnsi="宋体" w:cs="宋体"/>
          <w:sz w:val="24"/>
          <w:szCs w:val="24"/>
          <w:highlight w:val="none"/>
        </w:rPr>
      </w:pPr>
      <w:r>
        <w:rPr>
          <w:rFonts w:hint="eastAsia" w:ascii="宋体" w:hAnsi="宋体" w:cs="宋体"/>
          <w:sz w:val="24"/>
          <w:szCs w:val="24"/>
          <w:highlight w:val="none"/>
        </w:rPr>
        <w:t>4、不发生损失额 2 万元以上的机械、设备、交通和火灾事故。</w:t>
      </w:r>
    </w:p>
    <w:p w14:paraId="31EE2BF6">
      <w:pPr>
        <w:pStyle w:val="16"/>
        <w:spacing w:line="360" w:lineRule="auto"/>
        <w:ind w:firstLine="422"/>
        <w:outlineLvl w:val="1"/>
        <w:rPr>
          <w:rFonts w:ascii="宋体" w:hAnsi="宋体" w:cs="宋体"/>
          <w:b/>
          <w:bCs/>
          <w:sz w:val="24"/>
          <w:szCs w:val="24"/>
          <w:highlight w:val="none"/>
        </w:rPr>
      </w:pPr>
      <w:bookmarkStart w:id="93" w:name="_Toc3298"/>
      <w:bookmarkStart w:id="94" w:name="_Toc23144"/>
      <w:bookmarkStart w:id="95" w:name="_Toc13408"/>
      <w:r>
        <w:rPr>
          <w:rFonts w:hint="eastAsia" w:ascii="宋体" w:hAnsi="宋体" w:cs="宋体"/>
          <w:b/>
          <w:bCs/>
          <w:sz w:val="24"/>
          <w:szCs w:val="24"/>
          <w:highlight w:val="none"/>
        </w:rPr>
        <w:t>二、本合同有效期限</w:t>
      </w:r>
      <w:bookmarkEnd w:id="93"/>
      <w:bookmarkEnd w:id="94"/>
      <w:bookmarkEnd w:id="95"/>
    </w:p>
    <w:p w14:paraId="64E6EF64">
      <w:pPr>
        <w:pStyle w:val="16"/>
        <w:spacing w:line="360" w:lineRule="auto"/>
        <w:rPr>
          <w:rFonts w:ascii="宋体" w:hAnsi="宋体" w:cs="宋体"/>
          <w:sz w:val="24"/>
          <w:szCs w:val="24"/>
          <w:highlight w:val="none"/>
        </w:rPr>
      </w:pPr>
      <w:r>
        <w:rPr>
          <w:rFonts w:hint="eastAsia" w:ascii="宋体" w:hAnsi="宋体" w:cs="宋体"/>
          <w:sz w:val="24"/>
          <w:szCs w:val="24"/>
          <w:highlight w:val="none"/>
        </w:rPr>
        <w:t>自承包人入驻施工场地之日起，至工程竣工验收合格交付发包人使用时止。三、发包人的安全生产管理权利</w:t>
      </w:r>
    </w:p>
    <w:p w14:paraId="3F69581A">
      <w:pPr>
        <w:pStyle w:val="16"/>
        <w:spacing w:line="360" w:lineRule="auto"/>
        <w:rPr>
          <w:rFonts w:ascii="宋体" w:hAnsi="宋体" w:cs="宋体"/>
          <w:sz w:val="24"/>
          <w:szCs w:val="24"/>
          <w:highlight w:val="none"/>
        </w:rPr>
      </w:pPr>
      <w:r>
        <w:rPr>
          <w:rFonts w:hint="eastAsia" w:ascii="宋体" w:hAnsi="宋体" w:cs="宋体"/>
          <w:sz w:val="24"/>
          <w:szCs w:val="24"/>
          <w:highlight w:val="none"/>
        </w:rPr>
        <w:t>1、监督检查承包人的各项安全生产工作，对建筑工地现场实施日常检查和定期、不定期的巡查。</w:t>
      </w:r>
    </w:p>
    <w:p w14:paraId="78FD1285">
      <w:pPr>
        <w:pStyle w:val="16"/>
        <w:spacing w:line="360" w:lineRule="auto"/>
        <w:rPr>
          <w:rFonts w:ascii="宋体" w:hAnsi="宋体" w:cs="宋体"/>
          <w:sz w:val="24"/>
          <w:szCs w:val="24"/>
          <w:highlight w:val="none"/>
        </w:rPr>
      </w:pPr>
      <w:r>
        <w:rPr>
          <w:rFonts w:hint="eastAsia" w:ascii="宋体" w:hAnsi="宋体" w:cs="宋体"/>
          <w:sz w:val="24"/>
          <w:szCs w:val="24"/>
          <w:highlight w:val="none"/>
        </w:rPr>
        <w:t>2、在实施检查、巡查过程中，发现建设工程存在安全事故隐患的，有权要求承包人暂时停止施工进行整改，直至消除安全事故隐患。</w:t>
      </w:r>
    </w:p>
    <w:p w14:paraId="436BE1A8">
      <w:pPr>
        <w:pStyle w:val="16"/>
        <w:spacing w:line="360" w:lineRule="auto"/>
        <w:rPr>
          <w:rFonts w:ascii="宋体" w:hAnsi="宋体" w:cs="宋体"/>
          <w:sz w:val="24"/>
          <w:szCs w:val="24"/>
          <w:highlight w:val="none"/>
        </w:rPr>
      </w:pPr>
      <w:r>
        <w:rPr>
          <w:rFonts w:hint="eastAsia" w:ascii="宋体" w:hAnsi="宋体" w:cs="宋体"/>
          <w:sz w:val="24"/>
          <w:szCs w:val="24"/>
          <w:highlight w:val="none"/>
        </w:rPr>
        <w:t>3、查阅与检查、巡查事项有关的文件、资料。并可根据实际情况，对施工现场进行检测、拍照、录音、摄像等。</w:t>
      </w:r>
    </w:p>
    <w:p w14:paraId="1FB7BCE9">
      <w:pPr>
        <w:pStyle w:val="16"/>
        <w:spacing w:line="360" w:lineRule="auto"/>
        <w:rPr>
          <w:rFonts w:ascii="宋体" w:hAnsi="宋体" w:cs="宋体"/>
          <w:sz w:val="24"/>
          <w:szCs w:val="24"/>
          <w:highlight w:val="none"/>
        </w:rPr>
      </w:pPr>
      <w:r>
        <w:rPr>
          <w:rFonts w:hint="eastAsia" w:ascii="宋体" w:hAnsi="宋体" w:cs="宋体"/>
          <w:sz w:val="24"/>
          <w:szCs w:val="24"/>
          <w:highlight w:val="none"/>
        </w:rPr>
        <w:t>4、承包人违反安全生产约定或规定时，发包人有权要求其支付违约金，并承担其他违约责任。</w:t>
      </w:r>
    </w:p>
    <w:p w14:paraId="2DF3D64C">
      <w:pPr>
        <w:pStyle w:val="16"/>
        <w:spacing w:line="360" w:lineRule="auto"/>
        <w:ind w:firstLine="422"/>
        <w:outlineLvl w:val="1"/>
        <w:rPr>
          <w:rFonts w:ascii="宋体" w:hAnsi="宋体" w:cs="宋体"/>
          <w:sz w:val="24"/>
          <w:szCs w:val="24"/>
          <w:highlight w:val="none"/>
        </w:rPr>
      </w:pPr>
      <w:bookmarkStart w:id="96" w:name="_Toc29237"/>
      <w:bookmarkStart w:id="97" w:name="_Toc32296"/>
      <w:bookmarkStart w:id="98" w:name="_Toc7400"/>
      <w:r>
        <w:rPr>
          <w:rFonts w:hint="eastAsia" w:ascii="宋体" w:hAnsi="宋体" w:cs="宋体"/>
          <w:b/>
          <w:bCs/>
          <w:sz w:val="24"/>
          <w:szCs w:val="24"/>
          <w:highlight w:val="none"/>
        </w:rPr>
        <w:t>四、发包人的安全生产管理义务</w:t>
      </w:r>
      <w:bookmarkEnd w:id="96"/>
      <w:bookmarkEnd w:id="97"/>
      <w:bookmarkEnd w:id="98"/>
    </w:p>
    <w:p w14:paraId="74B11329">
      <w:pPr>
        <w:pStyle w:val="16"/>
        <w:spacing w:line="360" w:lineRule="auto"/>
        <w:rPr>
          <w:rFonts w:ascii="宋体" w:hAnsi="宋体" w:cs="宋体"/>
          <w:sz w:val="24"/>
          <w:szCs w:val="24"/>
          <w:highlight w:val="none"/>
        </w:rPr>
      </w:pPr>
      <w:r>
        <w:rPr>
          <w:rFonts w:hint="eastAsia" w:ascii="宋体" w:hAnsi="宋体" w:cs="宋体"/>
          <w:sz w:val="24"/>
          <w:szCs w:val="24"/>
          <w:highlight w:val="none"/>
        </w:rPr>
        <w:t>1、发包人不得对承包人提出不符合建设工程安全生产法律、法规和强制性标准的要求。</w:t>
      </w:r>
    </w:p>
    <w:p w14:paraId="0BD7C6E3">
      <w:pPr>
        <w:pStyle w:val="16"/>
        <w:spacing w:line="360" w:lineRule="auto"/>
        <w:rPr>
          <w:rFonts w:ascii="宋体" w:hAnsi="宋体" w:cs="宋体"/>
          <w:sz w:val="24"/>
          <w:szCs w:val="24"/>
          <w:highlight w:val="none"/>
        </w:rPr>
      </w:pPr>
      <w:r>
        <w:rPr>
          <w:rFonts w:hint="eastAsia" w:ascii="宋体" w:hAnsi="宋体" w:cs="宋体"/>
          <w:sz w:val="24"/>
          <w:szCs w:val="24"/>
          <w:highlight w:val="none"/>
        </w:rPr>
        <w:t>2、发包人不得明示或暗示承包人购买、租赁、使用不符合安全施工要求的安全防护用具、机械设备、施工机具及配件、消防设施和器材。</w:t>
      </w:r>
    </w:p>
    <w:p w14:paraId="4B391A75">
      <w:pPr>
        <w:pStyle w:val="16"/>
        <w:spacing w:line="360" w:lineRule="auto"/>
        <w:rPr>
          <w:rFonts w:ascii="宋体" w:hAnsi="宋体" w:cs="宋体"/>
          <w:sz w:val="24"/>
          <w:szCs w:val="24"/>
          <w:highlight w:val="none"/>
        </w:rPr>
      </w:pPr>
      <w:r>
        <w:rPr>
          <w:rFonts w:hint="eastAsia" w:ascii="宋体" w:hAnsi="宋体" w:cs="宋体"/>
          <w:sz w:val="24"/>
          <w:szCs w:val="24"/>
          <w:highlight w:val="none"/>
        </w:rPr>
        <w:t>3、对承包人施工现场采取的安全施工技术措施，根据承包人的请求，提供必要的协助。</w:t>
      </w:r>
    </w:p>
    <w:p w14:paraId="0C4A8A68">
      <w:pPr>
        <w:pStyle w:val="16"/>
        <w:spacing w:line="360" w:lineRule="auto"/>
        <w:ind w:firstLine="422"/>
        <w:outlineLvl w:val="1"/>
        <w:rPr>
          <w:rFonts w:ascii="宋体" w:hAnsi="宋体" w:cs="宋体"/>
          <w:b/>
          <w:bCs/>
          <w:sz w:val="24"/>
          <w:szCs w:val="24"/>
          <w:highlight w:val="none"/>
        </w:rPr>
      </w:pPr>
      <w:bookmarkStart w:id="99" w:name="_Toc12065"/>
      <w:bookmarkStart w:id="100" w:name="_Toc17602"/>
      <w:bookmarkStart w:id="101" w:name="_Toc102"/>
      <w:r>
        <w:rPr>
          <w:rFonts w:hint="eastAsia" w:ascii="宋体" w:hAnsi="宋体" w:cs="宋体"/>
          <w:b/>
          <w:bCs/>
          <w:sz w:val="24"/>
          <w:szCs w:val="24"/>
          <w:highlight w:val="none"/>
        </w:rPr>
        <w:t>五、承包人的安全生产责任与义务</w:t>
      </w:r>
      <w:bookmarkEnd w:id="99"/>
      <w:bookmarkEnd w:id="100"/>
      <w:bookmarkEnd w:id="101"/>
    </w:p>
    <w:p w14:paraId="05B63211">
      <w:pPr>
        <w:pStyle w:val="16"/>
        <w:spacing w:line="360" w:lineRule="auto"/>
        <w:rPr>
          <w:rFonts w:ascii="宋体" w:hAnsi="宋体" w:cs="宋体"/>
          <w:sz w:val="24"/>
          <w:szCs w:val="24"/>
          <w:highlight w:val="none"/>
        </w:rPr>
      </w:pPr>
      <w:r>
        <w:rPr>
          <w:rFonts w:hint="eastAsia" w:ascii="宋体" w:hAnsi="宋体" w:cs="宋体"/>
          <w:sz w:val="24"/>
          <w:szCs w:val="24"/>
          <w:highlight w:val="none"/>
        </w:rPr>
        <w:t>1、承包人应当在其资质等级许可范围内，并具备安全生产许可证的条件下承揽工程。</w:t>
      </w:r>
    </w:p>
    <w:p w14:paraId="4E9C5EE3">
      <w:pPr>
        <w:pStyle w:val="16"/>
        <w:spacing w:line="360" w:lineRule="auto"/>
        <w:rPr>
          <w:rFonts w:ascii="宋体" w:hAnsi="宋体" w:cs="宋体"/>
          <w:sz w:val="24"/>
          <w:szCs w:val="24"/>
          <w:highlight w:val="none"/>
        </w:rPr>
      </w:pPr>
      <w:r>
        <w:rPr>
          <w:rFonts w:hint="eastAsia" w:ascii="宋体" w:hAnsi="宋体" w:cs="宋体"/>
          <w:sz w:val="24"/>
          <w:szCs w:val="24"/>
          <w:highlight w:val="none"/>
        </w:rPr>
        <w:t>2、承包人应当严格按照建设工程安全生产的法律、法规、规章及安全生产的标准、规程的有关规定，组织工程施工，并对工程建设施工的安全生产工作全面负责。因承包人安全生产措施不力造成事故的责任和因此发生的费用由承包人承担。</w:t>
      </w:r>
    </w:p>
    <w:p w14:paraId="437C73FA">
      <w:pPr>
        <w:pStyle w:val="16"/>
        <w:spacing w:line="360" w:lineRule="auto"/>
        <w:rPr>
          <w:rFonts w:ascii="宋体" w:hAnsi="宋体" w:cs="宋体"/>
          <w:sz w:val="24"/>
          <w:szCs w:val="24"/>
          <w:highlight w:val="none"/>
        </w:rPr>
      </w:pPr>
      <w:r>
        <w:rPr>
          <w:rFonts w:hint="eastAsia" w:ascii="宋体" w:hAnsi="宋体" w:cs="宋体"/>
          <w:sz w:val="24"/>
          <w:szCs w:val="24"/>
          <w:highlight w:val="none"/>
        </w:rPr>
        <w:t>3、建立、健全与落实安全生产责任制度、安全生产教育培训制度、安全生产规章制度和操作规程。</w:t>
      </w:r>
    </w:p>
    <w:p w14:paraId="672D2F4F">
      <w:pPr>
        <w:pStyle w:val="16"/>
        <w:spacing w:line="360" w:lineRule="auto"/>
        <w:rPr>
          <w:rFonts w:ascii="宋体" w:hAnsi="宋体" w:cs="宋体"/>
          <w:sz w:val="24"/>
          <w:szCs w:val="24"/>
          <w:highlight w:val="none"/>
        </w:rPr>
      </w:pPr>
      <w:r>
        <w:rPr>
          <w:rFonts w:hint="eastAsia" w:ascii="宋体" w:hAnsi="宋体" w:cs="宋体"/>
          <w:sz w:val="24"/>
          <w:szCs w:val="24"/>
          <w:highlight w:val="none"/>
        </w:rPr>
        <w:t>4、设立安全生产管理机构，配备专职安全生产管理人员。</w:t>
      </w:r>
    </w:p>
    <w:p w14:paraId="53F4DFDD">
      <w:pPr>
        <w:pStyle w:val="16"/>
        <w:spacing w:line="360" w:lineRule="auto"/>
        <w:rPr>
          <w:rFonts w:ascii="宋体" w:hAnsi="宋体" w:cs="宋体"/>
          <w:sz w:val="24"/>
          <w:szCs w:val="24"/>
          <w:highlight w:val="none"/>
        </w:rPr>
      </w:pPr>
      <w:r>
        <w:rPr>
          <w:rFonts w:hint="eastAsia" w:ascii="宋体" w:hAnsi="宋体" w:cs="宋体"/>
          <w:sz w:val="24"/>
          <w:szCs w:val="24"/>
          <w:highlight w:val="none"/>
        </w:rPr>
        <w:t>5、根据工程特点组织制定安全施工措施，消除安全事故隐患。强化对基坑开挖、起重吊装、模板工程等危险性较大的工程施工的监控和安全防护措施的落实， 严防高空坠落、施工坍塌等安全事故的发生。</w:t>
      </w:r>
    </w:p>
    <w:p w14:paraId="45670114">
      <w:pPr>
        <w:pStyle w:val="16"/>
        <w:spacing w:line="360" w:lineRule="auto"/>
        <w:rPr>
          <w:rFonts w:ascii="宋体" w:hAnsi="宋体" w:cs="宋体"/>
          <w:sz w:val="24"/>
          <w:szCs w:val="24"/>
          <w:highlight w:val="none"/>
        </w:rPr>
      </w:pPr>
      <w:r>
        <w:rPr>
          <w:rFonts w:hint="eastAsia" w:ascii="宋体" w:hAnsi="宋体" w:cs="宋体"/>
          <w:sz w:val="24"/>
          <w:szCs w:val="24"/>
          <w:highlight w:val="none"/>
        </w:rPr>
        <w:t>6、随时接受发包人实施的安全检查、巡查、并按照发包人的要求进行整改， 消除安全事故隐患，确保安全生产。</w:t>
      </w:r>
    </w:p>
    <w:p w14:paraId="1F70160B">
      <w:pPr>
        <w:pStyle w:val="16"/>
        <w:spacing w:line="360" w:lineRule="auto"/>
        <w:rPr>
          <w:rFonts w:ascii="宋体" w:hAnsi="宋体" w:cs="宋体"/>
          <w:sz w:val="24"/>
          <w:szCs w:val="24"/>
          <w:highlight w:val="none"/>
        </w:rPr>
      </w:pPr>
      <w:r>
        <w:rPr>
          <w:rFonts w:hint="eastAsia" w:ascii="宋体" w:hAnsi="宋体" w:cs="宋体"/>
          <w:sz w:val="24"/>
          <w:szCs w:val="24"/>
          <w:highlight w:val="none"/>
        </w:rPr>
        <w:t>7、承包人应当在施工现场入口处、施工起重机械、临时用电设施、脚手架、出入通道口、基坑边沿等危险部位，设置明显的安全警示标志，安全警示标志必须符合国家标准。</w:t>
      </w:r>
    </w:p>
    <w:p w14:paraId="671108C5">
      <w:pPr>
        <w:pStyle w:val="16"/>
        <w:spacing w:line="360" w:lineRule="auto"/>
        <w:rPr>
          <w:rFonts w:ascii="宋体" w:hAnsi="宋体" w:cs="宋体"/>
          <w:sz w:val="24"/>
          <w:szCs w:val="24"/>
          <w:highlight w:val="none"/>
        </w:rPr>
      </w:pPr>
      <w:r>
        <w:rPr>
          <w:rFonts w:hint="eastAsia" w:ascii="宋体" w:hAnsi="宋体" w:cs="宋体"/>
          <w:sz w:val="24"/>
          <w:szCs w:val="24"/>
          <w:highlight w:val="none"/>
        </w:rPr>
        <w:t>8、承包人应根据不同施工阶段和周围环境及季节、气候气象的变化，在施工现场采取相应的安全施工措施。确保雨季等特殊气候气象情况下的施工安全。</w:t>
      </w:r>
    </w:p>
    <w:p w14:paraId="58087879">
      <w:pPr>
        <w:pStyle w:val="16"/>
        <w:spacing w:line="360" w:lineRule="auto"/>
        <w:rPr>
          <w:rFonts w:ascii="宋体" w:hAnsi="宋体" w:cs="宋体"/>
          <w:sz w:val="24"/>
          <w:szCs w:val="24"/>
          <w:highlight w:val="none"/>
        </w:rPr>
      </w:pPr>
      <w:r>
        <w:rPr>
          <w:rFonts w:hint="eastAsia" w:ascii="宋体" w:hAnsi="宋体" w:cs="宋体"/>
          <w:sz w:val="24"/>
          <w:szCs w:val="24"/>
          <w:highlight w:val="none"/>
        </w:rPr>
        <w:t>9、对建设工程施工进行定期和专项安全自检，并做好安全检查记录，及时发现并消除安全生产事故隐患。</w:t>
      </w:r>
    </w:p>
    <w:p w14:paraId="7968F1EA">
      <w:pPr>
        <w:pStyle w:val="16"/>
        <w:spacing w:line="360" w:lineRule="auto"/>
        <w:rPr>
          <w:rFonts w:ascii="宋体" w:hAnsi="宋体" w:cs="宋体"/>
          <w:sz w:val="24"/>
          <w:szCs w:val="24"/>
          <w:highlight w:val="none"/>
        </w:rPr>
      </w:pPr>
      <w:r>
        <w:rPr>
          <w:rFonts w:hint="eastAsia" w:ascii="宋体" w:hAnsi="宋体" w:cs="宋体"/>
          <w:sz w:val="24"/>
          <w:szCs w:val="24"/>
          <w:highlight w:val="none"/>
        </w:rPr>
        <w:t>10、在施工现场建立消防安全责任制度，确定消防安全责任人，制定用火、用电等各项消防安全管理制度和操作规程。</w:t>
      </w:r>
    </w:p>
    <w:p w14:paraId="516D214F">
      <w:pPr>
        <w:pStyle w:val="16"/>
        <w:spacing w:line="360" w:lineRule="auto"/>
        <w:rPr>
          <w:rFonts w:ascii="宋体" w:hAnsi="宋体" w:cs="宋体"/>
          <w:sz w:val="24"/>
          <w:szCs w:val="24"/>
          <w:highlight w:val="none"/>
        </w:rPr>
      </w:pPr>
      <w:r>
        <w:rPr>
          <w:rFonts w:hint="eastAsia" w:ascii="宋体" w:hAnsi="宋体" w:cs="宋体"/>
          <w:sz w:val="24"/>
          <w:szCs w:val="24"/>
          <w:highlight w:val="none"/>
        </w:rPr>
        <w:t>11、制定实施工程现场生产安全事故应急救援预案，并定期组织演练。</w:t>
      </w:r>
    </w:p>
    <w:p w14:paraId="7985A61E">
      <w:pPr>
        <w:pStyle w:val="16"/>
        <w:spacing w:line="360" w:lineRule="auto"/>
        <w:rPr>
          <w:rFonts w:ascii="宋体" w:hAnsi="宋体" w:cs="宋体"/>
          <w:sz w:val="24"/>
          <w:szCs w:val="24"/>
          <w:highlight w:val="none"/>
        </w:rPr>
      </w:pPr>
      <w:r>
        <w:rPr>
          <w:rFonts w:hint="eastAsia" w:ascii="宋体" w:hAnsi="宋体" w:cs="宋体"/>
          <w:sz w:val="24"/>
          <w:szCs w:val="24"/>
          <w:highlight w:val="none"/>
        </w:rPr>
        <w:t>12、根据安全生产法律、法规、规章及相关标准、规程的规定，承包人应承担的其它责任与义务。</w:t>
      </w:r>
    </w:p>
    <w:p w14:paraId="0CBDA22D">
      <w:pPr>
        <w:pStyle w:val="16"/>
        <w:spacing w:line="360" w:lineRule="auto"/>
        <w:ind w:firstLine="422"/>
        <w:outlineLvl w:val="1"/>
        <w:rPr>
          <w:rFonts w:ascii="宋体" w:hAnsi="宋体" w:cs="宋体"/>
          <w:sz w:val="24"/>
          <w:szCs w:val="24"/>
          <w:highlight w:val="none"/>
        </w:rPr>
      </w:pPr>
      <w:bookmarkStart w:id="102" w:name="_Toc26345"/>
      <w:bookmarkStart w:id="103" w:name="_Toc4122"/>
      <w:bookmarkStart w:id="104" w:name="_Toc5123"/>
      <w:r>
        <w:rPr>
          <w:rFonts w:hint="eastAsia" w:ascii="宋体" w:hAnsi="宋体" w:cs="宋体"/>
          <w:b/>
          <w:bCs/>
          <w:sz w:val="24"/>
          <w:szCs w:val="24"/>
          <w:highlight w:val="none"/>
        </w:rPr>
        <w:t>六、现场停工整改约定</w:t>
      </w:r>
      <w:bookmarkEnd w:id="102"/>
      <w:bookmarkEnd w:id="103"/>
      <w:bookmarkEnd w:id="104"/>
    </w:p>
    <w:p w14:paraId="4086ABD0">
      <w:pPr>
        <w:pStyle w:val="16"/>
        <w:spacing w:line="360" w:lineRule="auto"/>
        <w:rPr>
          <w:rFonts w:ascii="宋体" w:hAnsi="宋体" w:cs="宋体"/>
          <w:sz w:val="24"/>
          <w:szCs w:val="24"/>
          <w:highlight w:val="none"/>
        </w:rPr>
      </w:pPr>
      <w:r>
        <w:rPr>
          <w:rFonts w:hint="eastAsia" w:ascii="宋体" w:hAnsi="宋体" w:cs="宋体"/>
          <w:sz w:val="24"/>
          <w:szCs w:val="24"/>
          <w:highlight w:val="none"/>
        </w:rPr>
        <w:t>1、发包人在承包人施工现场检查、巡查过程中，发现存在安全事故隐患，认为必须暂停施工的，应以书面形式下达停工整改通知。承包人对发包人的停工整改通知应予以执行，并按照发包人要求停止施工进行整改，妥善保护已完工程。</w:t>
      </w:r>
    </w:p>
    <w:p w14:paraId="2B4CC758">
      <w:pPr>
        <w:pStyle w:val="16"/>
        <w:spacing w:line="360" w:lineRule="auto"/>
        <w:rPr>
          <w:rFonts w:ascii="宋体" w:hAnsi="宋体" w:cs="宋体"/>
          <w:sz w:val="24"/>
          <w:szCs w:val="24"/>
          <w:highlight w:val="none"/>
        </w:rPr>
      </w:pPr>
      <w:r>
        <w:rPr>
          <w:rFonts w:hint="eastAsia" w:ascii="宋体" w:hAnsi="宋体" w:cs="宋体"/>
          <w:sz w:val="24"/>
          <w:szCs w:val="24"/>
          <w:highlight w:val="none"/>
        </w:rPr>
        <w:t>2、承包人进行整改后，经发包人检查已消除安全事故隐患的，可以进行复工。</w:t>
      </w:r>
    </w:p>
    <w:p w14:paraId="14EEF0FA">
      <w:pPr>
        <w:pStyle w:val="16"/>
        <w:spacing w:line="360" w:lineRule="auto"/>
        <w:rPr>
          <w:rFonts w:ascii="宋体" w:hAnsi="宋体" w:cs="宋体"/>
          <w:sz w:val="24"/>
          <w:szCs w:val="24"/>
          <w:highlight w:val="none"/>
        </w:rPr>
      </w:pPr>
      <w:r>
        <w:rPr>
          <w:rFonts w:hint="eastAsia" w:ascii="宋体" w:hAnsi="宋体" w:cs="宋体"/>
          <w:sz w:val="24"/>
          <w:szCs w:val="24"/>
          <w:highlight w:val="none"/>
        </w:rPr>
        <w:t>3、若在一个月内由于承包人出现安全事故隐患，被发包人下达停工整改通知累计两次的，则承包人同意发包人暂不支付其当月的工程进度款，该月工程进度款延期至工程竣工验收合格后再行支付。</w:t>
      </w:r>
    </w:p>
    <w:p w14:paraId="715E345A">
      <w:pPr>
        <w:pStyle w:val="16"/>
        <w:spacing w:line="360" w:lineRule="auto"/>
        <w:ind w:firstLine="422"/>
        <w:outlineLvl w:val="1"/>
        <w:rPr>
          <w:rFonts w:ascii="宋体" w:hAnsi="宋体" w:cs="宋体"/>
          <w:b/>
          <w:bCs/>
          <w:sz w:val="24"/>
          <w:szCs w:val="24"/>
          <w:highlight w:val="none"/>
        </w:rPr>
      </w:pPr>
      <w:bookmarkStart w:id="105" w:name="_Toc11112"/>
      <w:bookmarkStart w:id="106" w:name="_Toc15906"/>
      <w:bookmarkStart w:id="107" w:name="_Toc15355"/>
      <w:r>
        <w:rPr>
          <w:rFonts w:hint="eastAsia" w:ascii="宋体" w:hAnsi="宋体" w:cs="宋体"/>
          <w:b/>
          <w:bCs/>
          <w:sz w:val="24"/>
          <w:szCs w:val="24"/>
          <w:highlight w:val="none"/>
        </w:rPr>
        <w:t>七、安全生产保证金的缴纳与补缴约定</w:t>
      </w:r>
      <w:bookmarkEnd w:id="105"/>
      <w:bookmarkEnd w:id="106"/>
      <w:bookmarkEnd w:id="107"/>
    </w:p>
    <w:p w14:paraId="7842BF75">
      <w:pPr>
        <w:pStyle w:val="16"/>
        <w:spacing w:line="360" w:lineRule="auto"/>
        <w:rPr>
          <w:rFonts w:ascii="宋体" w:hAnsi="宋体" w:cs="宋体"/>
          <w:sz w:val="24"/>
          <w:szCs w:val="24"/>
          <w:highlight w:val="none"/>
        </w:rPr>
      </w:pPr>
      <w:r>
        <w:rPr>
          <w:rFonts w:hint="eastAsia" w:ascii="宋体" w:hAnsi="宋体" w:cs="宋体"/>
          <w:sz w:val="24"/>
          <w:szCs w:val="24"/>
          <w:highlight w:val="none"/>
        </w:rPr>
        <w:t>1、本合同采用第 ① 种缴纳方式。</w:t>
      </w:r>
    </w:p>
    <w:p w14:paraId="2202705A">
      <w:pPr>
        <w:pStyle w:val="16"/>
        <w:spacing w:line="360" w:lineRule="auto"/>
        <w:rPr>
          <w:rFonts w:ascii="宋体" w:hAnsi="宋体" w:cs="宋体"/>
          <w:sz w:val="24"/>
          <w:szCs w:val="24"/>
          <w:highlight w:val="none"/>
        </w:rPr>
      </w:pPr>
      <w:r>
        <w:rPr>
          <w:rFonts w:hint="eastAsia" w:ascii="宋体" w:hAnsi="宋体" w:cs="宋体"/>
          <w:sz w:val="24"/>
          <w:szCs w:val="24"/>
          <w:highlight w:val="none"/>
        </w:rPr>
        <w:t>① 承包人承诺，自本合同生效后 7 个工作日内，向发包人指定的安全生产保证金专用账户，汇付安全生产保证金，安全生产保证金缴纳标准为：合同暂定总价的</w:t>
      </w:r>
      <w:r>
        <w:rPr>
          <w:rFonts w:hint="eastAsia" w:ascii="宋体" w:hAnsi="宋体" w:cs="宋体"/>
          <w:sz w:val="24"/>
          <w:szCs w:val="24"/>
          <w:highlight w:val="none"/>
          <w:u w:val="single"/>
        </w:rPr>
        <w:t xml:space="preserve"> 1 %</w:t>
      </w:r>
      <w:r>
        <w:rPr>
          <w:rFonts w:hint="eastAsia" w:ascii="宋体" w:hAnsi="宋体" w:cs="宋体"/>
          <w:sz w:val="24"/>
          <w:szCs w:val="24"/>
          <w:highlight w:val="none"/>
        </w:rPr>
        <w:t>。</w:t>
      </w:r>
    </w:p>
    <w:p w14:paraId="1C72BC0A">
      <w:pPr>
        <w:pStyle w:val="16"/>
        <w:spacing w:line="360" w:lineRule="auto"/>
        <w:rPr>
          <w:rFonts w:ascii="宋体" w:hAnsi="宋体" w:cs="宋体"/>
          <w:sz w:val="24"/>
          <w:szCs w:val="24"/>
          <w:highlight w:val="none"/>
        </w:rPr>
      </w:pPr>
      <w:r>
        <w:rPr>
          <w:rFonts w:hint="eastAsia" w:ascii="宋体" w:hAnsi="宋体" w:cs="宋体"/>
          <w:sz w:val="24"/>
          <w:szCs w:val="24"/>
          <w:highlight w:val="none"/>
        </w:rPr>
        <w:t>② 安全生产保证金缴纳标准为承包工程费用的</w:t>
      </w:r>
      <w:r>
        <w:rPr>
          <w:rFonts w:hint="eastAsia" w:ascii="宋体" w:hAnsi="宋体" w:cs="宋体"/>
          <w:sz w:val="24"/>
          <w:szCs w:val="24"/>
          <w:highlight w:val="none"/>
          <w:u w:val="single"/>
        </w:rPr>
        <w:t xml:space="preserve"> / </w:t>
      </w:r>
      <w:r>
        <w:rPr>
          <w:rFonts w:hint="eastAsia" w:ascii="宋体" w:hAnsi="宋体" w:cs="宋体"/>
          <w:sz w:val="24"/>
          <w:szCs w:val="24"/>
          <w:highlight w:val="none"/>
        </w:rPr>
        <w:t>%，承包人同意，该款项在每月的工程验工计价中扣除，扣除的款项不计利息分</w:t>
      </w:r>
      <w:r>
        <w:rPr>
          <w:rFonts w:hint="eastAsia" w:ascii="宋体" w:hAnsi="宋体" w:cs="宋体"/>
          <w:sz w:val="24"/>
          <w:szCs w:val="24"/>
          <w:highlight w:val="none"/>
          <w:u w:val="single"/>
        </w:rPr>
        <w:t xml:space="preserve"> / </w:t>
      </w:r>
      <w:r>
        <w:rPr>
          <w:rFonts w:hint="eastAsia" w:ascii="宋体" w:hAnsi="宋体" w:cs="宋体"/>
          <w:sz w:val="24"/>
          <w:szCs w:val="24"/>
          <w:highlight w:val="none"/>
        </w:rPr>
        <w:t>次扣完。</w:t>
      </w:r>
    </w:p>
    <w:p w14:paraId="0CA812B5">
      <w:pPr>
        <w:pStyle w:val="16"/>
        <w:spacing w:line="360" w:lineRule="auto"/>
        <w:rPr>
          <w:rFonts w:ascii="宋体" w:hAnsi="宋体" w:cs="宋体"/>
          <w:sz w:val="24"/>
          <w:szCs w:val="24"/>
          <w:highlight w:val="none"/>
        </w:rPr>
      </w:pPr>
      <w:r>
        <w:rPr>
          <w:rFonts w:hint="eastAsia" w:ascii="宋体" w:hAnsi="宋体" w:cs="宋体"/>
          <w:sz w:val="24"/>
          <w:szCs w:val="24"/>
          <w:highlight w:val="none"/>
        </w:rPr>
        <w:t>2、发包人承诺，承包人汇付至发包人上述专用账户的安全生产保证金，专项存储，专款专用。</w:t>
      </w:r>
    </w:p>
    <w:p w14:paraId="201CCD05">
      <w:pPr>
        <w:pStyle w:val="16"/>
        <w:spacing w:line="360" w:lineRule="auto"/>
        <w:rPr>
          <w:rFonts w:ascii="宋体" w:hAnsi="宋体" w:cs="宋体"/>
          <w:sz w:val="24"/>
          <w:szCs w:val="24"/>
          <w:highlight w:val="none"/>
        </w:rPr>
      </w:pPr>
      <w:r>
        <w:rPr>
          <w:rFonts w:hint="eastAsia" w:ascii="宋体" w:hAnsi="宋体" w:cs="宋体"/>
          <w:sz w:val="24"/>
          <w:szCs w:val="24"/>
          <w:highlight w:val="none"/>
        </w:rPr>
        <w:t>3、发包人按本合同的约定，从承包人安全生产保证金中扣除一定金额作为违约金后，承包人应在发包人安全生产保证金补缴通知书要求期限内补足安全生产保证金。</w:t>
      </w:r>
    </w:p>
    <w:p w14:paraId="0CC516A6">
      <w:pPr>
        <w:pStyle w:val="16"/>
        <w:spacing w:line="360" w:lineRule="auto"/>
        <w:rPr>
          <w:rFonts w:ascii="宋体" w:hAnsi="宋体" w:cs="宋体"/>
          <w:sz w:val="24"/>
          <w:szCs w:val="24"/>
          <w:highlight w:val="none"/>
        </w:rPr>
      </w:pPr>
      <w:r>
        <w:rPr>
          <w:rFonts w:hint="eastAsia" w:ascii="宋体" w:hAnsi="宋体" w:cs="宋体"/>
          <w:sz w:val="24"/>
          <w:szCs w:val="24"/>
          <w:highlight w:val="none"/>
        </w:rPr>
        <w:t>4、承包人如不按期限足额缴纳安全生产保证金或补缴安全生产保证金，发包人有权从应向承包人支付的工程款中予以扣缴，直接汇付至安全生产保证金专用账户。</w:t>
      </w:r>
    </w:p>
    <w:p w14:paraId="6F7B5B88">
      <w:pPr>
        <w:pStyle w:val="16"/>
        <w:spacing w:line="360" w:lineRule="auto"/>
        <w:ind w:firstLine="422"/>
        <w:outlineLvl w:val="1"/>
        <w:rPr>
          <w:rFonts w:ascii="宋体" w:hAnsi="宋体" w:cs="宋体"/>
          <w:b/>
          <w:bCs/>
          <w:sz w:val="24"/>
          <w:szCs w:val="24"/>
          <w:highlight w:val="none"/>
        </w:rPr>
      </w:pPr>
      <w:bookmarkStart w:id="108" w:name="_Toc19147"/>
      <w:bookmarkStart w:id="109" w:name="_Toc12127"/>
      <w:bookmarkStart w:id="110" w:name="_Toc14739"/>
      <w:r>
        <w:rPr>
          <w:rFonts w:hint="eastAsia" w:ascii="宋体" w:hAnsi="宋体" w:cs="宋体"/>
          <w:b/>
          <w:bCs/>
          <w:sz w:val="24"/>
          <w:szCs w:val="24"/>
          <w:highlight w:val="none"/>
        </w:rPr>
        <w:t>八、安全生产奖励约定</w:t>
      </w:r>
      <w:bookmarkEnd w:id="108"/>
      <w:bookmarkEnd w:id="109"/>
      <w:bookmarkEnd w:id="110"/>
    </w:p>
    <w:p w14:paraId="1D3E615A">
      <w:pPr>
        <w:pStyle w:val="16"/>
        <w:spacing w:line="360" w:lineRule="auto"/>
        <w:rPr>
          <w:rFonts w:ascii="宋体" w:hAnsi="宋体" w:cs="宋体"/>
          <w:sz w:val="24"/>
          <w:szCs w:val="24"/>
          <w:highlight w:val="none"/>
        </w:rPr>
      </w:pPr>
      <w:r>
        <w:rPr>
          <w:rFonts w:hint="eastAsia" w:ascii="宋体" w:hAnsi="宋体" w:cs="宋体"/>
          <w:sz w:val="24"/>
          <w:szCs w:val="24"/>
          <w:highlight w:val="none"/>
        </w:rPr>
        <w:t>若承包人在本合同约定安全生产期间，全面实现建设工程安全生产管理目标，无安全生产事故发生，并且未违反本合同约定，未被发包人发出停工整改通知单与要求支付违约金的，发包人按以下方式给予承包人安全生产奖励。</w:t>
      </w:r>
    </w:p>
    <w:p w14:paraId="385FEC55">
      <w:pPr>
        <w:pStyle w:val="16"/>
        <w:spacing w:line="360" w:lineRule="auto"/>
        <w:rPr>
          <w:rFonts w:ascii="宋体" w:hAnsi="宋体" w:cs="宋体"/>
          <w:sz w:val="24"/>
          <w:szCs w:val="24"/>
          <w:highlight w:val="none"/>
        </w:rPr>
      </w:pPr>
      <w:r>
        <w:rPr>
          <w:rFonts w:hint="eastAsia" w:ascii="宋体" w:hAnsi="宋体" w:cs="宋体"/>
          <w:sz w:val="24"/>
          <w:szCs w:val="24"/>
          <w:highlight w:val="none"/>
        </w:rPr>
        <w:t xml:space="preserve">奖励标准为： </w:t>
      </w:r>
      <w:r>
        <w:rPr>
          <w:rFonts w:hint="eastAsia" w:ascii="宋体" w:hAnsi="宋体" w:cs="宋体"/>
          <w:sz w:val="24"/>
          <w:szCs w:val="24"/>
          <w:highlight w:val="none"/>
          <w:u w:val="single"/>
        </w:rPr>
        <w:tab/>
      </w:r>
      <w:r>
        <w:rPr>
          <w:rFonts w:hint="eastAsia" w:ascii="宋体" w:hAnsi="宋体" w:cs="宋体"/>
          <w:sz w:val="24"/>
          <w:szCs w:val="24"/>
          <w:highlight w:val="none"/>
          <w:u w:val="single"/>
        </w:rPr>
        <w:t>/</w:t>
      </w:r>
      <w:r>
        <w:rPr>
          <w:rFonts w:hint="eastAsia" w:ascii="宋体" w:hAnsi="宋体" w:cs="宋体"/>
          <w:sz w:val="24"/>
          <w:szCs w:val="24"/>
          <w:highlight w:val="none"/>
          <w:u w:val="single"/>
        </w:rPr>
        <w:tab/>
      </w:r>
      <w:r>
        <w:rPr>
          <w:rFonts w:hint="eastAsia" w:ascii="宋体" w:hAnsi="宋体" w:cs="宋体"/>
          <w:sz w:val="24"/>
          <w:szCs w:val="24"/>
          <w:highlight w:val="none"/>
        </w:rPr>
        <w:t>。奖励金额为：</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rPr>
        <w:tab/>
      </w:r>
      <w:r>
        <w:rPr>
          <w:rFonts w:hint="eastAsia" w:ascii="宋体" w:hAnsi="宋体" w:cs="宋体"/>
          <w:sz w:val="24"/>
          <w:szCs w:val="24"/>
          <w:highlight w:val="none"/>
          <w:u w:val="single"/>
        </w:rPr>
        <w:t>/</w:t>
      </w:r>
      <w:r>
        <w:rPr>
          <w:rFonts w:hint="eastAsia" w:ascii="宋体" w:hAnsi="宋体" w:cs="宋体"/>
          <w:sz w:val="24"/>
          <w:szCs w:val="24"/>
          <w:highlight w:val="none"/>
          <w:u w:val="single"/>
        </w:rPr>
        <w:tab/>
      </w:r>
      <w:r>
        <w:rPr>
          <w:rFonts w:hint="eastAsia" w:ascii="宋体" w:hAnsi="宋体" w:cs="宋体"/>
          <w:sz w:val="24"/>
          <w:szCs w:val="24"/>
          <w:highlight w:val="none"/>
        </w:rPr>
        <w:t>。</w:t>
      </w:r>
    </w:p>
    <w:p w14:paraId="77775634">
      <w:pPr>
        <w:pStyle w:val="16"/>
        <w:spacing w:line="360" w:lineRule="auto"/>
        <w:ind w:firstLine="422"/>
        <w:outlineLvl w:val="1"/>
        <w:rPr>
          <w:rFonts w:ascii="宋体" w:hAnsi="宋体" w:cs="宋体"/>
          <w:b/>
          <w:bCs/>
          <w:sz w:val="24"/>
          <w:szCs w:val="24"/>
          <w:highlight w:val="none"/>
        </w:rPr>
      </w:pPr>
      <w:bookmarkStart w:id="111" w:name="_Toc19927"/>
      <w:bookmarkStart w:id="112" w:name="_Toc8150"/>
      <w:bookmarkStart w:id="113" w:name="_Toc21726"/>
      <w:r>
        <w:rPr>
          <w:rFonts w:hint="eastAsia" w:ascii="宋体" w:hAnsi="宋体" w:cs="宋体"/>
          <w:b/>
          <w:bCs/>
          <w:sz w:val="24"/>
          <w:szCs w:val="24"/>
          <w:highlight w:val="none"/>
        </w:rPr>
        <w:t>九、安全生产违约责任</w:t>
      </w:r>
      <w:bookmarkEnd w:id="111"/>
      <w:bookmarkEnd w:id="112"/>
      <w:bookmarkEnd w:id="113"/>
    </w:p>
    <w:p w14:paraId="055F83D3">
      <w:pPr>
        <w:pStyle w:val="16"/>
        <w:spacing w:line="360" w:lineRule="auto"/>
        <w:rPr>
          <w:rFonts w:ascii="宋体" w:hAnsi="宋体" w:cs="宋体"/>
          <w:sz w:val="24"/>
          <w:szCs w:val="24"/>
          <w:highlight w:val="none"/>
        </w:rPr>
      </w:pPr>
      <w:r>
        <w:rPr>
          <w:rFonts w:hint="eastAsia" w:ascii="宋体" w:hAnsi="宋体" w:cs="宋体"/>
          <w:sz w:val="24"/>
          <w:szCs w:val="24"/>
          <w:highlight w:val="none"/>
        </w:rPr>
        <w:t>1、若承包人未能实现本合同约定的安全生产管理目标，发生安全生产事故的， 承包人同意，发包人从安全生产保证金中扣除一定金额作为违约金。具体扣除办法以下述约定为准。承包人对此不持异议。</w:t>
      </w:r>
    </w:p>
    <w:p w14:paraId="34CD5A96">
      <w:pPr>
        <w:pStyle w:val="16"/>
        <w:spacing w:line="360" w:lineRule="auto"/>
        <w:rPr>
          <w:rFonts w:ascii="宋体" w:hAnsi="宋体" w:cs="宋体"/>
          <w:sz w:val="24"/>
          <w:szCs w:val="24"/>
          <w:highlight w:val="none"/>
        </w:rPr>
      </w:pPr>
      <w:r>
        <w:rPr>
          <w:rFonts w:hint="eastAsia" w:ascii="宋体" w:hAnsi="宋体" w:cs="宋体"/>
          <w:sz w:val="24"/>
          <w:szCs w:val="24"/>
          <w:highlight w:val="none"/>
        </w:rPr>
        <w:t>2、发包人在进行安全生产检查与巡查过程中，若发现承包人违反本合同约定， 发包人有权从安全生产保证金中扣除一定金额作为违约金。违约金金额由发包人根据承包人违约的事实、性质、情节及危害程度等因素综合计算确定，但每次违约金金额最高不超过承包人缴纳的安全生产保证金总金额。</w:t>
      </w:r>
    </w:p>
    <w:p w14:paraId="488B2354">
      <w:pPr>
        <w:pStyle w:val="16"/>
        <w:spacing w:line="360" w:lineRule="auto"/>
        <w:rPr>
          <w:rFonts w:ascii="宋体" w:hAnsi="宋体" w:cs="宋体"/>
          <w:sz w:val="24"/>
          <w:szCs w:val="24"/>
          <w:highlight w:val="none"/>
        </w:rPr>
      </w:pPr>
      <w:r>
        <w:rPr>
          <w:rFonts w:hint="eastAsia" w:ascii="宋体" w:hAnsi="宋体" w:cs="宋体"/>
          <w:sz w:val="24"/>
          <w:szCs w:val="24"/>
          <w:highlight w:val="none"/>
        </w:rPr>
        <w:t>3、发包人从安全生产保证金中扣除一定金额作为违约金时，应当以书面形式通知承包人。其中：</w:t>
      </w:r>
    </w:p>
    <w:p w14:paraId="6CF4CDFF">
      <w:pPr>
        <w:pStyle w:val="16"/>
        <w:spacing w:line="360" w:lineRule="auto"/>
        <w:rPr>
          <w:rFonts w:ascii="宋体" w:hAnsi="宋体" w:cs="宋体"/>
          <w:sz w:val="24"/>
          <w:szCs w:val="24"/>
          <w:highlight w:val="none"/>
        </w:rPr>
      </w:pPr>
      <w:r>
        <w:rPr>
          <w:rFonts w:hint="eastAsia" w:ascii="宋体" w:hAnsi="宋体" w:cs="宋体"/>
          <w:sz w:val="24"/>
          <w:szCs w:val="24"/>
          <w:highlight w:val="none"/>
        </w:rPr>
        <w:t>（1）承包人有下列行为之一的，每次违约金金额为按本合同约定的缴纳标准缴纳的全部安全生产保证金。</w:t>
      </w:r>
    </w:p>
    <w:p w14:paraId="1753BD95">
      <w:pPr>
        <w:pStyle w:val="16"/>
        <w:spacing w:line="360" w:lineRule="auto"/>
        <w:rPr>
          <w:rFonts w:ascii="宋体" w:hAnsi="宋体" w:cs="宋体"/>
          <w:sz w:val="24"/>
          <w:szCs w:val="24"/>
          <w:highlight w:val="none"/>
        </w:rPr>
      </w:pPr>
      <w:r>
        <w:rPr>
          <w:rFonts w:hint="eastAsia" w:ascii="宋体" w:hAnsi="宋体" w:cs="宋体"/>
          <w:sz w:val="24"/>
          <w:szCs w:val="24"/>
          <w:highlight w:val="none"/>
        </w:rPr>
        <w:t>① 发生人员死亡的生产安全事故；</w:t>
      </w:r>
    </w:p>
    <w:p w14:paraId="2287D124">
      <w:pPr>
        <w:pStyle w:val="16"/>
        <w:spacing w:line="360" w:lineRule="auto"/>
        <w:rPr>
          <w:rFonts w:ascii="宋体" w:hAnsi="宋体" w:cs="宋体"/>
          <w:sz w:val="24"/>
          <w:szCs w:val="24"/>
          <w:highlight w:val="none"/>
        </w:rPr>
      </w:pPr>
      <w:r>
        <w:rPr>
          <w:rFonts w:hint="eastAsia" w:ascii="宋体" w:hAnsi="宋体" w:cs="宋体"/>
          <w:sz w:val="24"/>
          <w:szCs w:val="24"/>
          <w:highlight w:val="none"/>
        </w:rPr>
        <w:t>② 发生人员重伤的生产安全事故。</w:t>
      </w:r>
    </w:p>
    <w:p w14:paraId="60C730C8">
      <w:pPr>
        <w:pStyle w:val="16"/>
        <w:spacing w:line="360" w:lineRule="auto"/>
        <w:rPr>
          <w:rFonts w:ascii="宋体" w:hAnsi="宋体" w:cs="宋体"/>
          <w:sz w:val="24"/>
          <w:szCs w:val="24"/>
          <w:highlight w:val="none"/>
        </w:rPr>
      </w:pPr>
      <w:r>
        <w:rPr>
          <w:rFonts w:hint="eastAsia" w:ascii="宋体" w:hAnsi="宋体" w:cs="宋体"/>
          <w:sz w:val="24"/>
          <w:szCs w:val="24"/>
          <w:highlight w:val="none"/>
        </w:rPr>
        <w:t>（2）承包人有下列行为之一的，每次违约金金额为按本合同约定的缴纳标准缴纳的安全生产保证金的</w:t>
      </w:r>
      <w:r>
        <w:rPr>
          <w:rFonts w:hint="eastAsia" w:ascii="宋体" w:hAnsi="宋体" w:cs="宋体"/>
          <w:sz w:val="24"/>
          <w:szCs w:val="24"/>
          <w:highlight w:val="none"/>
          <w:u w:val="single"/>
        </w:rPr>
        <w:t xml:space="preserve"> 15%。</w:t>
      </w:r>
    </w:p>
    <w:p w14:paraId="082901E9">
      <w:pPr>
        <w:pStyle w:val="16"/>
        <w:spacing w:line="360" w:lineRule="auto"/>
        <w:rPr>
          <w:rFonts w:ascii="宋体" w:hAnsi="宋体" w:cs="宋体"/>
          <w:sz w:val="24"/>
          <w:szCs w:val="24"/>
          <w:highlight w:val="none"/>
        </w:rPr>
      </w:pPr>
      <w:r>
        <w:rPr>
          <w:rFonts w:hint="eastAsia" w:ascii="宋体" w:hAnsi="宋体" w:cs="宋体"/>
          <w:sz w:val="24"/>
          <w:szCs w:val="24"/>
          <w:highlight w:val="none"/>
        </w:rPr>
        <w:t>① 发生人员轻伤的生产安全事故累计超过三次或一个月内连续发生两次；</w:t>
      </w:r>
    </w:p>
    <w:p w14:paraId="19A48B49">
      <w:pPr>
        <w:pStyle w:val="16"/>
        <w:spacing w:line="360" w:lineRule="auto"/>
        <w:rPr>
          <w:rFonts w:ascii="宋体" w:hAnsi="宋体" w:cs="宋体"/>
          <w:sz w:val="24"/>
          <w:szCs w:val="24"/>
          <w:highlight w:val="none"/>
        </w:rPr>
      </w:pPr>
      <w:r>
        <w:rPr>
          <w:rFonts w:hint="eastAsia" w:ascii="宋体" w:hAnsi="宋体" w:cs="宋体"/>
          <w:sz w:val="24"/>
          <w:szCs w:val="24"/>
          <w:highlight w:val="none"/>
        </w:rPr>
        <w:t>② 发生</w:t>
      </w:r>
      <w:r>
        <w:rPr>
          <w:rFonts w:hint="eastAsia" w:ascii="宋体" w:hAnsi="宋体" w:cs="宋体"/>
          <w:sz w:val="24"/>
          <w:szCs w:val="24"/>
          <w:highlight w:val="none"/>
          <w:u w:val="single"/>
        </w:rPr>
        <w:t xml:space="preserve"> 2 </w:t>
      </w:r>
      <w:r>
        <w:rPr>
          <w:rFonts w:hint="eastAsia" w:ascii="宋体" w:hAnsi="宋体" w:cs="宋体"/>
          <w:sz w:val="24"/>
          <w:szCs w:val="24"/>
          <w:highlight w:val="none"/>
        </w:rPr>
        <w:t>万元以上的机械、设备、交通和火灾生产安全事故。4、发包人按本合同约定从安全生产保证金中扣除一定金额作为违约金，并不能免除承包人应承担的有关国家机关行政处罚与民事赔偿责任，以及应负的其他法律责任。</w:t>
      </w:r>
    </w:p>
    <w:p w14:paraId="5A2DB08B">
      <w:pPr>
        <w:pStyle w:val="16"/>
        <w:spacing w:line="360" w:lineRule="auto"/>
        <w:ind w:firstLine="422"/>
        <w:outlineLvl w:val="1"/>
        <w:rPr>
          <w:rFonts w:ascii="宋体" w:hAnsi="宋体" w:cs="宋体"/>
          <w:sz w:val="24"/>
          <w:szCs w:val="24"/>
          <w:highlight w:val="none"/>
        </w:rPr>
      </w:pPr>
      <w:bookmarkStart w:id="114" w:name="_Toc29474"/>
      <w:bookmarkStart w:id="115" w:name="_Toc26554"/>
      <w:bookmarkStart w:id="116" w:name="_Toc22324"/>
      <w:r>
        <w:rPr>
          <w:rFonts w:hint="eastAsia" w:ascii="宋体" w:hAnsi="宋体" w:cs="宋体"/>
          <w:b/>
          <w:bCs/>
          <w:sz w:val="24"/>
          <w:szCs w:val="24"/>
          <w:highlight w:val="none"/>
        </w:rPr>
        <w:t>十、安全生产保证金返还约定</w:t>
      </w:r>
      <w:bookmarkEnd w:id="114"/>
      <w:bookmarkEnd w:id="115"/>
      <w:bookmarkEnd w:id="116"/>
    </w:p>
    <w:p w14:paraId="6328737D">
      <w:pPr>
        <w:pStyle w:val="16"/>
        <w:spacing w:line="360" w:lineRule="auto"/>
        <w:rPr>
          <w:rFonts w:ascii="宋体" w:hAnsi="宋体" w:cs="宋体"/>
          <w:sz w:val="24"/>
          <w:szCs w:val="24"/>
          <w:highlight w:val="none"/>
        </w:rPr>
      </w:pPr>
      <w:r>
        <w:rPr>
          <w:rFonts w:hint="eastAsia" w:ascii="宋体" w:hAnsi="宋体" w:cs="宋体"/>
          <w:sz w:val="24"/>
          <w:szCs w:val="24"/>
          <w:highlight w:val="none"/>
        </w:rPr>
        <w:t>建设工程竣工验收合格移交发包人后，发包人在结清奖励，扣除违约金金额后， 若承包人缴纳的安全生产保证金有剩余，则发包人应将剩余安全生产保证金（不计利息）返还承包人。</w:t>
      </w:r>
    </w:p>
    <w:p w14:paraId="13EF523C">
      <w:pPr>
        <w:pStyle w:val="16"/>
        <w:spacing w:line="360" w:lineRule="auto"/>
        <w:ind w:firstLine="422"/>
        <w:outlineLvl w:val="1"/>
        <w:rPr>
          <w:rFonts w:ascii="宋体" w:hAnsi="宋体" w:cs="宋体"/>
          <w:b/>
          <w:bCs/>
          <w:sz w:val="24"/>
          <w:szCs w:val="24"/>
          <w:highlight w:val="none"/>
        </w:rPr>
      </w:pPr>
      <w:bookmarkStart w:id="117" w:name="_Toc24767"/>
      <w:bookmarkStart w:id="118" w:name="_Toc17228"/>
      <w:bookmarkStart w:id="119" w:name="_Toc21176"/>
      <w:r>
        <w:rPr>
          <w:rFonts w:hint="eastAsia" w:ascii="宋体" w:hAnsi="宋体" w:cs="宋体"/>
          <w:b/>
          <w:bCs/>
          <w:sz w:val="24"/>
          <w:szCs w:val="24"/>
          <w:highlight w:val="none"/>
        </w:rPr>
        <w:t>十一、附则</w:t>
      </w:r>
      <w:bookmarkEnd w:id="117"/>
      <w:bookmarkEnd w:id="118"/>
      <w:bookmarkEnd w:id="119"/>
    </w:p>
    <w:p w14:paraId="4450CCC4">
      <w:pPr>
        <w:pStyle w:val="16"/>
        <w:spacing w:line="360" w:lineRule="auto"/>
        <w:rPr>
          <w:rFonts w:ascii="宋体" w:hAnsi="宋体" w:cs="宋体"/>
          <w:sz w:val="24"/>
          <w:szCs w:val="24"/>
          <w:highlight w:val="none"/>
        </w:rPr>
      </w:pPr>
      <w:r>
        <w:rPr>
          <w:rFonts w:hint="eastAsia" w:ascii="宋体" w:hAnsi="宋体" w:cs="宋体"/>
          <w:sz w:val="24"/>
          <w:szCs w:val="24"/>
          <w:highlight w:val="none"/>
        </w:rPr>
        <w:t>1、本合同约定的发包人权利义务，除收款权利、付款义务、发生违约行为时的责任费用支付义务及诉权由发包人行使。</w:t>
      </w:r>
    </w:p>
    <w:p w14:paraId="5E76BB87">
      <w:pPr>
        <w:pStyle w:val="16"/>
        <w:spacing w:line="360" w:lineRule="auto"/>
        <w:rPr>
          <w:rFonts w:ascii="宋体" w:hAnsi="宋体" w:cs="宋体"/>
          <w:sz w:val="24"/>
          <w:szCs w:val="24"/>
          <w:highlight w:val="none"/>
        </w:rPr>
      </w:pPr>
      <w:r>
        <w:rPr>
          <w:rFonts w:hint="eastAsia" w:ascii="宋体" w:hAnsi="宋体" w:cs="宋体"/>
          <w:sz w:val="24"/>
          <w:szCs w:val="24"/>
          <w:highlight w:val="none"/>
        </w:rPr>
        <w:t>2、本合同所称安全生产保证金是指安全生产风险抵押金。</w:t>
      </w:r>
    </w:p>
    <w:p w14:paraId="27E79459">
      <w:pPr>
        <w:pStyle w:val="16"/>
        <w:spacing w:line="360" w:lineRule="auto"/>
        <w:rPr>
          <w:rFonts w:ascii="宋体" w:hAnsi="宋体" w:cs="宋体"/>
          <w:sz w:val="24"/>
          <w:szCs w:val="24"/>
          <w:highlight w:val="none"/>
        </w:rPr>
      </w:pPr>
      <w:r>
        <w:rPr>
          <w:rFonts w:hint="eastAsia" w:ascii="宋体" w:hAnsi="宋体" w:cs="宋体"/>
          <w:sz w:val="24"/>
          <w:szCs w:val="24"/>
          <w:highlight w:val="none"/>
        </w:rPr>
        <w:t>3、本合同与双方签订的工程施工合同具有同等法律效力。工程施工合同中没有约定或约定与本合同冲突的，均以本合同约定为准。</w:t>
      </w:r>
    </w:p>
    <w:p w14:paraId="1F27E717">
      <w:pPr>
        <w:pStyle w:val="16"/>
        <w:spacing w:line="360" w:lineRule="auto"/>
        <w:rPr>
          <w:rFonts w:ascii="宋体" w:hAnsi="宋体" w:cs="宋体"/>
          <w:sz w:val="24"/>
          <w:szCs w:val="24"/>
          <w:highlight w:val="none"/>
        </w:rPr>
      </w:pPr>
      <w:r>
        <w:rPr>
          <w:rFonts w:hint="eastAsia" w:ascii="宋体" w:hAnsi="宋体" w:cs="宋体"/>
          <w:sz w:val="24"/>
          <w:szCs w:val="24"/>
          <w:highlight w:val="none"/>
        </w:rPr>
        <w:t>4、本合同自双方签字盖章或盖章后即生效。</w:t>
      </w:r>
    </w:p>
    <w:p w14:paraId="1CF6E19F">
      <w:pPr>
        <w:pStyle w:val="16"/>
        <w:spacing w:line="360" w:lineRule="auto"/>
        <w:rPr>
          <w:rFonts w:ascii="宋体" w:hAnsi="宋体" w:cs="宋体"/>
          <w:sz w:val="24"/>
          <w:szCs w:val="24"/>
          <w:highlight w:val="none"/>
        </w:rPr>
      </w:pPr>
      <w:r>
        <w:rPr>
          <w:rFonts w:hint="eastAsia" w:ascii="宋体" w:hAnsi="宋体" w:cs="宋体"/>
          <w:sz w:val="24"/>
          <w:szCs w:val="24"/>
          <w:highlight w:val="none"/>
        </w:rPr>
        <w:t>本工程施工安全生产合同书为施工合同的附件，由施工合同发包人、承包人双方共同签订。</w:t>
      </w:r>
    </w:p>
    <w:p w14:paraId="5115370F">
      <w:pPr>
        <w:pStyle w:val="16"/>
        <w:spacing w:line="360" w:lineRule="auto"/>
        <w:rPr>
          <w:rFonts w:ascii="宋体" w:hAnsi="宋体" w:cs="宋体"/>
          <w:sz w:val="24"/>
          <w:szCs w:val="24"/>
          <w:highlight w:val="none"/>
        </w:rPr>
      </w:pPr>
      <w:r>
        <w:rPr>
          <w:rFonts w:hint="eastAsia" w:ascii="宋体" w:hAnsi="宋体" w:cs="宋体"/>
          <w:sz w:val="24"/>
          <w:szCs w:val="24"/>
          <w:highlight w:val="none"/>
        </w:rPr>
        <w:t>发包人（盖章）：</w:t>
      </w:r>
      <w:r>
        <w:rPr>
          <w:rFonts w:hint="eastAsia" w:ascii="宋体" w:hAnsi="宋体" w:cs="宋体"/>
          <w:sz w:val="24"/>
          <w:szCs w:val="24"/>
          <w:highlight w:val="none"/>
        </w:rPr>
        <w:tab/>
      </w:r>
      <w:r>
        <w:rPr>
          <w:rFonts w:hint="eastAsia" w:ascii="宋体" w:hAnsi="宋体" w:cs="宋体"/>
          <w:sz w:val="24"/>
          <w:szCs w:val="24"/>
          <w:highlight w:val="none"/>
        </w:rPr>
        <w:t xml:space="preserve">                          承包人（盖章）：</w:t>
      </w:r>
    </w:p>
    <w:p w14:paraId="04CF63EB">
      <w:pPr>
        <w:pStyle w:val="16"/>
        <w:spacing w:line="360" w:lineRule="auto"/>
        <w:rPr>
          <w:rFonts w:ascii="宋体" w:hAnsi="宋体" w:cs="宋体"/>
          <w:sz w:val="24"/>
          <w:szCs w:val="24"/>
          <w:highlight w:val="none"/>
        </w:rPr>
      </w:pPr>
      <w:r>
        <w:rPr>
          <w:rFonts w:hint="eastAsia" w:ascii="宋体" w:hAnsi="宋体" w:cs="宋体"/>
          <w:sz w:val="24"/>
          <w:szCs w:val="24"/>
          <w:highlight w:val="none"/>
        </w:rPr>
        <w:t xml:space="preserve">法定代表人或委托代理人               </w:t>
      </w:r>
      <w:r>
        <w:rPr>
          <w:rFonts w:hint="eastAsia" w:ascii="宋体" w:hAnsi="宋体" w:cs="宋体"/>
          <w:sz w:val="24"/>
          <w:szCs w:val="24"/>
          <w:highlight w:val="none"/>
        </w:rPr>
        <w:tab/>
      </w:r>
      <w:r>
        <w:rPr>
          <w:rFonts w:hint="eastAsia" w:ascii="宋体" w:hAnsi="宋体" w:cs="宋体"/>
          <w:sz w:val="24"/>
          <w:szCs w:val="24"/>
          <w:highlight w:val="none"/>
        </w:rPr>
        <w:t>法定代表人或委托代理人</w:t>
      </w:r>
    </w:p>
    <w:p w14:paraId="767F7E3B">
      <w:pPr>
        <w:pStyle w:val="16"/>
        <w:spacing w:line="360" w:lineRule="auto"/>
        <w:rPr>
          <w:rFonts w:hint="eastAsia" w:ascii="宋体" w:hAnsi="宋体" w:cs="宋体"/>
          <w:sz w:val="24"/>
          <w:szCs w:val="24"/>
          <w:highlight w:val="none"/>
        </w:rPr>
      </w:pPr>
      <w:r>
        <w:rPr>
          <w:rFonts w:hint="eastAsia" w:ascii="宋体" w:hAnsi="宋体" w:cs="宋体"/>
          <w:sz w:val="24"/>
          <w:szCs w:val="24"/>
          <w:highlight w:val="none"/>
        </w:rPr>
        <w:t xml:space="preserve">（签字）： </w:t>
      </w:r>
      <w:r>
        <w:rPr>
          <w:rFonts w:hint="eastAsia" w:ascii="宋体" w:hAnsi="宋体" w:cs="宋体"/>
          <w:sz w:val="24"/>
          <w:szCs w:val="24"/>
          <w:highlight w:val="none"/>
        </w:rPr>
        <w:tab/>
      </w:r>
      <w:r>
        <w:rPr>
          <w:rFonts w:hint="eastAsia" w:ascii="宋体" w:hAnsi="宋体" w:cs="宋体"/>
          <w:sz w:val="24"/>
          <w:szCs w:val="24"/>
          <w:highlight w:val="none"/>
        </w:rPr>
        <w:tab/>
      </w:r>
      <w:r>
        <w:rPr>
          <w:rFonts w:hint="eastAsia" w:ascii="宋体" w:hAnsi="宋体" w:cs="宋体"/>
          <w:sz w:val="24"/>
          <w:szCs w:val="24"/>
          <w:highlight w:val="none"/>
        </w:rPr>
        <w:t xml:space="preserve">                          （签字）： </w:t>
      </w:r>
      <w:r>
        <w:rPr>
          <w:rFonts w:hint="eastAsia" w:ascii="宋体" w:hAnsi="宋体" w:cs="宋体"/>
          <w:sz w:val="24"/>
          <w:szCs w:val="24"/>
          <w:highlight w:val="none"/>
        </w:rPr>
        <w:tab/>
      </w:r>
    </w:p>
    <w:p w14:paraId="264C31AF">
      <w:pPr>
        <w:pStyle w:val="16"/>
        <w:spacing w:line="360" w:lineRule="auto"/>
      </w:pPr>
      <w:r>
        <w:rPr>
          <w:rFonts w:hint="eastAsia" w:ascii="宋体" w:hAnsi="宋体" w:cs="宋体"/>
          <w:sz w:val="24"/>
          <w:szCs w:val="24"/>
          <w:highlight w:val="none"/>
        </w:rPr>
        <w:t>年</w:t>
      </w:r>
      <w:r>
        <w:rPr>
          <w:rFonts w:hint="eastAsia" w:ascii="宋体" w:hAnsi="宋体" w:cs="宋体"/>
          <w:sz w:val="24"/>
          <w:szCs w:val="24"/>
          <w:highlight w:val="none"/>
        </w:rPr>
        <w:tab/>
      </w:r>
      <w:r>
        <w:rPr>
          <w:rFonts w:hint="eastAsia" w:ascii="宋体" w:hAnsi="宋体" w:cs="宋体"/>
          <w:sz w:val="24"/>
          <w:szCs w:val="24"/>
          <w:highlight w:val="none"/>
        </w:rPr>
        <w:t>月</w:t>
      </w:r>
      <w:r>
        <w:rPr>
          <w:rFonts w:hint="eastAsia" w:ascii="宋体" w:hAnsi="宋体" w:cs="宋体"/>
          <w:sz w:val="24"/>
          <w:szCs w:val="24"/>
          <w:highlight w:val="none"/>
        </w:rPr>
        <w:tab/>
      </w:r>
      <w:r>
        <w:rPr>
          <w:rFonts w:hint="eastAsia" w:ascii="宋体" w:hAnsi="宋体" w:cs="宋体"/>
          <w:sz w:val="24"/>
          <w:szCs w:val="24"/>
          <w:highlight w:val="none"/>
        </w:rPr>
        <w:t>日</w:t>
      </w:r>
      <w:r>
        <w:rPr>
          <w:rFonts w:hint="eastAsia" w:ascii="宋体" w:hAnsi="宋体" w:cs="宋体"/>
          <w:sz w:val="24"/>
          <w:szCs w:val="24"/>
          <w:highlight w:val="none"/>
        </w:rPr>
        <w:tab/>
      </w:r>
      <w:r>
        <w:rPr>
          <w:rFonts w:hint="eastAsia" w:ascii="宋体" w:hAnsi="宋体" w:cs="宋体"/>
          <w:sz w:val="24"/>
          <w:szCs w:val="24"/>
          <w:highlight w:val="none"/>
        </w:rPr>
        <w:t xml:space="preserve">                                      年</w:t>
      </w:r>
      <w:r>
        <w:rPr>
          <w:rFonts w:hint="eastAsia" w:ascii="宋体" w:hAnsi="宋体" w:cs="宋体"/>
          <w:sz w:val="24"/>
          <w:szCs w:val="24"/>
          <w:highlight w:val="none"/>
        </w:rPr>
        <w:tab/>
      </w:r>
      <w:r>
        <w:rPr>
          <w:rFonts w:hint="eastAsia" w:ascii="宋体" w:hAnsi="宋体" w:cs="宋体"/>
          <w:sz w:val="24"/>
          <w:szCs w:val="24"/>
          <w:highlight w:val="none"/>
        </w:rPr>
        <w:t>月</w:t>
      </w:r>
      <w:r>
        <w:rPr>
          <w:rFonts w:hint="eastAsia" w:ascii="宋体" w:hAnsi="宋体" w:cs="宋体"/>
          <w:sz w:val="24"/>
          <w:szCs w:val="24"/>
          <w:highlight w:val="none"/>
        </w:rPr>
        <w:tab/>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日</w:t>
      </w:r>
    </w:p>
    <w:sectPr>
      <w:headerReference r:id="rId3" w:type="default"/>
      <w:footerReference r:id="rId4" w:type="default"/>
      <w:pgSz w:w="11906" w:h="16838"/>
      <w:pgMar w:top="1270" w:right="1417" w:bottom="1270" w:left="158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C9FB63">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9C0591">
    <w:pPr>
      <w:pStyle w:val="7"/>
      <w:pBdr>
        <w:bottom w:val="none" w:color="auto" w:sz="0" w:space="1"/>
      </w:pBdr>
      <w:rPr>
        <w:rFonts w:hint="eastAsia"/>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5NTAyNGUxNjFlNDMxYjUzN2Q0OTNjZjVkNTBkOTUifQ=="/>
  </w:docVars>
  <w:rsids>
    <w:rsidRoot w:val="768A2E4C"/>
    <w:rsid w:val="0EDA455A"/>
    <w:rsid w:val="18DF4ED1"/>
    <w:rsid w:val="20B86902"/>
    <w:rsid w:val="2E9E4256"/>
    <w:rsid w:val="315E5599"/>
    <w:rsid w:val="31A42362"/>
    <w:rsid w:val="46410195"/>
    <w:rsid w:val="4EE8783B"/>
    <w:rsid w:val="593E5453"/>
    <w:rsid w:val="59DC39AB"/>
    <w:rsid w:val="66440057"/>
    <w:rsid w:val="67883779"/>
    <w:rsid w:val="768A2E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qFormat/>
    <w:uiPriority w:val="0"/>
    <w:pPr>
      <w:spacing w:after="120" w:afterLines="0" w:afterAutospacing="0"/>
    </w:pPr>
  </w:style>
  <w:style w:type="paragraph" w:styleId="4">
    <w:name w:val="Body Text Indent"/>
    <w:basedOn w:val="1"/>
    <w:autoRedefine/>
    <w:qFormat/>
    <w:uiPriority w:val="0"/>
    <w:pPr>
      <w:spacing w:after="120" w:afterLines="0"/>
      <w:ind w:left="420" w:leftChars="200"/>
    </w:pPr>
  </w:style>
  <w:style w:type="paragraph" w:styleId="5">
    <w:name w:val="Plain Text"/>
    <w:basedOn w:val="1"/>
    <w:qFormat/>
    <w:uiPriority w:val="0"/>
    <w:rPr>
      <w:rFonts w:ascii="Courier New" w:hAnsi="Courier New" w:eastAsia="宋体"/>
      <w:kern w:val="2"/>
      <w:sz w:val="21"/>
      <w:lang w:val="en-US" w:eastAsia="zh-CN"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widowControl/>
      <w:pBdr>
        <w:bottom w:val="single" w:color="auto" w:sz="6" w:space="1"/>
      </w:pBdr>
      <w:tabs>
        <w:tab w:val="center" w:pos="4153"/>
        <w:tab w:val="right" w:pos="8306"/>
      </w:tabs>
      <w:snapToGrid w:val="0"/>
      <w:jc w:val="center"/>
    </w:pPr>
    <w:rPr>
      <w:kern w:val="0"/>
      <w:sz w:val="18"/>
      <w:szCs w:val="18"/>
    </w:rPr>
  </w:style>
  <w:style w:type="paragraph" w:styleId="8">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11">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2">
    <w:name w:val="NormalCharacter"/>
    <w:qFormat/>
    <w:uiPriority w:val="0"/>
    <w:rPr>
      <w:rFonts w:ascii="宋体" w:hAnsi="宋体" w:cs="宋体"/>
      <w:kern w:val="2"/>
      <w:sz w:val="28"/>
      <w:szCs w:val="28"/>
      <w:lang w:val="en-US" w:eastAsia="zh-CN" w:bidi="ar-SA"/>
    </w:rPr>
  </w:style>
  <w:style w:type="paragraph" w:customStyle="1" w:styleId="13">
    <w:name w:val="普通(网站)1"/>
    <w:basedOn w:val="1"/>
    <w:autoRedefine/>
    <w:qFormat/>
    <w:uiPriority w:val="0"/>
    <w:pPr>
      <w:widowControl/>
      <w:spacing w:before="100" w:beforeLines="0" w:beforeAutospacing="1" w:after="100" w:afterLines="0" w:afterAutospacing="1" w:line="360" w:lineRule="auto"/>
      <w:ind w:firstLine="200" w:firstLineChars="200"/>
      <w:jc w:val="left"/>
    </w:pPr>
    <w:rPr>
      <w:rFonts w:ascii="宋体" w:hAnsi="Times New Roman" w:cs="Times New Roman"/>
      <w:kern w:val="0"/>
      <w:sz w:val="24"/>
    </w:rPr>
  </w:style>
  <w:style w:type="paragraph" w:customStyle="1" w:styleId="14">
    <w:name w:val="Blockquote"/>
    <w:basedOn w:val="1"/>
    <w:autoRedefine/>
    <w:qFormat/>
    <w:uiPriority w:val="0"/>
    <w:pPr>
      <w:autoSpaceDE w:val="0"/>
      <w:autoSpaceDN w:val="0"/>
      <w:adjustRightInd w:val="0"/>
      <w:spacing w:before="100" w:beforeLines="0" w:after="100" w:afterLines="0"/>
      <w:ind w:left="360" w:right="360"/>
      <w:jc w:val="left"/>
    </w:pPr>
    <w:rPr>
      <w:rFonts w:ascii="Times New Roman" w:hAnsi="Times New Roman" w:cs="Times New Roman"/>
      <w:kern w:val="0"/>
      <w:sz w:val="24"/>
      <w:szCs w:val="20"/>
    </w:rPr>
  </w:style>
  <w:style w:type="paragraph" w:customStyle="1" w:styleId="15">
    <w:name w:val="正文缩进1"/>
    <w:basedOn w:val="1"/>
    <w:autoRedefine/>
    <w:qFormat/>
    <w:uiPriority w:val="0"/>
    <w:pPr>
      <w:spacing w:line="240" w:lineRule="auto"/>
      <w:ind w:firstLine="420" w:firstLineChars="200"/>
    </w:pPr>
    <w:rPr>
      <w:rFonts w:ascii="Calibri" w:hAnsi="Calibri"/>
      <w:szCs w:val="22"/>
    </w:rPr>
  </w:style>
  <w:style w:type="paragraph" w:customStyle="1" w:styleId="16">
    <w:name w:val="列出段落1"/>
    <w:basedOn w:val="1"/>
    <w:autoRedefine/>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12266</Words>
  <Characters>12649</Characters>
  <Lines>0</Lines>
  <Paragraphs>0</Paragraphs>
  <TotalTime>1</TotalTime>
  <ScaleCrop>false</ScaleCrop>
  <LinksUpToDate>false</LinksUpToDate>
  <CharactersWithSpaces>17014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2024-05-23T07:37:00Z</dcterms:created>
  <dc:creator>月影沙丘</dc:creator>
  <cp:lastModifiedBy>pc</cp:lastModifiedBy>
  <dcterms:modified xsi:type="dcterms:W3CDTF">2025-10-24T08:37:23Z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83F5F21B57BF488EAEA2299DB6D28077_13</vt:lpwstr>
  </property>
  <property fmtid="{D5CDD505-2E9C-101B-9397-08002B2CF9AE}" pid="4" name="KSOTemplateDocerSaveRecord">
    <vt:lpwstr>eyJoZGlkIjoiMDAwZDdhMDQ5NTUxYzA3ZTY4MzU2MmUwN2FmMzQyZjYiLCJ1c2VySWQiOiIyOTIyNTgxOTMifQ==</vt:lpwstr>
  </property>
</Properties>
</file>