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版本号：中金咨招[2025]-0193号20251029001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蓝田县人民医院2025年医疗责任险采购项目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中金咨招[2025]-0193号</w:t>
      </w:r>
      <w:r>
        <w:br/>
      </w:r>
      <w:r>
        <w:br/>
      </w:r>
      <w:r>
        <w:br/>
      </w:r>
    </w:p>
    <w:p>
      <w:pPr>
        <w:pStyle w:val="null3"/>
        <w:jc w:val="center"/>
        <w:outlineLvl w:val="2"/>
      </w:pPr>
      <w:r>
        <w:rPr>
          <w:rFonts w:ascii="仿宋_GB2312" w:hAnsi="仿宋_GB2312" w:cs="仿宋_GB2312" w:eastAsia="仿宋_GB2312"/>
          <w:sz w:val="28"/>
          <w:b/>
        </w:rPr>
        <w:t>西安市蓝田县人民医院</w:t>
      </w:r>
    </w:p>
    <w:p>
      <w:pPr>
        <w:pStyle w:val="null3"/>
        <w:jc w:val="center"/>
        <w:outlineLvl w:val="2"/>
      </w:pPr>
      <w:r>
        <w:rPr>
          <w:rFonts w:ascii="仿宋_GB2312" w:hAnsi="仿宋_GB2312" w:cs="仿宋_GB2312" w:eastAsia="仿宋_GB2312"/>
          <w:sz w:val="28"/>
          <w:b/>
        </w:rPr>
        <w:t>中金国际项目管理有限公司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中金国际项目管理有限公司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西安市蓝田县人民医院</w:t>
      </w:r>
      <w:r>
        <w:rPr>
          <w:rFonts w:ascii="仿宋_GB2312" w:hAnsi="仿宋_GB2312" w:cs="仿宋_GB2312" w:eastAsia="仿宋_GB2312"/>
        </w:rPr>
        <w:t>委托，拟对</w:t>
      </w:r>
      <w:r>
        <w:rPr>
          <w:rFonts w:ascii="仿宋_GB2312" w:hAnsi="仿宋_GB2312" w:cs="仿宋_GB2312" w:eastAsia="仿宋_GB2312"/>
        </w:rPr>
        <w:t>蓝田县人民医院2025年医疗责任险采购项目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中金咨招[2025]-0193号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蓝田县人民医院2025年医疗责任险采购项目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拟采购蓝田县人民医院2025年医疗责任险（包含多点执业人员），具体内容详见磋商文件。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提供2024年度的审计报告(成立时间至提交投标文件截止时间不足一年的可提供成立后任意时段的资产负债表)，或其基本存款账户开户银行出具的近3个月内的资信证明及基本存款账户开户许可证（基本账户信息表）；</w:t>
      </w:r>
    </w:p>
    <w:p>
      <w:pPr>
        <w:pStyle w:val="null3"/>
      </w:pPr>
      <w:r>
        <w:rPr>
          <w:rFonts w:ascii="仿宋_GB2312" w:hAnsi="仿宋_GB2312" w:cs="仿宋_GB2312" w:eastAsia="仿宋_GB2312"/>
        </w:rPr>
        <w:t>3、税收缴纳证明：提供投标截止时间前6个月内至少一个月的纳税证明或完税证明（任意税种，个人所得税除外），依法免税的单位应提供相关证明材料；</w:t>
      </w:r>
    </w:p>
    <w:p>
      <w:pPr>
        <w:pStyle w:val="null3"/>
      </w:pPr>
      <w:r>
        <w:rPr>
          <w:rFonts w:ascii="仿宋_GB2312" w:hAnsi="仿宋_GB2312" w:cs="仿宋_GB2312" w:eastAsia="仿宋_GB2312"/>
        </w:rPr>
        <w:t>4、社会保障资金缴纳证明：提供投标截止时间前6个月内至少一个月的社会保障资金缴存单据或社保机构开具的社会保险参保缴费情况证明，依法不需要缴纳社会保障资金的单位应提供相关证明材料；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5、供应商履约能力：供应商须提供具有履行合同所必需的设备和专业技术能力的承诺；</w:t>
      </w:r>
    </w:p>
    <w:p>
      <w:pPr>
        <w:pStyle w:val="null3"/>
      </w:pPr>
      <w:r>
        <w:rPr>
          <w:rFonts w:ascii="仿宋_GB2312" w:hAnsi="仿宋_GB2312" w:cs="仿宋_GB2312" w:eastAsia="仿宋_GB2312"/>
        </w:rPr>
        <w:t>6、近三年无重大违法记录声明：参加政府采购活动前3年内，在经营活动中没有重大违法记录的书面声明；</w:t>
      </w:r>
    </w:p>
    <w:p>
      <w:pPr>
        <w:pStyle w:val="null3"/>
      </w:pPr>
      <w:r>
        <w:rPr>
          <w:rFonts w:ascii="仿宋_GB2312" w:hAnsi="仿宋_GB2312" w:cs="仿宋_GB2312" w:eastAsia="仿宋_GB2312"/>
        </w:rPr>
        <w:t>7、法定代表人身份证明/法定代表人授权委托书：法定代表人（主要负责人）授权委托代理人参加投标时，应提供法定代表人（主要负责人）委托授权书；法定代表人（主要负责人）亲自参加投标时，应提供法定代表人（主要负责人）身份证明书，被授权人须提供在本单位缴纳的近三个月内的社保记录；</w:t>
      </w:r>
    </w:p>
    <w:p>
      <w:pPr>
        <w:pStyle w:val="null3"/>
      </w:pPr>
      <w:r>
        <w:rPr>
          <w:rFonts w:ascii="仿宋_GB2312" w:hAnsi="仿宋_GB2312" w:cs="仿宋_GB2312" w:eastAsia="仿宋_GB2312"/>
        </w:rPr>
        <w:t>8、供应商资质：供应商须具有经营责任保险业务资格，提供有效期内的保险监督管理机构颁发的《保险许可证》，（总公司取得的相关资质和指标，分支机构经总公司有效授权视为拥有同等资质和指标，总公司只允许授权1家分支机构参与投标，且不能与分支机构同时参与），提供授权书；</w:t>
      </w:r>
    </w:p>
    <w:p>
      <w:pPr>
        <w:pStyle w:val="null3"/>
      </w:pPr>
      <w:r>
        <w:rPr>
          <w:rFonts w:ascii="仿宋_GB2312" w:hAnsi="仿宋_GB2312" w:cs="仿宋_GB2312" w:eastAsia="仿宋_GB2312"/>
        </w:rPr>
        <w:t>9、信誉要求：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11、其他：供应商非采购人单位职工及家属投资开办，其法人、股东和经营管理人员非采购人单位职工及家属；</w:t>
      </w:r>
    </w:p>
    <w:p>
      <w:pPr>
        <w:pStyle w:val="null3"/>
      </w:pPr>
      <w:r>
        <w:rPr>
          <w:rFonts w:ascii="仿宋_GB2312" w:hAnsi="仿宋_GB2312" w:cs="仿宋_GB2312" w:eastAsia="仿宋_GB2312"/>
        </w:rPr>
        <w:t>12、不接受联合体投标：本项目不接受联合体投标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蓝田县新城路36号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029-82738815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中金国际项目管理有限公司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陕西省西安市雁塔区雁翔路3269号旺座曲江E13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边宏远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18792738252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李晓东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代理服务费收费标准：参照国家计委2002年颁发的《招标代理服务收费管理暂行办法》(计价格〔2002〕1980号)、《国家发展改革委办公厅关于招标服务收费有关问题的通知》（发改办 价格[2003]857号）文件的规定计取，采用现金、转账或汇款方式向中金国际项目管理有限公司交纳招标服务费。 招标代理服务费缴纳账户信息： 账户名称：中金国际项目管理有限公司 开户行：中国建设银行股份有限公司西安雁翔广场支行 开户账号： 61050110669000000065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西安市蓝田县人民医院</w:t>
      </w:r>
      <w:r>
        <w:rPr>
          <w:rFonts w:ascii="仿宋_GB2312" w:hAnsi="仿宋_GB2312" w:cs="仿宋_GB2312" w:eastAsia="仿宋_GB2312"/>
        </w:rPr>
        <w:t>和</w:t>
      </w:r>
      <w:r>
        <w:rPr>
          <w:rFonts w:ascii="仿宋_GB2312" w:hAnsi="仿宋_GB2312" w:cs="仿宋_GB2312" w:eastAsia="仿宋_GB2312"/>
        </w:rPr>
        <w:t>中金国际项目管理有限公司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中金国际项目管理有限公司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中金国际项目管理有限公司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①.完成本项目采购需求要求的服务内容，不对采购人造成经济和社会声誉影响。 ②.完成采购人要求的工作内容。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联系人：边宏远</w:t>
      </w:r>
    </w:p>
    <w:p>
      <w:pPr>
        <w:pStyle w:val="null3"/>
      </w:pPr>
      <w:r>
        <w:rPr>
          <w:rFonts w:ascii="仿宋_GB2312" w:hAnsi="仿宋_GB2312" w:cs="仿宋_GB2312" w:eastAsia="仿宋_GB2312"/>
        </w:rPr>
        <w:t>联系电话：18792738252</w:t>
      </w:r>
    </w:p>
    <w:p>
      <w:pPr>
        <w:pStyle w:val="null3"/>
      </w:pPr>
      <w:r>
        <w:rPr>
          <w:rFonts w:ascii="仿宋_GB2312" w:hAnsi="仿宋_GB2312" w:cs="仿宋_GB2312" w:eastAsia="仿宋_GB2312"/>
        </w:rPr>
        <w:t>地址：陕西省西安市雁塔区雁翔路3269号旺座曲江E13</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拟采购蓝田县人民医院2025年医疗责任险（包含多点执业人员），具体内容详见磋商文件。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医疗责任险1年。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标的名称：医疗责任险1年。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Ⅰ</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采购招标的需实现的功能或者目标</w:t>
            </w:r>
          </w:p>
          <w:p>
            <w:pPr>
              <w:pStyle w:val="null3"/>
              <w:jc w:val="both"/>
            </w:pPr>
            <w:r>
              <w:rPr>
                <w:rFonts w:ascii="仿宋_GB2312" w:hAnsi="仿宋_GB2312" w:cs="仿宋_GB2312" w:eastAsia="仿宋_GB2312"/>
                <w:sz w:val="24"/>
                <w:color w:val="000000"/>
              </w:rPr>
              <w:t>本项目为</w:t>
            </w:r>
            <w:r>
              <w:rPr>
                <w:rFonts w:ascii="仿宋_GB2312" w:hAnsi="仿宋_GB2312" w:cs="仿宋_GB2312" w:eastAsia="仿宋_GB2312"/>
                <w:sz w:val="24"/>
                <w:color w:val="000000"/>
              </w:rPr>
              <w:t>蓝田县人民医院</w:t>
            </w:r>
            <w:r>
              <w:rPr>
                <w:rFonts w:ascii="仿宋_GB2312" w:hAnsi="仿宋_GB2312" w:cs="仿宋_GB2312" w:eastAsia="仿宋_GB2312"/>
                <w:sz w:val="24"/>
                <w:color w:val="000000"/>
              </w:rPr>
              <w:t>2025年医疗责任险（包含多点执业人员）</w:t>
            </w:r>
            <w:r>
              <w:rPr>
                <w:rFonts w:ascii="仿宋_GB2312" w:hAnsi="仿宋_GB2312" w:cs="仿宋_GB2312" w:eastAsia="仿宋_GB2312"/>
                <w:sz w:val="24"/>
                <w:color w:val="000000"/>
              </w:rPr>
              <w:t>，请供应商结合采购需求和自身情况为采购人提供更好更优质的服务。</w:t>
            </w:r>
          </w:p>
          <w:p>
            <w:pPr>
              <w:pStyle w:val="null3"/>
              <w:jc w:val="both"/>
            </w:pPr>
            <w:r>
              <w:rPr>
                <w:rFonts w:ascii="仿宋_GB2312" w:hAnsi="仿宋_GB2312" w:cs="仿宋_GB2312" w:eastAsia="仿宋_GB2312"/>
                <w:sz w:val="24"/>
                <w:color w:val="000000"/>
              </w:rPr>
              <w:t>Ⅱ</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采购招标的需执行的国家相关标准、行业标准、地方标准或者其他标准、规范。</w:t>
            </w:r>
          </w:p>
          <w:p>
            <w:pPr>
              <w:pStyle w:val="null3"/>
              <w:jc w:val="both"/>
            </w:pPr>
            <w:r>
              <w:rPr>
                <w:rFonts w:ascii="仿宋_GB2312" w:hAnsi="仿宋_GB2312" w:cs="仿宋_GB2312" w:eastAsia="仿宋_GB2312"/>
                <w:sz w:val="24"/>
                <w:color w:val="000000"/>
              </w:rPr>
              <w:t>Ⅲ</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采购招标的数量、采购项目交付或者实施的时间和地点</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1数量</w:t>
            </w:r>
          </w:p>
          <w:p>
            <w:pPr>
              <w:pStyle w:val="null3"/>
              <w:jc w:val="both"/>
            </w:pPr>
            <w:r>
              <w:rPr>
                <w:rFonts w:ascii="仿宋_GB2312" w:hAnsi="仿宋_GB2312" w:cs="仿宋_GB2312" w:eastAsia="仿宋_GB2312"/>
                <w:sz w:val="24"/>
                <w:color w:val="000000"/>
              </w:rPr>
              <w:t>1.1医责险上险人数:481人，其中:高风险科室医生164人</w:t>
            </w:r>
            <w:r>
              <w:rPr>
                <w:rFonts w:ascii="仿宋_GB2312" w:hAnsi="仿宋_GB2312" w:cs="仿宋_GB2312" w:eastAsia="仿宋_GB2312"/>
                <w:sz w:val="24"/>
                <w:color w:val="FF0000"/>
              </w:rPr>
              <w:t>:</w:t>
            </w:r>
            <w:r>
              <w:rPr>
                <w:rFonts w:ascii="仿宋_GB2312" w:hAnsi="仿宋_GB2312" w:cs="仿宋_GB2312" w:eastAsia="仿宋_GB2312"/>
                <w:sz w:val="24"/>
                <w:color w:val="000000"/>
              </w:rPr>
              <w:t>一股风险科室医生</w:t>
            </w:r>
            <w:r>
              <w:rPr>
                <w:rFonts w:ascii="仿宋_GB2312" w:hAnsi="仿宋_GB2312" w:cs="仿宋_GB2312" w:eastAsia="仿宋_GB2312"/>
                <w:sz w:val="24"/>
                <w:color w:val="000000"/>
              </w:rPr>
              <w:t>18人、护士及医技人员276人;低风险科室医生3人、</w:t>
            </w:r>
            <w:r>
              <w:rPr>
                <w:rFonts w:ascii="仿宋_GB2312" w:hAnsi="仿宋_GB2312" w:cs="仿宋_GB2312" w:eastAsia="仿宋_GB2312"/>
                <w:sz w:val="24"/>
                <w:color w:val="000000"/>
              </w:rPr>
              <w:t>护</w:t>
            </w:r>
            <w:r>
              <w:rPr>
                <w:rFonts w:ascii="仿宋_GB2312" w:hAnsi="仿宋_GB2312" w:cs="仿宋_GB2312" w:eastAsia="仿宋_GB2312"/>
                <w:sz w:val="24"/>
                <w:color w:val="000000"/>
              </w:rPr>
              <w:t>士及医技人员</w:t>
            </w:r>
            <w:r>
              <w:rPr>
                <w:rFonts w:ascii="仿宋_GB2312" w:hAnsi="仿宋_GB2312" w:cs="仿宋_GB2312" w:eastAsia="仿宋_GB2312"/>
                <w:sz w:val="24"/>
                <w:color w:val="000000"/>
              </w:rPr>
              <w:t xml:space="preserve"> 20人。</w:t>
            </w:r>
          </w:p>
          <w:p>
            <w:pPr>
              <w:pStyle w:val="null3"/>
              <w:jc w:val="both"/>
            </w:pPr>
            <w:r>
              <w:rPr>
                <w:rFonts w:ascii="仿宋_GB2312" w:hAnsi="仿宋_GB2312" w:cs="仿宋_GB2312" w:eastAsia="仿宋_GB2312"/>
                <w:sz w:val="24"/>
                <w:color w:val="000000"/>
              </w:rPr>
              <w:t>1.2病床数:约 500 张</w:t>
            </w:r>
          </w:p>
          <w:p>
            <w:pPr>
              <w:pStyle w:val="null3"/>
              <w:jc w:val="both"/>
            </w:pPr>
            <w:r>
              <w:rPr>
                <w:rFonts w:ascii="仿宋_GB2312" w:hAnsi="仿宋_GB2312" w:cs="仿宋_GB2312" w:eastAsia="仿宋_GB2312"/>
                <w:sz w:val="24"/>
                <w:color w:val="000000"/>
              </w:rPr>
              <w:t>1.3年住院手术人次:约3000例</w:t>
            </w:r>
          </w:p>
          <w:p>
            <w:pPr>
              <w:pStyle w:val="null3"/>
              <w:jc w:val="both"/>
            </w:pPr>
            <w:r>
              <w:rPr>
                <w:rFonts w:ascii="仿宋_GB2312" w:hAnsi="仿宋_GB2312" w:cs="仿宋_GB2312" w:eastAsia="仿宋_GB2312"/>
                <w:sz w:val="24"/>
                <w:color w:val="000000"/>
              </w:rPr>
              <w:t>2采购项目交付或者实施的时间和地点</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1采购项目（标的）交付的时间：蓝田县人民医院指定时间</w:t>
            </w:r>
          </w:p>
          <w:p>
            <w:pPr>
              <w:pStyle w:val="null3"/>
              <w:jc w:val="both"/>
            </w:pPr>
            <w:r>
              <w:rPr>
                <w:rFonts w:ascii="仿宋_GB2312" w:hAnsi="仿宋_GB2312" w:cs="仿宋_GB2312" w:eastAsia="仿宋_GB2312"/>
                <w:sz w:val="24"/>
                <w:color w:val="000000"/>
              </w:rPr>
              <w:t>2.2</w:t>
            </w:r>
            <w:r>
              <w:rPr>
                <w:rFonts w:ascii="仿宋_GB2312" w:hAnsi="仿宋_GB2312" w:cs="仿宋_GB2312" w:eastAsia="仿宋_GB2312"/>
                <w:sz w:val="24"/>
                <w:color w:val="000000"/>
              </w:rPr>
              <w:t>采购项目（标的）交付的地点：蓝田县人民医院指定地点</w:t>
            </w:r>
          </w:p>
          <w:p>
            <w:pPr>
              <w:pStyle w:val="null3"/>
              <w:numPr>
                <w:ilvl w:val="0"/>
                <w:numId w:val="1"/>
              </w:numPr>
              <w:jc w:val="both"/>
            </w:pPr>
            <w:r>
              <w:rPr>
                <w:rFonts w:ascii="仿宋_GB2312" w:hAnsi="仿宋_GB2312" w:cs="仿宋_GB2312" w:eastAsia="仿宋_GB2312"/>
                <w:sz w:val="24"/>
                <w:color w:val="000000"/>
              </w:rPr>
              <w:t>采购招标的需满足的服务标准、期限、效率等要求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采购招标的需满足的服务标准、效率要求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1供应商是根据中华人民共和国法律依法成立并在本协议期内有效存续的具有合法经营权的独立法人，具备全部法律法规及有关规定要求合法许可及资质证件。</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2医院有权对投标人工作进行监督管理，并提出建议，同时有权要求投标人撤换其委派到医院的工作人员，投标人应严格遵守医院对医疗废物管理清运和处置的相关规定，服从医院的监督和管理，遵守相关规定，并满足相关要求。</w:t>
            </w:r>
          </w:p>
          <w:p>
            <w:pPr>
              <w:pStyle w:val="null3"/>
              <w:jc w:val="both"/>
            </w:pPr>
            <w:r>
              <w:rPr>
                <w:rFonts w:ascii="仿宋_GB2312" w:hAnsi="仿宋_GB2312" w:cs="仿宋_GB2312" w:eastAsia="仿宋_GB2312"/>
                <w:sz w:val="24"/>
                <w:color w:val="000000"/>
              </w:rPr>
              <w:t>（二）采购招标的需满足的服务期限要求</w:t>
            </w:r>
          </w:p>
          <w:p>
            <w:pPr>
              <w:pStyle w:val="null3"/>
              <w:jc w:val="both"/>
            </w:pPr>
            <w:r>
              <w:rPr>
                <w:rFonts w:ascii="仿宋_GB2312" w:hAnsi="仿宋_GB2312" w:cs="仿宋_GB2312" w:eastAsia="仿宋_GB2312"/>
                <w:sz w:val="24"/>
                <w:color w:val="000000"/>
              </w:rPr>
              <w:t>自合同签订之日起</w:t>
            </w:r>
            <w:r>
              <w:rPr>
                <w:rFonts w:ascii="仿宋_GB2312" w:hAnsi="仿宋_GB2312" w:cs="仿宋_GB2312" w:eastAsia="仿宋_GB2312"/>
                <w:sz w:val="24"/>
                <w:color w:val="000000"/>
              </w:rPr>
              <w:t>1年。</w:t>
            </w:r>
          </w:p>
          <w:p>
            <w:pPr>
              <w:pStyle w:val="null3"/>
              <w:numPr>
                <w:ilvl w:val="0"/>
                <w:numId w:val="1"/>
              </w:numPr>
              <w:jc w:val="both"/>
            </w:pPr>
            <w:r>
              <w:rPr>
                <w:rFonts w:ascii="仿宋_GB2312" w:hAnsi="仿宋_GB2312" w:cs="仿宋_GB2312" w:eastAsia="仿宋_GB2312"/>
                <w:sz w:val="24"/>
                <w:color w:val="000000"/>
              </w:rPr>
              <w:t>采购招标的验收标准</w:t>
            </w:r>
          </w:p>
          <w:p>
            <w:pPr>
              <w:pStyle w:val="null3"/>
              <w:jc w:val="both"/>
            </w:pPr>
            <w:r>
              <w:rPr>
                <w:rFonts w:ascii="仿宋_GB2312" w:hAnsi="仿宋_GB2312" w:cs="仿宋_GB2312" w:eastAsia="仿宋_GB2312"/>
                <w:sz w:val="24"/>
                <w:color w:val="000000"/>
              </w:rPr>
              <w:t>1.完成本项目采购需求要求的服务内容，不对采购人造成经济和社会声誉影响。</w:t>
            </w:r>
          </w:p>
          <w:p>
            <w:pPr>
              <w:pStyle w:val="null3"/>
              <w:jc w:val="both"/>
            </w:pPr>
            <w:r>
              <w:rPr>
                <w:rFonts w:ascii="仿宋_GB2312" w:hAnsi="仿宋_GB2312" w:cs="仿宋_GB2312" w:eastAsia="仿宋_GB2312"/>
                <w:sz w:val="24"/>
                <w:color w:val="000000"/>
              </w:rPr>
              <w:t>2.完成采购人要求的工作内容。</w:t>
            </w:r>
          </w:p>
          <w:p>
            <w:pPr>
              <w:pStyle w:val="null3"/>
              <w:jc w:val="both"/>
            </w:pPr>
            <w:r>
              <w:rPr>
                <w:rFonts w:ascii="仿宋_GB2312" w:hAnsi="仿宋_GB2312" w:cs="仿宋_GB2312" w:eastAsia="仿宋_GB2312"/>
                <w:sz w:val="24"/>
                <w:color w:val="000000"/>
              </w:rPr>
              <w:t>七、采购招标的其他技术、服务等要求</w:t>
            </w:r>
          </w:p>
          <w:p>
            <w:pPr>
              <w:pStyle w:val="null3"/>
              <w:jc w:val="both"/>
            </w:pPr>
            <w:r>
              <w:rPr>
                <w:rFonts w:ascii="仿宋_GB2312" w:hAnsi="仿宋_GB2312" w:cs="仿宋_GB2312" w:eastAsia="仿宋_GB2312"/>
                <w:sz w:val="24"/>
                <w:color w:val="000000"/>
              </w:rPr>
              <w:t>投标人须提供保险服务方案、与外部机构合作情况、投标人的项目管理团队、供应商的偿付能力充足。</w:t>
            </w:r>
          </w:p>
          <w:p>
            <w:pPr>
              <w:pStyle w:val="null3"/>
              <w:jc w:val="both"/>
            </w:pPr>
            <w:r>
              <w:rPr>
                <w:rFonts w:ascii="仿宋_GB2312" w:hAnsi="仿宋_GB2312" w:cs="仿宋_GB2312" w:eastAsia="仿宋_GB2312"/>
                <w:sz w:val="24"/>
                <w:color w:val="000000"/>
              </w:rPr>
              <w:t>八</w:t>
            </w:r>
            <w:r>
              <w:rPr>
                <w:rFonts w:ascii="仿宋_GB2312" w:hAnsi="仿宋_GB2312" w:cs="仿宋_GB2312" w:eastAsia="仿宋_GB2312"/>
                <w:sz w:val="24"/>
                <w:color w:val="000000"/>
              </w:rPr>
              <w:t>、</w:t>
            </w:r>
            <w:r>
              <w:rPr>
                <w:rFonts w:ascii="仿宋_GB2312" w:hAnsi="仿宋_GB2312" w:cs="仿宋_GB2312" w:eastAsia="仿宋_GB2312"/>
                <w:sz w:val="24"/>
                <w:color w:val="000000"/>
              </w:rPr>
              <w:t>采购招标的需满足的质量、安全、技术规格、物理特性等要求</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.1为蓝田县人民医院及其医务人员提供满足医疗责任保险</w:t>
            </w:r>
            <w:r>
              <w:rPr>
                <w:rFonts w:ascii="仿宋_GB2312" w:hAnsi="仿宋_GB2312" w:cs="仿宋_GB2312" w:eastAsia="仿宋_GB2312"/>
                <w:sz w:val="24"/>
                <w:color w:val="000000"/>
              </w:rPr>
              <w:t>风险</w:t>
            </w:r>
            <w:r>
              <w:rPr>
                <w:rFonts w:ascii="仿宋_GB2312" w:hAnsi="仿宋_GB2312" w:cs="仿宋_GB2312" w:eastAsia="仿宋_GB2312"/>
                <w:sz w:val="24"/>
                <w:color w:val="000000"/>
              </w:rPr>
              <w:t>保障需求的医疗责任保险方案。</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.2按照《陕西省推进医疗责任保险工作方案(试行)》(陕卫医发(2014)296号)的有关规定，对医院依法应该承担的赔偿责任，制定医方责任保险方案。</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.3承保公司应定期向医院提供接报案清单、未决案件处理进度赔付案件情况等理赔信息。按年度汇总反馈医院赔偿分析总结(内容盖赔偿总额、赔偿科室、院方责任度、返款总额等)</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.4.需执行的国家相关标准、行业标准、地方标准或者其他标准规范</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.4.1《关于加强医疗责任保险工作的意见》。</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.4.2《陕西省推进医疗责任保险工作方案(试行)》。</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.5.服务标准、期限、效率等要求:</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.5.1医院出险后，承保公司服务人员应在1小时内到达项目指定现场，提供现场服务。</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5.2对于案件清楚、责任清晰的出险案件，承保公司应当在收到医院索赔申请后及时核定保险责任，最长不超过30个自然日，达成赔偿协议后5个自然日内给付保险金;对于不属于保险责任的，保险机构应当自作出核定之日起3个自然日内向医院发出拒赔通知书，并说明理由;对于复杂案件，保险机构在案件材料收集齐全之日起60个自然日内对能确定的赔偿金额完成预支付，待最终赔偿金额确定后再支付相应的差额。</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.5.3医责险每次事故免赔额1000或赔偿金额的5%，对应由医院支付的仲裁或诉讼费用以及其他必要的、合理的费用，承保公司也应负责赔偿，无正当理由，承保公司应按保险合同条款规定的理赔标准进行理赔。</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.5.4医疗责任险(包含多点执业人员):赔偿限额不低于:个案赔偿20万元,累计赔偿限额100万元。</w:t>
            </w:r>
          </w:p>
          <w:p>
            <w:pPr>
              <w:pStyle w:val="null3"/>
              <w:ind w:firstLine="480"/>
              <w:jc w:val="both"/>
            </w:pPr>
            <w:r>
              <w:rPr>
                <w:rFonts w:ascii="仿宋_GB2312" w:hAnsi="仿宋_GB2312" w:cs="仿宋_GB2312" w:eastAsia="仿宋_GB2312"/>
                <w:sz w:val="24"/>
                <w:color w:val="000000"/>
              </w:rPr>
              <w:t>法律费用赔偿限额不低于</w:t>
            </w:r>
            <w:r>
              <w:rPr>
                <w:rFonts w:ascii="仿宋_GB2312" w:hAnsi="仿宋_GB2312" w:cs="仿宋_GB2312" w:eastAsia="仿宋_GB2312"/>
                <w:sz w:val="24"/>
                <w:color w:val="000000"/>
              </w:rPr>
              <w:t>:个案赔偿限额20万元。</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.5.5投标人须根据本项目采购需求制定保险服务方案(医疗责任险-含多点执业人员)，险种及服务齐全，有合理的承保和理赔实施方案，具有丰富的开展手术意外保险经验。</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.5.6个案出险后有争议时，甲乙双方具有沟通与协调机制。</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.6项目团队要求:</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.6.1投标人应设置并成立专门的项目团队承担医责险保险业务团队，投标人须提供设立项目团队承担医责险的证明文件并加盖投标人公章，并提供项目团队的人员名称、数量、项目经验、资质能内容，</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6.2投标人应为本项目成立不少于5人的项目团队，团队成员均应具备医疗责任保险项目承保或理赔经验不少于2年，投标人须提供设立项目团队承担医责险的证明文件，并提供项目团队的人员团队人员简历包括名称、数量、项目经验、从业年限等内容。</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.6.3团队成员中至少有1人专职服务本项目，投标人须提供专职服务本项目的承诺函并加盖投标人公章。</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.7投标人与外部机构合作情况:投标人须与项目所在地医疗纠纷人民调解委员会、与其他专业医疗调解机构、与侧重医疗卫生法律服务的律师事务所的合作关系证明。</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投标人须提供保险服务方案、与外部机构合作情况、投标人的项目管理团队、供应商的偿付能力充足。</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签订合同后，按中标金额支付合同金额，收到乙方出具的正式发票、加盖乙方公章的付款申请书后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本项目不专门面向中小企业采购。本项目所属行业：其他未列明行业（根据《工业和信息化部、国家统计局、国家发展和改革委员会、财政部关于印发中小企业划型标准规定的通知》（工信部联企业〔2011〕300 号）规定的划分标准，从业人员 300 人以下的为中小微型企业。其中，从业人员 100 人及以上的为中型企业；从业人员 10 人及以上的为小型企业；从业人员 10人以下的为微型企业。） 二）其他： （1）为顺利推进政府采购电子化交易平台试点应用工作，供应商需要在线提交所有通过电子化交易平台实施的政府采购项目的响应文件，发布成交结果公告后，成交供应商应及时向采购代理机构提交一正二副，书籍（胶装）方式装订的盖章的纸质文件，若正本和副本不一致的，以正本为准。送至陕西省西安市雁塔区雁翔路3269号旺座曲江E座13楼1304室（中金国际项目管理有限公司）。（2）供应商务必在开标截止时间30分钟前，通过项目电子化交易系统进行签到，如未进行签到，产生的一起后果由供应商自行承担。（3）签名是指手写签名或者加盖印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审计报告(成立时间至提交投标文件截止时间不足一年的可提供成立后任意时段的资产负债表)，或其基本存款账户开户银行出具的近3个月内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提供投标截止时间前6个月内至少一个月的纳税证明或完税证明（任意税种，个人所得税除外），依法免税的单位应提供相关证明材料；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供应商履约能力</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主要负责人）授权委托代理人参加投标时，应提供法定代表人（主要负责人）委托授权书；法定代表人（主要负责人）亲自参加投标时，应提供法定代表人（主要负责人）身份证明书，被授权人须提供在本单位缴纳的近三个月内的社保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经营责任保险业务资格，提供有效期内的保险监督管理机构颁发的《保险许可证》，（总公司取得的相关资质和指标，分支机构经总公司有效授权视为拥有同等资质和指标，总公司只允许授权1家分支机构参与投标，且不能与分支机构同时参与），提供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供应商非采购人单位职工及家属投资开办，其法人、股东和经营管理人员非采购人单位职工及家属；</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残疾人福利性单位声明函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评标委员会审查投标文件是否完整，文件签署 是否合格、投标有效期是否满足招标文件要求 ，商务及技术响应满足招标文件要求等。</w:t>
            </w:r>
          </w:p>
        </w:tc>
        <w:tc>
          <w:tcPr>
            <w:tcW w:type="dxa" w:w="1661"/>
          </w:tcPr>
          <w:p>
            <w:pPr>
              <w:pStyle w:val="null3"/>
            </w:pPr>
            <w:r>
              <w:rPr>
                <w:rFonts w:ascii="仿宋_GB2312" w:hAnsi="仿宋_GB2312" w:cs="仿宋_GB2312" w:eastAsia="仿宋_GB2312"/>
              </w:rPr>
              <w:t>响应文件封面 业绩.docx 服务内容及服务邀请应答表 残疾人福利性单位声明函 商务应答表 供应商参与政府采购活动的承诺函.docx 服务方案 供应商应提交的相关资格证明材料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满足招标文件格式要求</w:t>
            </w:r>
          </w:p>
        </w:tc>
        <w:tc>
          <w:tcPr>
            <w:tcW w:type="dxa" w:w="1661"/>
          </w:tcPr>
          <w:p>
            <w:pPr>
              <w:pStyle w:val="null3"/>
            </w:pPr>
            <w:r>
              <w:rPr>
                <w:rFonts w:ascii="仿宋_GB2312" w:hAnsi="仿宋_GB2312" w:cs="仿宋_GB2312" w:eastAsia="仿宋_GB2312"/>
              </w:rPr>
              <w:t>响应文件封面 服务内容及服务邀请应答表 残疾人福利性单位声明函 商务应答表 服务方案 供应商应提交的相关资格证明材料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按招标文件要求报价，不得提交选择性报价， 且不超过采购预算金额或最高限价。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应满足招标文件要求</w:t>
            </w:r>
          </w:p>
        </w:tc>
        <w:tc>
          <w:tcPr>
            <w:tcW w:type="dxa" w:w="1661"/>
          </w:tcPr>
          <w:p>
            <w:pPr>
              <w:pStyle w:val="null3"/>
            </w:pPr>
            <w:r>
              <w:rPr>
                <w:rFonts w:ascii="仿宋_GB2312" w:hAnsi="仿宋_GB2312" w:cs="仿宋_GB2312" w:eastAsia="仿宋_GB2312"/>
              </w:rPr>
              <w:t>响应文件封面 商务应答表 服务方案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提出针对于本项目的服务总体方案及措施，方案内容包含①保险责任方案②理赔范围③保险内容和保险金额（被保险人的给付标准）④赔付保障方案等。 二、赋分标准（满分20分） 整体服务方案内容完善、全面合理、架构完整、层次清楚、具有针对性和可实施性，得20分，缺失1项扣5分。每项中每有一处缺陷(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的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理赔服务</w:t>
            </w:r>
          </w:p>
        </w:tc>
        <w:tc>
          <w:tcPr>
            <w:tcW w:type="dxa" w:w="2492"/>
          </w:tcPr>
          <w:p>
            <w:pPr>
              <w:pStyle w:val="null3"/>
            </w:pPr>
            <w:r>
              <w:rPr>
                <w:rFonts w:ascii="仿宋_GB2312" w:hAnsi="仿宋_GB2312" w:cs="仿宋_GB2312" w:eastAsia="仿宋_GB2312"/>
              </w:rPr>
              <w:t>一、评审内容 具有完整的项目理赔服务方案，包括①项目理赔程序及服务流程②开展赔付工作的资料③报案时效、理赔时效④理赔响应时间。 二、赋分标准（满分20分） 整体服务方案内容完善、全面合理、架构完整、层次清楚、具有针对性和可实施性，得20分，缺失1项扣5分。每项中每有一处缺陷(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的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①项目团队成员不少于5人，每增加1人得0.5分，满分2分。 ②团队成员均应具备医疗责任保险项目承保或理赔经验不少于5年，每增加1年得1分，最高得3分。 注：提供相应人员的相关证明材料包括但不限于身份证、学历证明等，及近三个月由供应商或其上级公司缴纳的社保证明材料，未提供的不得分。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一、评审内容 根据拟投入本项目组织机构设置（人员数量、工作年限、工作经验）、人员职责及岗位分工等组织机构科学、规范、合理。 二、赋分标准（满分5分） 人员配备数量充足、职责明确、分工清晰、结构合理得5分。每有一处缺陷(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的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根据投标人提供的应急方案包括但不限于①突发事件的处理机制和应急预案②预防和补救措施③对被保险人理赔材料的处理方案。 二、赋分标准（满分9分） 整体服务方案内容完善、全面合理、架构完整、层次清楚、具有针对性和可实施性，得9分，缺失1项扣3分。每项中每有一处缺陷(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的扣0.5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内控制度</w:t>
            </w:r>
          </w:p>
        </w:tc>
        <w:tc>
          <w:tcPr>
            <w:tcW w:type="dxa" w:w="2492"/>
          </w:tcPr>
          <w:p>
            <w:pPr>
              <w:pStyle w:val="null3"/>
            </w:pPr>
            <w:r>
              <w:rPr>
                <w:rFonts w:ascii="仿宋_GB2312" w:hAnsi="仿宋_GB2312" w:cs="仿宋_GB2312" w:eastAsia="仿宋_GB2312"/>
              </w:rPr>
              <w:t>一、评审内容 根据供应商提供的内控制度，内容包含①风险控制；②考核奖惩；③保密管理；④档案管理。 二、赋分标准（满分8分） 整体服务方案内容完善、全面合理、架构完整、层次清楚、具有针对性和可实施性，得8分，缺失1项扣2分。每项中每有一处缺陷(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的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根据投标人提供售后服务包括但不限于①售后服务保障措施②定期巡访方案。 二、赋分标准（满分8分） 整体服务方案内容完善、全面合理、架构完整、层次清楚、具有针对性和可实施性，得8分，缺失1项扣4分。每项中每有一处缺陷(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的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保证参保人员所有信息数据不得外泄，保密方案具体、切实可行、可追溯。 二、赋分标准（满分6分） 整体方案内容完善、全面合理、架构完整、层次清楚、具有针对性和可实施性，得6分，缺失扣6分。每有一处缺陷(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的扣0.5 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偿付能力</w:t>
            </w:r>
          </w:p>
        </w:tc>
        <w:tc>
          <w:tcPr>
            <w:tcW w:type="dxa" w:w="2492"/>
          </w:tcPr>
          <w:p>
            <w:pPr>
              <w:pStyle w:val="null3"/>
            </w:pPr>
            <w:r>
              <w:rPr>
                <w:rFonts w:ascii="仿宋_GB2312" w:hAnsi="仿宋_GB2312" w:cs="仿宋_GB2312" w:eastAsia="仿宋_GB2312"/>
              </w:rPr>
              <w:t>一、评审内容 根据供应商提供的其总公司2024年度综合偿付能力充足率情况 二、赋分标准（满分3分） ①综合偿付能力充足率＜150%,不得分； ②150%≤综合偿付能力充足率＜180%,得1分； ③180%≤综合偿付能力充足率＜200%,得2分； ④综合偿付能力充足率≥200%,得3分。 注：提供会计师事务所出具的偿付能力报告复印件并加盖公章。未提供的本项得0分。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根据投标人提供的2022年10月1日至今同类项目业绩的情况，须提供合同复印件等证明材料（以合同签订日期为准，仅限投标人本身，提供完整合同复印件）进行评定，每份计2分，最高计6分。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价格分统一采用低价优先法计算，既满足招标文件要求且投标总报价最低为评标基准价，其价格分为满分。有效报价得分=（评标基准价/投标总报价）×权值×100。 投标单位的报价明显低于正常报价的，评标委员会可要求投标单位在规定的期限内提供相关证明材料；投标单位不能证明其报价合理的，可视为无效投标。</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详见附件：蓝田县人民医院2025年医疗责任险采购项目合同.docx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