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版本号：HCZBCG-2025-1320251029002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2025年农村生活垃圾治理项目（2025年环卫基础设施提升）</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HCZBCG-2025-13</w:t>
      </w:r>
      <w:r>
        <w:br/>
      </w:r>
      <w:r>
        <w:br/>
      </w:r>
      <w:r>
        <w:br/>
      </w:r>
    </w:p>
    <w:p>
      <w:pPr>
        <w:pStyle w:val="null3"/>
        <w:jc w:val="center"/>
        <w:outlineLvl w:val="2"/>
      </w:pPr>
      <w:r>
        <w:rPr>
          <w:rFonts w:ascii="仿宋_GB2312" w:hAnsi="仿宋_GB2312" w:cs="仿宋_GB2312" w:eastAsia="仿宋_GB2312"/>
          <w:sz w:val="28"/>
          <w:b/>
        </w:rPr>
        <w:t>西安市蓝田县城市管理和综合执法局局（本级）</w:t>
      </w:r>
    </w:p>
    <w:p>
      <w:pPr>
        <w:pStyle w:val="null3"/>
        <w:jc w:val="center"/>
        <w:outlineLvl w:val="2"/>
      </w:pPr>
      <w:r>
        <w:rPr>
          <w:rFonts w:ascii="仿宋_GB2312" w:hAnsi="仿宋_GB2312" w:cs="仿宋_GB2312" w:eastAsia="仿宋_GB2312"/>
          <w:sz w:val="28"/>
          <w:b/>
        </w:rPr>
        <w:t>陕西汇诚建设项目管理有限公司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陕西汇诚建设项目管理有限公司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西安市蓝田县城市管理和综合执法局局（本级）</w:t>
      </w:r>
      <w:r>
        <w:rPr>
          <w:rFonts w:ascii="仿宋_GB2312" w:hAnsi="仿宋_GB2312" w:cs="仿宋_GB2312" w:eastAsia="仿宋_GB2312"/>
        </w:rPr>
        <w:t>委托，拟对</w:t>
      </w:r>
      <w:r>
        <w:rPr>
          <w:rFonts w:ascii="仿宋_GB2312" w:hAnsi="仿宋_GB2312" w:cs="仿宋_GB2312" w:eastAsia="仿宋_GB2312"/>
        </w:rPr>
        <w:t>2025年农村生活垃圾治理项目（2025年环卫基础设施提升）</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HCZBCG-2025-13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2025年农村生活垃圾治理项目（2025年环卫基础设施提升）</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位于西安市蓝田县，为现有建筑维护与改造工程，15座现有卫生间的维修与加固，包括屋面维修更换、外墙外立面维修更换、房间内装修维修更换,以及卫生间便器、盥洗池、墩布池卫生器具的维修与更换,外门窗的维修与更换,以及结构墙体的维修预加固工程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采购包1（2025年农村生活垃圾治理项目（2025年环卫基础设施提升））：属于专门面向中小企业采购。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书：供应商应授权合法的人员参加磋商全过程，其中法定代表人直接参加磋商的，须出具法定代表人身份证明、法人身份证原件及复印件；法定代表人授权代表参加磋商的，须出具法定代表人授权书、授权代表身份证原件及复印件；</w:t>
      </w:r>
    </w:p>
    <w:p>
      <w:pPr>
        <w:pStyle w:val="null3"/>
      </w:pPr>
      <w:r>
        <w:rPr>
          <w:rFonts w:ascii="仿宋_GB2312" w:hAnsi="仿宋_GB2312" w:cs="仿宋_GB2312" w:eastAsia="仿宋_GB2312"/>
        </w:rPr>
        <w:t>2、企业资质要求：投标人须具备建设行政主管部门颁发的建筑工程施工总承包三级(含三级）以上资质并具备有效的安全生产许可证；</w:t>
      </w:r>
    </w:p>
    <w:p>
      <w:pPr>
        <w:pStyle w:val="null3"/>
      </w:pPr>
      <w:r>
        <w:rPr>
          <w:rFonts w:ascii="仿宋_GB2312" w:hAnsi="仿宋_GB2312" w:cs="仿宋_GB2312" w:eastAsia="仿宋_GB2312"/>
        </w:rPr>
        <w:t>3、拟派项目经理：拟派项目经理须具备建筑工程专业二级（含二级）以上注册建造师证书及有效的安全生产考核合格证书（建安B证），在本单位注册且无在建工程（提供无在建项目承诺书）；</w:t>
      </w:r>
    </w:p>
    <w:p>
      <w:pPr>
        <w:pStyle w:val="null3"/>
      </w:pPr>
      <w:r>
        <w:rPr>
          <w:rFonts w:ascii="仿宋_GB2312" w:hAnsi="仿宋_GB2312" w:cs="仿宋_GB2312" w:eastAsia="仿宋_GB2312"/>
        </w:rPr>
        <w:t>4、信誉记录：供应商不得为“信用中国”网站（www.creditchina.gov.cn）中被列入“重大税收违法失信主体 ”的供应商,不得为“中国执行信息公开网 ”网站（zxgk.court.gov.cn/））中被列入“失信被执行人 ”的供应商；不得为中国政府采购网（www.ccgp.gov.cn）政府采购“严重违法失信行为记录名单 ”中被财政部门禁止参加政府采购活 动的供应商（信用记录在资格审查阶段通过互联网或者相关系统查询，不强制要求供应商提供查询截图，以开标当日网上查询结果为评审依据）；</w:t>
      </w:r>
    </w:p>
    <w:p>
      <w:pPr>
        <w:pStyle w:val="null3"/>
      </w:pPr>
      <w:r>
        <w:rPr>
          <w:rFonts w:ascii="仿宋_GB2312" w:hAnsi="仿宋_GB2312" w:cs="仿宋_GB2312" w:eastAsia="仿宋_GB2312"/>
        </w:rPr>
        <w:t>5、非联合体投标：本项目不接受联合体磋商。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西安市蓝田县城市管理和综合执法局局（本级）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蓝田县体育路50号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白佳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029-82752276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陕西汇诚建设项目管理有限公司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西安市雁塔区西沣路1159号万科汇智中心2303室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029-81104728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 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采购包1：1,799,283.13元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以工程项目中标价为基准，根据国家计委关于印发《招标代理服务收费管理暂行办法的通知》（计价格[2002]1980号）计费标准收取；造价咨询服务费以工程最高限价（采购预算）为基准，根据《陕西省物价局陕西省住房和城乡建设厅关于我省工程造价咨询服务收费标准有关问题的通知》（陕价行发[2014]88号）计费标准收取；2、成交公示结束后，成交供应商须提供纸质磋商响应文件 2套及电子版光盘1个U盘1个（内容与系统上传保持一致）交由采购代理机构。成交供应商对所提供资料的真实性、合法性、准确性、完整性负责，无需密封。</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西安市蓝田县城市管理和综合执法局局（本级）</w:t>
      </w:r>
      <w:r>
        <w:rPr>
          <w:rFonts w:ascii="仿宋_GB2312" w:hAnsi="仿宋_GB2312" w:cs="仿宋_GB2312" w:eastAsia="仿宋_GB2312"/>
        </w:rPr>
        <w:t>和</w:t>
      </w:r>
      <w:r>
        <w:rPr>
          <w:rFonts w:ascii="仿宋_GB2312" w:hAnsi="仿宋_GB2312" w:cs="仿宋_GB2312" w:eastAsia="仿宋_GB2312"/>
        </w:rPr>
        <w:t>陕西汇诚建设项目管理有限公司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西安市蓝田县城市管理和综合执法局局（本级）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陕西汇诚建设项目管理有限公司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西安市蓝田县城市管理和综合执法局局（本级）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陕西汇诚建设项目管理有限公司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陕西汇诚建设项目管理有限公司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陕西汇诚建设项目管理有限公司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陕西汇诚建设项目管理有限公司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联系人：杨旋</w:t>
      </w:r>
    </w:p>
    <w:p>
      <w:pPr>
        <w:pStyle w:val="null3"/>
      </w:pPr>
      <w:r>
        <w:rPr>
          <w:rFonts w:ascii="仿宋_GB2312" w:hAnsi="仿宋_GB2312" w:cs="仿宋_GB2312" w:eastAsia="仿宋_GB2312"/>
        </w:rPr>
        <w:t>联系电话：029-81104728</w:t>
      </w:r>
    </w:p>
    <w:p>
      <w:pPr>
        <w:pStyle w:val="null3"/>
      </w:pPr>
      <w:r>
        <w:rPr>
          <w:rFonts w:ascii="仿宋_GB2312" w:hAnsi="仿宋_GB2312" w:cs="仿宋_GB2312" w:eastAsia="仿宋_GB2312"/>
        </w:rPr>
        <w:t>地址：西安市雁塔区西沣路1159号万科汇智中心2303室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1,799,283.13</w:t>
      </w:r>
    </w:p>
    <w:p>
      <w:pPr>
        <w:pStyle w:val="null3"/>
      </w:pPr>
      <w:r>
        <w:rPr>
          <w:rFonts w:ascii="仿宋_GB2312" w:hAnsi="仿宋_GB2312" w:cs="仿宋_GB2312" w:eastAsia="仿宋_GB2312"/>
        </w:rPr>
        <w:t>采购包最高限价（元）: 1,799,283.13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公厕维修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1,799,283.13</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标的名称：公厕维修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spacing w:before="105" w:after="105"/>
              <w:jc w:val="left"/>
            </w:pPr>
            <w:r>
              <w:rPr>
                <w:rFonts w:ascii="仿宋_GB2312" w:hAnsi="仿宋_GB2312" w:cs="仿宋_GB2312" w:eastAsia="仿宋_GB2312"/>
                <w:sz w:val="21"/>
              </w:rPr>
              <w:t>1.</w:t>
            </w:r>
            <w:r>
              <w:rPr>
                <w:rFonts w:ascii="仿宋_GB2312" w:hAnsi="仿宋_GB2312" w:cs="仿宋_GB2312" w:eastAsia="仿宋_GB2312"/>
                <w:sz w:val="21"/>
              </w:rPr>
              <w:t>工程名称：</w:t>
            </w:r>
            <w:r>
              <w:rPr>
                <w:rFonts w:ascii="仿宋_GB2312" w:hAnsi="仿宋_GB2312" w:cs="仿宋_GB2312" w:eastAsia="仿宋_GB2312"/>
                <w:sz w:val="21"/>
              </w:rPr>
              <w:t>2025</w:t>
            </w:r>
            <w:r>
              <w:rPr>
                <w:rFonts w:ascii="仿宋_GB2312" w:hAnsi="仿宋_GB2312" w:cs="仿宋_GB2312" w:eastAsia="仿宋_GB2312"/>
                <w:sz w:val="21"/>
              </w:rPr>
              <w:t>年农村生活垃圾治理项目（</w:t>
            </w:r>
            <w:r>
              <w:rPr>
                <w:rFonts w:ascii="仿宋_GB2312" w:hAnsi="仿宋_GB2312" w:cs="仿宋_GB2312" w:eastAsia="仿宋_GB2312"/>
                <w:sz w:val="21"/>
              </w:rPr>
              <w:t>2025</w:t>
            </w:r>
            <w:r>
              <w:rPr>
                <w:rFonts w:ascii="仿宋_GB2312" w:hAnsi="仿宋_GB2312" w:cs="仿宋_GB2312" w:eastAsia="仿宋_GB2312"/>
                <w:sz w:val="21"/>
              </w:rPr>
              <w:t>年环卫基础设施提升）</w:t>
            </w:r>
          </w:p>
          <w:p>
            <w:pPr>
              <w:pStyle w:val="null3"/>
              <w:spacing w:before="105" w:after="105"/>
              <w:jc w:val="left"/>
            </w:pPr>
            <w:r>
              <w:rPr>
                <w:rFonts w:ascii="仿宋_GB2312" w:hAnsi="仿宋_GB2312" w:cs="仿宋_GB2312" w:eastAsia="仿宋_GB2312"/>
                <w:sz w:val="21"/>
              </w:rPr>
              <w:t>2.</w:t>
            </w:r>
            <w:r>
              <w:rPr>
                <w:rFonts w:ascii="仿宋_GB2312" w:hAnsi="仿宋_GB2312" w:cs="仿宋_GB2312" w:eastAsia="仿宋_GB2312"/>
                <w:sz w:val="21"/>
              </w:rPr>
              <w:t>工程地点：西安市蓝田县</w:t>
            </w:r>
          </w:p>
          <w:p>
            <w:pPr>
              <w:pStyle w:val="null3"/>
              <w:spacing w:before="105" w:after="105"/>
              <w:jc w:val="left"/>
            </w:pPr>
            <w:r>
              <w:rPr>
                <w:rFonts w:ascii="仿宋_GB2312" w:hAnsi="仿宋_GB2312" w:cs="仿宋_GB2312" w:eastAsia="仿宋_GB2312"/>
                <w:sz w:val="21"/>
              </w:rPr>
              <w:t>3.</w:t>
            </w:r>
            <w:r>
              <w:rPr>
                <w:rFonts w:ascii="仿宋_GB2312" w:hAnsi="仿宋_GB2312" w:cs="仿宋_GB2312" w:eastAsia="仿宋_GB2312"/>
                <w:sz w:val="21"/>
              </w:rPr>
              <w:t>计划工期：自开工后</w:t>
            </w:r>
            <w:r>
              <w:rPr>
                <w:rFonts w:ascii="仿宋_GB2312" w:hAnsi="仿宋_GB2312" w:cs="仿宋_GB2312" w:eastAsia="仿宋_GB2312"/>
                <w:sz w:val="21"/>
              </w:rPr>
              <w:t>180</w:t>
            </w:r>
            <w:r>
              <w:rPr>
                <w:rFonts w:ascii="仿宋_GB2312" w:hAnsi="仿宋_GB2312" w:cs="仿宋_GB2312" w:eastAsia="仿宋_GB2312"/>
                <w:sz w:val="21"/>
              </w:rPr>
              <w:t>日历天</w:t>
            </w:r>
          </w:p>
          <w:p>
            <w:pPr>
              <w:pStyle w:val="null3"/>
              <w:spacing w:before="105" w:after="105"/>
              <w:jc w:val="left"/>
            </w:pPr>
            <w:r>
              <w:rPr>
                <w:rFonts w:ascii="仿宋_GB2312" w:hAnsi="仿宋_GB2312" w:cs="仿宋_GB2312" w:eastAsia="仿宋_GB2312"/>
                <w:sz w:val="21"/>
              </w:rPr>
              <w:t>4.</w:t>
            </w:r>
            <w:r>
              <w:rPr>
                <w:rFonts w:ascii="仿宋_GB2312" w:hAnsi="仿宋_GB2312" w:cs="仿宋_GB2312" w:eastAsia="仿宋_GB2312"/>
                <w:sz w:val="21"/>
              </w:rPr>
              <w:t>工程内容包括：本项目位于西安市蓝田县，为现有建筑维护与改造工程，</w:t>
            </w:r>
            <w:r>
              <w:rPr>
                <w:rFonts w:ascii="仿宋_GB2312" w:hAnsi="仿宋_GB2312" w:cs="仿宋_GB2312" w:eastAsia="仿宋_GB2312"/>
                <w:sz w:val="21"/>
              </w:rPr>
              <w:t>15</w:t>
            </w:r>
            <w:r>
              <w:rPr>
                <w:rFonts w:ascii="仿宋_GB2312" w:hAnsi="仿宋_GB2312" w:cs="仿宋_GB2312" w:eastAsia="仿宋_GB2312"/>
                <w:sz w:val="21"/>
              </w:rPr>
              <w:t>座现有卫生间的维修与加固，包括屋面维修更换、外墙外立面维修更换、房间内装修维修更换</w:t>
            </w:r>
            <w:r>
              <w:rPr>
                <w:rFonts w:ascii="仿宋_GB2312" w:hAnsi="仿宋_GB2312" w:cs="仿宋_GB2312" w:eastAsia="仿宋_GB2312"/>
                <w:sz w:val="21"/>
              </w:rPr>
              <w:t>,</w:t>
            </w:r>
            <w:r>
              <w:rPr>
                <w:rFonts w:ascii="仿宋_GB2312" w:hAnsi="仿宋_GB2312" w:cs="仿宋_GB2312" w:eastAsia="仿宋_GB2312"/>
                <w:sz w:val="21"/>
              </w:rPr>
              <w:t>以及卫生间便器、盥洗池、墩布池卫生器具的维修与更换</w:t>
            </w:r>
            <w:r>
              <w:rPr>
                <w:rFonts w:ascii="仿宋_GB2312" w:hAnsi="仿宋_GB2312" w:cs="仿宋_GB2312" w:eastAsia="仿宋_GB2312"/>
                <w:sz w:val="21"/>
              </w:rPr>
              <w:t>,</w:t>
            </w:r>
            <w:r>
              <w:rPr>
                <w:rFonts w:ascii="仿宋_GB2312" w:hAnsi="仿宋_GB2312" w:cs="仿宋_GB2312" w:eastAsia="仿宋_GB2312"/>
                <w:sz w:val="21"/>
              </w:rPr>
              <w:t>外门窗的维修与更换</w:t>
            </w:r>
            <w:r>
              <w:rPr>
                <w:rFonts w:ascii="仿宋_GB2312" w:hAnsi="仿宋_GB2312" w:cs="仿宋_GB2312" w:eastAsia="仿宋_GB2312"/>
                <w:sz w:val="21"/>
              </w:rPr>
              <w:t>,</w:t>
            </w:r>
            <w:r>
              <w:rPr>
                <w:rFonts w:ascii="仿宋_GB2312" w:hAnsi="仿宋_GB2312" w:cs="仿宋_GB2312" w:eastAsia="仿宋_GB2312"/>
                <w:sz w:val="21"/>
              </w:rPr>
              <w:t>以及结构墙体的维修预加固工程等。具体内容详见电子招标书。</w:t>
            </w:r>
          </w:p>
          <w:p>
            <w:pPr>
              <w:pStyle w:val="null3"/>
              <w:spacing w:before="105" w:after="105"/>
              <w:jc w:val="left"/>
            </w:pPr>
            <w:r>
              <w:rPr>
                <w:rFonts w:ascii="仿宋_GB2312" w:hAnsi="仿宋_GB2312" w:cs="仿宋_GB2312" w:eastAsia="仿宋_GB2312"/>
                <w:sz w:val="21"/>
              </w:rPr>
              <w:t>5.</w:t>
            </w:r>
            <w:r>
              <w:rPr>
                <w:rFonts w:ascii="仿宋_GB2312" w:hAnsi="仿宋_GB2312" w:cs="仿宋_GB2312" w:eastAsia="仿宋_GB2312"/>
                <w:sz w:val="21"/>
              </w:rPr>
              <w:t>工程质量：符合国家现行有关施工质量验收规范合格标准。</w:t>
            </w:r>
          </w:p>
          <w:p>
            <w:pPr>
              <w:pStyle w:val="null3"/>
              <w:spacing w:before="105" w:after="105"/>
              <w:jc w:val="left"/>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符合国家现行有关施工质量验收规范合格标准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一、工程概况 本项目位于西安市蓝田县，为现有建筑维护与改造工程，15座现有卫生间的维修与加固，包括屋面维修更换、外墙外立面维修更换、房间内装修维修更换,以及卫生间便器、盥洗池、墩布池卫生器具的维修与更换,外门窗的维修与更换,以及结构墙体的维修预加固工程等。 建设单位为西安市蓝田县城市管理和综合执法局，设计单位为中舜国际工程设计有限公司。 二、编制依据 1.中舜国际工程设计有限公司设计的《2025年蓝田县环卫基础设施提升项目》施工图纸； 2．陕西省工程建设标准《建设工程工程量清单计价标准》DB61/T 5126-2025； 3.陕西省工程建设标准《房屋建筑与装饰工程工程量计算标准》DB61/T 5129-2025、陕西省工程建设标准《通用安装工程工程量计算标准》DB61/T 5130-2025； 4.与建设工程有关的标准、规范及技术资料； 5.施工图中采用的相关施工规范及验收规范。 三、编制软件 1.本工程文件采用“广联达《GCCP7.5000.23.2》”编制。 四、编制说明 1.本工程采用预拌混凝土； 2.本工程土方不考虑外购，垃圾外运及余方弃置就地处理。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具有独立承担民事责任的能力：提供合格有效的法人或者其他组织的营业执照、事业单位法人证等证明文件或自然人的身份证明；2、供应商具有良好的商业信誉和健全的财务会计制度：提供2024年度经审计的财务会计报告（至少包括审计报告、资产负债表和利润表，成立时间至提交投标文件截止时间不足一年的可提供成立后任意时段的资产负债表）或提交投标文件截止时间前三个月内其基本账户开户银行出具的资信证明（附基本存款账户信息），以上形式的证明资料提供任何一种即可；3、税收缴纳证明：提供磋商截止日前一年内已缴纳的至少一个月的纳税证明或完税证明，依法免税的单位应提供相关证明材料；4、社会保障资金缴纳证明：提供磋商截止日前一年内已缴存的至少一个月的社会保障资金缴存单据或社保机构开具的社会保险参保缴费情况证明，依法不需要缴纳社会保障资金的单位应提供相关证明材料；5、提供参加政府采购活动前三年内在经营活动中没有重大违法记录的书面声明；6、提供具有履行本合同所必需的设备和专业技术能力的承诺。</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定代表人身份证明、法人身份证原件及复印件；法定代表人授权代表参加磋商的，须出具法定代表人授权书、授权代表身份证原件及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投标人须具备建设行政主管部门颁发的建筑工程施工总承包三级(含三级）以上资质并具备有效的安全生产许可证；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拟派项目经理</w:t>
            </w:r>
          </w:p>
        </w:tc>
        <w:tc>
          <w:tcPr>
            <w:tcW w:type="dxa" w:w="3322"/>
          </w:tcPr>
          <w:p>
            <w:pPr>
              <w:pStyle w:val="null3"/>
            </w:pPr>
            <w:r>
              <w:rPr>
                <w:rFonts w:ascii="仿宋_GB2312" w:hAnsi="仿宋_GB2312" w:cs="仿宋_GB2312" w:eastAsia="仿宋_GB2312"/>
              </w:rPr>
              <w:t>拟派项目经理须具备建筑工程专业二级（含二级）以上注册建造师证书及有效的安全生产考核合格证书（建安B证），在本单位注册且无在建工程（提供无在建项目承诺书）；</w:t>
            </w:r>
          </w:p>
        </w:tc>
        <w:tc>
          <w:tcPr>
            <w:tcW w:type="dxa" w:w="1661"/>
          </w:tcPr>
          <w:p>
            <w:pPr>
              <w:pStyle w:val="null3"/>
            </w:pPr>
            <w:r>
              <w:rPr>
                <w:rFonts w:ascii="仿宋_GB2312" w:hAnsi="仿宋_GB2312" w:cs="仿宋_GB2312" w:eastAsia="仿宋_GB2312"/>
              </w:rPr>
              <w:t>项目管理机构组成表 供应商应提交的相关资格证明材料 主要人员简历表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信誉记录</w:t>
            </w:r>
          </w:p>
        </w:tc>
        <w:tc>
          <w:tcPr>
            <w:tcW w:type="dxa" w:w="3322"/>
          </w:tcPr>
          <w:p>
            <w:pPr>
              <w:pStyle w:val="null3"/>
            </w:pPr>
            <w:r>
              <w:rPr>
                <w:rFonts w:ascii="仿宋_GB2312" w:hAnsi="仿宋_GB2312" w:cs="仿宋_GB2312" w:eastAsia="仿宋_GB2312"/>
              </w:rPr>
              <w:t>供应商不得为“信用中国”网站（www.creditchina.gov.cn）中被列入“重大税收违法失信主体 ”的供应商,不得为“中国执行信息公开网 ”网站（zxgk.court.gov.cn/））中被列入“失信被执行人 ”的供应商；不得为中国政府采购网（www.ccgp.gov.cn）政府采购“严重违法失信行为记录名单 ”中被财政部门禁止参加政府采购活 动的供应商（信用记录在资格审查阶段通过互联网或者相关系统查询，不强制要求供应商提供查询截图，以开标当日网上查询结果为评审依据）；</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 技术服务合同条款及其他商务要求应答表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关键内容符合磋商文件要求，不得漏盖漏签</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响应磋商文件要求</w:t>
            </w:r>
          </w:p>
        </w:tc>
        <w:tc>
          <w:tcPr>
            <w:tcW w:type="dxa" w:w="1661"/>
          </w:tcPr>
          <w:p>
            <w:pPr>
              <w:pStyle w:val="null3"/>
            </w:pPr>
            <w:r>
              <w:rPr>
                <w:rFonts w:ascii="仿宋_GB2312" w:hAnsi="仿宋_GB2312" w:cs="仿宋_GB2312" w:eastAsia="仿宋_GB2312"/>
              </w:rPr>
              <w:t>响应文件封面 报价函 技术服务合同条款及其他商务要求应答表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首次报价唯一且不得高于预算金额（最高限价）</w:t>
            </w:r>
          </w:p>
        </w:tc>
        <w:tc>
          <w:tcPr>
            <w:tcW w:type="dxa" w:w="1661"/>
          </w:tcPr>
          <w:p>
            <w:pPr>
              <w:pStyle w:val="null3"/>
            </w:pPr>
            <w:r>
              <w:rPr>
                <w:rFonts w:ascii="仿宋_GB2312" w:hAnsi="仿宋_GB2312" w:cs="仿宋_GB2312" w:eastAsia="仿宋_GB2312"/>
              </w:rPr>
              <w:t>响应文件封面 已标价工程量清单 报价函 技术服务合同条款及其他商务要求应答表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响应磋商文件要求</w:t>
            </w:r>
          </w:p>
        </w:tc>
        <w:tc>
          <w:tcPr>
            <w:tcW w:type="dxa" w:w="1661"/>
          </w:tcPr>
          <w:p>
            <w:pPr>
              <w:pStyle w:val="null3"/>
            </w:pPr>
            <w:r>
              <w:rPr>
                <w:rFonts w:ascii="仿宋_GB2312" w:hAnsi="仿宋_GB2312" w:cs="仿宋_GB2312" w:eastAsia="仿宋_GB2312"/>
              </w:rPr>
              <w:t>响应文件封面 技术服务合同条款及其他商务要求应答表 供应商应提交的相关资格证明材料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质量要求</w:t>
            </w:r>
          </w:p>
        </w:tc>
        <w:tc>
          <w:tcPr>
            <w:tcW w:type="dxa" w:w="3322"/>
          </w:tcPr>
          <w:p>
            <w:pPr>
              <w:pStyle w:val="null3"/>
            </w:pPr>
            <w:r>
              <w:rPr>
                <w:rFonts w:ascii="仿宋_GB2312" w:hAnsi="仿宋_GB2312" w:cs="仿宋_GB2312" w:eastAsia="仿宋_GB2312"/>
              </w:rPr>
              <w:t>响应磋商文件要求</w:t>
            </w:r>
          </w:p>
        </w:tc>
        <w:tc>
          <w:tcPr>
            <w:tcW w:type="dxa" w:w="1661"/>
          </w:tcPr>
          <w:p>
            <w:pPr>
              <w:pStyle w:val="null3"/>
            </w:pPr>
            <w:r>
              <w:rPr>
                <w:rFonts w:ascii="仿宋_GB2312" w:hAnsi="仿宋_GB2312" w:cs="仿宋_GB2312" w:eastAsia="仿宋_GB2312"/>
              </w:rPr>
              <w:t>响应文件封面 已标价工程量清单 报价函 标的清单 技术服务合同条款及其他商务要求应答表 供应商应提交的相关资格证明材料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技术、服务、商务及其他要求响应</w:t>
            </w:r>
          </w:p>
        </w:tc>
        <w:tc>
          <w:tcPr>
            <w:tcW w:type="dxa" w:w="3322"/>
          </w:tcPr>
          <w:p>
            <w:pPr>
              <w:pStyle w:val="null3"/>
            </w:pPr>
            <w:r>
              <w:rPr>
                <w:rFonts w:ascii="仿宋_GB2312" w:hAnsi="仿宋_GB2312" w:cs="仿宋_GB2312" w:eastAsia="仿宋_GB2312"/>
              </w:rPr>
              <w:t>响应磋商文件中技术、服务、商务及其他要求内容，未含有采购人不能接受的附加条件</w:t>
            </w:r>
          </w:p>
        </w:tc>
        <w:tc>
          <w:tcPr>
            <w:tcW w:type="dxa" w:w="1661"/>
          </w:tcPr>
          <w:p>
            <w:pPr>
              <w:pStyle w:val="null3"/>
            </w:pPr>
            <w:r>
              <w:rPr>
                <w:rFonts w:ascii="仿宋_GB2312" w:hAnsi="仿宋_GB2312" w:cs="仿宋_GB2312" w:eastAsia="仿宋_GB2312"/>
              </w:rPr>
              <w:t>响应文件封面 已标价工程量清单 报价函 技术服务合同条款及其他商务要求应答表 供应商应提交的相关资格证明材料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1、评审内容：供应商提供针对本项目实际需求编制工程质量的技术组织措施，包括不限于 ①确保工程质量的技术组织措施，质量目标明确，②满足采购人要求；有质保体系，责任明确；③质保措施切合实际，满足质量目标要求。 以上内容每缺一项扣3.0分，扣完为止。 2、评审标准： ①完整性：内容详细全面，对评审内容中的各项要求有详细描述； ②可实施性：切合本项目实际情况，方案全面、施工步骤清晰、合理； ③针对性：方案能够紧扣项目实际情况，内容科学合理。 3、赋分标准：具体内容每完全满足一项评审标准得3.0分。 4、未提供不得分。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项目部组成人员</w:t>
            </w:r>
          </w:p>
        </w:tc>
        <w:tc>
          <w:tcPr>
            <w:tcW w:type="dxa" w:w="2492"/>
          </w:tcPr>
          <w:p>
            <w:pPr>
              <w:pStyle w:val="null3"/>
            </w:pPr>
            <w:r>
              <w:rPr>
                <w:rFonts w:ascii="仿宋_GB2312" w:hAnsi="仿宋_GB2312" w:cs="仿宋_GB2312" w:eastAsia="仿宋_GB2312"/>
              </w:rPr>
              <w:t>1、评审内容： 供应商提供针对本项目实际需求编制项目部组成人员，包括不限于①项目部组成人员配备计划②配备人员相关证书③人员岗位职责 以上内容每缺一项扣3.0分，扣完为止。 2、评审标准： ①完整性：内容详细全面，对评审内容中的各项要求有详细描述； ②可实施性：切合本项目实际情况，方案全面、施工步骤清晰、合理； ③针对性：方案能够紧扣项目实际情况，内容科学合理。 3、赋分标准：具体内容每完全满足一项评审标准得3.0分。 4、未提供不得分。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项目施工的重点、难点目标及施工环节</w:t>
            </w:r>
          </w:p>
        </w:tc>
        <w:tc>
          <w:tcPr>
            <w:tcW w:type="dxa" w:w="2492"/>
          </w:tcPr>
          <w:p>
            <w:pPr>
              <w:pStyle w:val="null3"/>
            </w:pPr>
            <w:r>
              <w:rPr>
                <w:rFonts w:ascii="仿宋_GB2312" w:hAnsi="仿宋_GB2312" w:cs="仿宋_GB2312" w:eastAsia="仿宋_GB2312"/>
              </w:rPr>
              <w:t>1、评审内容： 针对项目施工的重点、难点目标及施工环节，提出切实可行的专项施工方案，包括不限于①主要施工方法及难点分析②施工难点解决方案。 以上内容每缺一项扣3.0分，扣完为止。 2、评审标准： ①完整性：完整性：内容详细全面，对评审内容中的各项要求有详细描述； ②可实施性：切合本项目实际情况，方案全面、施工步骤清晰、合理； ③针对性：方案能够紧扣项目实际情况，内容科学合理。 3、赋分标准：具体内容每完全满足一项评审标准得3.0分 。4、未提供不得分。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1、评审内容： 供应商提供针对本项目实际需求编制确保安全生产的技术组织措施，包括不限于 ①确保安全生产的技术组织措施，安全目标明确，②有安保体系，责任明确；安保措施切合实际，满足安全目标要求及有应对突发事件的应急措施。 以上内容每缺一项扣3.0分，扣完为止。 2、评审标准： ①完整性：完整性：内容详细全面，对评审内容中的各项要求有详细描述； ②可实施性：切合本项目实际情况，方案全面、施工步骤清晰、合理； ③针对性：方案能够紧扣项目实际情况，内容科学合理。 3、赋分标准：具体内容每完全满足一项评审标准得3.0分。 4、未提供不得分。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确保文明施工、环保施工、防尘降噪等技术保证措施</w:t>
            </w:r>
          </w:p>
        </w:tc>
        <w:tc>
          <w:tcPr>
            <w:tcW w:type="dxa" w:w="2492"/>
          </w:tcPr>
          <w:p>
            <w:pPr>
              <w:pStyle w:val="null3"/>
            </w:pPr>
            <w:r>
              <w:rPr>
                <w:rFonts w:ascii="仿宋_GB2312" w:hAnsi="仿宋_GB2312" w:cs="仿宋_GB2312" w:eastAsia="仿宋_GB2312"/>
              </w:rPr>
              <w:t>1、评审内容： 供应商提供针对本项目实际需求编制确保文明施工、环保施工、防尘降噪等技术保证措施，包括不限于①确保文明、环保施工技术保证措施②防尘降噪等技术保证措施。 以上内容每缺一项扣3.0分，扣完为止。 2、评审标准： ①完整性：内容详细全面，对评审内容中的各项要求有详细描述； ②可实施性：切合本项目实际情况，方案全面、施工步骤清晰、合理； ③针对性：方案能够紧扣项目实际情况，内容科学合理。 3、赋分标准：具体内容每完全满足一项评审标准得3.0分。 4、未提供不得分。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1、评审内容： 供应商提供针对本项目实际需求编制确保工期的技术组织措施，包括不限于①施工进度计划图②工期保证措施及关键工序控制 以上内容每缺一项扣3.0分，扣完为止。 2、评审标准： ①完整性：完整性：内容详细全面，对评审内容中的各项要求有详细描述； ②可实施性：切合本项目实际情况，方案全面、施工步骤清晰、合理； ③针对性：方案能够紧扣项目实际情况，内容科学合理。 3、赋分标准：具体内容每完全满足一项评审标准得3.0分。 4、未提供不得分。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施工设备和材料投入计划</w:t>
            </w:r>
          </w:p>
        </w:tc>
        <w:tc>
          <w:tcPr>
            <w:tcW w:type="dxa" w:w="2492"/>
          </w:tcPr>
          <w:p>
            <w:pPr>
              <w:pStyle w:val="null3"/>
            </w:pPr>
            <w:r>
              <w:rPr>
                <w:rFonts w:ascii="仿宋_GB2312" w:hAnsi="仿宋_GB2312" w:cs="仿宋_GB2312" w:eastAsia="仿宋_GB2312"/>
              </w:rPr>
              <w:t>1、评审内容： 供应商提供针对本项目实际需求编制施工设备和材料投入计划，包括不限于 ①拟用于本项目的主要施工设备②材料投入计划，以上内容每缺一项扣3.0分，扣完为止。 2、评审标准： ①完整性：完整性：内容详细全面，对评审内容中的各项要求有详细描述； ②可实施性：切合本项目实际情况，方案全面、施工步骤清晰、合理； ③针对性：方案能够紧扣项目实际情况，内容科学合理。 3、赋分标准：具体内容每完全满足一项评审标准得3.0分 。4、未提供不得分。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新技术、新产品、新工艺、新材料应用</w:t>
            </w:r>
          </w:p>
        </w:tc>
        <w:tc>
          <w:tcPr>
            <w:tcW w:type="dxa" w:w="2492"/>
          </w:tcPr>
          <w:p>
            <w:pPr>
              <w:pStyle w:val="null3"/>
            </w:pPr>
            <w:r>
              <w:rPr>
                <w:rFonts w:ascii="仿宋_GB2312" w:hAnsi="仿宋_GB2312" w:cs="仿宋_GB2312" w:eastAsia="仿宋_GB2312"/>
              </w:rPr>
              <w:t>1、评审内容 供应商提供针对本项目实际需求编制新技术、新产品、新工艺、新材料应用 ，包括不限于①新材料②新技术和新工艺的应用情况 以上内容每缺一项扣3.0分，扣完为止。 2、评审标准： ①完整性：完整性：内容详细全面，对评审内容中的各项要求有详细描述； ②可实施性：切合本项目实际情况，方案全面、施工步骤清晰、合理； ③针对性：方案能够紧扣项目实际情况，内容科学合理。 3、赋分标准：具体内容每完全满足一项评审标准得3.0分。 4、未提供不得分。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保修服务措施及承诺</w:t>
            </w:r>
          </w:p>
        </w:tc>
        <w:tc>
          <w:tcPr>
            <w:tcW w:type="dxa" w:w="2492"/>
          </w:tcPr>
          <w:p>
            <w:pPr>
              <w:pStyle w:val="null3"/>
            </w:pPr>
            <w:r>
              <w:rPr>
                <w:rFonts w:ascii="仿宋_GB2312" w:hAnsi="仿宋_GB2312" w:cs="仿宋_GB2312" w:eastAsia="仿宋_GB2312"/>
              </w:rPr>
              <w:t>1、评审内容 供应商提供针对本项目实际需求编制保修服务措施及承诺，包括不限于①详细的保修服务措施②保修承诺 以上内容每缺一项扣3.0分，扣完为止。 2、评审标准： ①完整性：完整性：内容详细全面，对评审内容中的各项要求有详细描述； ②可实施性：切合本项目实际情况，方案全面、施工步骤清晰、合理； ③针对性：方案能够紧扣项目实际情况，内容科学合理。 3、赋分标准：具体内容每完全满足一项评审标准得3.0分。 4、未提供不得分。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具有2022年10月以后（附合同协议书或中标通知书等相关证明材料；以合同签订日期为准）至今同类项目业绩，每提供1个得5分，满分10分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满足磋商文件要求且投标价格最低的磋商报价为磋商基准价，其价格分为满分。其他供应商的价格分统一按照下列公式计算：磋商报价得分=（磋商基准价/最后磋商报价）×30%×100。 注：本项目专门面向中小企业采购，不享受优惠政策。</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详见附件：合同协议书2025年农村生活垃圾治理项目（2025年环卫基础设施提升）.docx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