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版本号：BNZB-20251024-00120251029001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蓝田县机关事务服务中心政府大院通信线路电缆落地项目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BNZB-20251024-001</w:t>
      </w:r>
      <w:r>
        <w:br/>
      </w:r>
      <w:r>
        <w:br/>
      </w:r>
      <w:r>
        <w:br/>
      </w:r>
    </w:p>
    <w:p>
      <w:pPr>
        <w:pStyle w:val="null3"/>
        <w:jc w:val="center"/>
        <w:outlineLvl w:val="2"/>
      </w:pPr>
      <w:r>
        <w:rPr>
          <w:rFonts w:ascii="仿宋_GB2312" w:hAnsi="仿宋_GB2312" w:cs="仿宋_GB2312" w:eastAsia="仿宋_GB2312"/>
          <w:sz w:val="28"/>
          <w:b/>
        </w:rPr>
        <w:t>蓝田县机关事务服务中心（本级）</w:t>
      </w:r>
    </w:p>
    <w:p>
      <w:pPr>
        <w:pStyle w:val="null3"/>
        <w:jc w:val="center"/>
        <w:outlineLvl w:val="2"/>
      </w:pPr>
      <w:r>
        <w:rPr>
          <w:rFonts w:ascii="仿宋_GB2312" w:hAnsi="仿宋_GB2312" w:cs="仿宋_GB2312" w:eastAsia="仿宋_GB2312"/>
          <w:sz w:val="28"/>
          <w:b/>
        </w:rPr>
        <w:t>陕西邦宁建设项目管理有限公司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陕西邦宁建设项目管理有限公司</w:t>
      </w:r>
      <w:r>
        <w:rPr>
          <w:rFonts w:ascii="仿宋_GB2312" w:hAnsi="仿宋_GB2312" w:cs="仿宋_GB2312" w:eastAsia="仿宋_GB2312"/>
        </w:rPr>
        <w:t>（以下简称“代理机构”）受</w:t>
      </w:r>
      <w:r>
        <w:rPr>
          <w:rFonts w:ascii="仿宋_GB2312" w:hAnsi="仿宋_GB2312" w:cs="仿宋_GB2312" w:eastAsia="仿宋_GB2312"/>
        </w:rPr>
        <w:t>蓝田县机关事务服务中心（本级）</w:t>
      </w:r>
      <w:r>
        <w:rPr>
          <w:rFonts w:ascii="仿宋_GB2312" w:hAnsi="仿宋_GB2312" w:cs="仿宋_GB2312" w:eastAsia="仿宋_GB2312"/>
        </w:rPr>
        <w:t>委托，拟对</w:t>
      </w:r>
      <w:r>
        <w:rPr>
          <w:rFonts w:ascii="仿宋_GB2312" w:hAnsi="仿宋_GB2312" w:cs="仿宋_GB2312" w:eastAsia="仿宋_GB2312"/>
        </w:rPr>
        <w:t>蓝田县机关事务服务中心政府大院通信线路电缆落地项目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BNZB-20251024-001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蓝田县机关事务服务中心政府大院通信线路电缆落地项目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建设主要内容是蓝田县机关事务服务中心政府大院通信线路电缆落地项目，为进一步筑牢政府大院基础设施安全底线，深化规范化管理效能，切实消除通信电缆架空敷设潜藏的安全隐患，提升大院环境整洁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采购包1（蓝田县机关事务服务中心政府大院通信线路电缆落地项目）：属于专门面向中小企业采购。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1、主体资格：法人或者其他组织提供营业执照等证明文件，自然人提供身份证件。</w:t>
      </w:r>
    </w:p>
    <w:p>
      <w:pPr>
        <w:pStyle w:val="null3"/>
      </w:pPr>
      <w:r>
        <w:rPr>
          <w:rFonts w:ascii="仿宋_GB2312" w:hAnsi="仿宋_GB2312" w:cs="仿宋_GB2312" w:eastAsia="仿宋_GB2312"/>
        </w:rPr>
        <w:t>2、企业资质：供应商须具有市政公用施工总承包三级及以上资质或建筑工程施工总承包叁级及以上资质及安全生产许可证。</w:t>
      </w:r>
    </w:p>
    <w:p>
      <w:pPr>
        <w:pStyle w:val="null3"/>
      </w:pPr>
      <w:r>
        <w:rPr>
          <w:rFonts w:ascii="仿宋_GB2312" w:hAnsi="仿宋_GB2312" w:cs="仿宋_GB2312" w:eastAsia="仿宋_GB2312"/>
        </w:rPr>
        <w:t>3、拟派项目负责人资质和专业要求：供应商拟派项目负责人在本单位注册具有市政专业二级建造师及以上资格或建筑工程专业二级及以上注册建造师证书及安全考核合格证,且无在建（无在建承诺格式自拟）。</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6、财务状况报告：供应商2023年或2024年经审计的财务报告（事业法人可提供部门决算报告）或基本户银行出具的资信证明或政府采购专业担保机构出具的投标担保函。</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任武召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15339069940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陕西邦宁建设项目管理有限公司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陕西省西安市未央区西安市未央区朱宏路南段66号西安福清商会大厦1106室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采购包1：453,288.84元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代理服务费收费标准：本项目采购代理服务费以成交价作为收费基数，参照计价格[2002]1980号、发改价格[2011]534号、发改办价格〔2003〕857号文件的规定标准收取。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蓝田县机关事务服务中心（本级）</w:t>
      </w:r>
      <w:r>
        <w:rPr>
          <w:rFonts w:ascii="仿宋_GB2312" w:hAnsi="仿宋_GB2312" w:cs="仿宋_GB2312" w:eastAsia="仿宋_GB2312"/>
        </w:rPr>
        <w:t>和</w:t>
      </w:r>
      <w:r>
        <w:rPr>
          <w:rFonts w:ascii="仿宋_GB2312" w:hAnsi="仿宋_GB2312" w:cs="仿宋_GB2312" w:eastAsia="仿宋_GB2312"/>
        </w:rPr>
        <w:t>陕西邦宁建设项目管理有限公司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蓝田县机关事务服务中心（本级）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陕西邦宁建设项目管理有限公司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陕西邦宁建设项目管理有限公司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一、达到国家及行业现行技术规范标准，符合国家及行业验收合格标准。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联系人：王璐</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地址：陕西省西安市未央区西安市未央区朱宏路南段66号西安福清商会大厦1106室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453,288.84</w:t>
      </w:r>
    </w:p>
    <w:p>
      <w:pPr>
        <w:pStyle w:val="null3"/>
      </w:pPr>
      <w:r>
        <w:rPr>
          <w:rFonts w:ascii="仿宋_GB2312" w:hAnsi="仿宋_GB2312" w:cs="仿宋_GB2312" w:eastAsia="仿宋_GB2312"/>
        </w:rPr>
        <w:t>采购包最高限价（元）: 436,103.92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蓝田县机关事务服务中心政府大院通信线路电缆落地项目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453,288.84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标的名称：蓝田县机关事务服务中心政府大院通信线路电缆落地项目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1、工程名称：</w:t>
            </w:r>
            <w:r>
              <w:rPr>
                <w:rFonts w:ascii="仿宋_GB2312" w:hAnsi="仿宋_GB2312" w:cs="仿宋_GB2312" w:eastAsia="仿宋_GB2312"/>
              </w:rPr>
              <w:t>蓝田县机关事务服务中心政府大院通信线路电缆落地项目</w:t>
            </w:r>
          </w:p>
          <w:p>
            <w:pPr>
              <w:pStyle w:val="null3"/>
            </w:pPr>
            <w:r>
              <w:rPr>
                <w:rFonts w:ascii="仿宋_GB2312" w:hAnsi="仿宋_GB2312" w:cs="仿宋_GB2312" w:eastAsia="仿宋_GB2312"/>
              </w:rPr>
              <w:t>2、工程内容：</w:t>
            </w:r>
            <w:r>
              <w:rPr>
                <w:rFonts w:ascii="仿宋_GB2312" w:hAnsi="仿宋_GB2312" w:cs="仿宋_GB2312" w:eastAsia="仿宋_GB2312"/>
              </w:rPr>
              <w:t>蓝田县机关事务服务中心政府大院通信线路电缆落地项目</w:t>
            </w:r>
            <w:r>
              <w:rPr>
                <w:rFonts w:ascii="仿宋_GB2312" w:hAnsi="仿宋_GB2312" w:cs="仿宋_GB2312" w:eastAsia="仿宋_GB2312"/>
              </w:rPr>
              <w:t>，具体详见工程量清单等。</w:t>
            </w:r>
            <w:r>
              <w:br/>
            </w:r>
            <w:r>
              <w:rPr>
                <w:rFonts w:ascii="仿宋_GB2312" w:hAnsi="仿宋_GB2312" w:cs="仿宋_GB2312" w:eastAsia="仿宋_GB2312"/>
              </w:rPr>
              <w:t>二、编制依据</w:t>
            </w:r>
            <w:r>
              <w:br/>
            </w:r>
            <w:r>
              <w:rPr>
                <w:rFonts w:ascii="仿宋_GB2312" w:hAnsi="仿宋_GB2312" w:cs="仿宋_GB2312" w:eastAsia="仿宋_GB2312"/>
              </w:rPr>
              <w:t>1、《陕西省建设工程工程量清单计价标准》（2025）、《陕西省建设工程费用规则》(2025)以及相关配套文件；</w:t>
            </w:r>
          </w:p>
          <w:p>
            <w:pPr>
              <w:pStyle w:val="null3"/>
            </w:pPr>
            <w:r>
              <w:rPr>
                <w:rFonts w:ascii="仿宋_GB2312" w:hAnsi="仿宋_GB2312" w:cs="仿宋_GB2312" w:eastAsia="仿宋_GB2312"/>
              </w:rPr>
              <w:t>2、本工程施工图及招标工程量清单。</w:t>
            </w:r>
          </w:p>
          <w:p>
            <w:pPr>
              <w:pStyle w:val="null3"/>
            </w:pPr>
            <w:r>
              <w:rPr>
                <w:rFonts w:ascii="仿宋_GB2312" w:hAnsi="仿宋_GB2312" w:cs="仿宋_GB2312" w:eastAsia="仿宋_GB2312"/>
              </w:rPr>
              <w:t>3、与建设工程项目有关的标准（包括标准图集）、规范、技术资料。</w:t>
            </w:r>
          </w:p>
          <w:p>
            <w:pPr>
              <w:pStyle w:val="null3"/>
            </w:pPr>
            <w:r>
              <w:rPr>
                <w:rFonts w:ascii="仿宋_GB2312" w:hAnsi="仿宋_GB2312" w:cs="仿宋_GB2312" w:eastAsia="仿宋_GB2312"/>
              </w:rPr>
              <w:t>4、招标文件以及补充通知、答疑纪要。</w:t>
            </w:r>
          </w:p>
          <w:p>
            <w:pPr>
              <w:pStyle w:val="null3"/>
            </w:pPr>
            <w:r>
              <w:rPr>
                <w:rFonts w:ascii="仿宋_GB2312" w:hAnsi="仿宋_GB2312" w:cs="仿宋_GB2312" w:eastAsia="仿宋_GB2312"/>
              </w:rPr>
              <w:t>5、常规的施工方案。</w:t>
            </w:r>
          </w:p>
          <w:p>
            <w:pPr>
              <w:pStyle w:val="null3"/>
            </w:pPr>
            <w:r>
              <w:rPr>
                <w:rFonts w:ascii="仿宋_GB2312" w:hAnsi="仿宋_GB2312" w:cs="仿宋_GB2312" w:eastAsia="仿宋_GB2312"/>
              </w:rPr>
              <w:t>6、其他相关文件、资料。</w:t>
            </w:r>
          </w:p>
          <w:p>
            <w:pPr>
              <w:pStyle w:val="null3"/>
            </w:pPr>
            <w:r>
              <w:rPr>
                <w:rFonts w:ascii="仿宋_GB2312" w:hAnsi="仿宋_GB2312" w:cs="仿宋_GB2312" w:eastAsia="仿宋_GB2312"/>
              </w:rPr>
              <w:t>三、需要说明的其他问题</w:t>
            </w:r>
          </w:p>
          <w:p>
            <w:pPr>
              <w:pStyle w:val="null3"/>
            </w:pPr>
            <w:r>
              <w:rPr>
                <w:rFonts w:ascii="仿宋_GB2312" w:hAnsi="仿宋_GB2312" w:cs="仿宋_GB2312" w:eastAsia="仿宋_GB2312"/>
              </w:rPr>
              <w:t>1、投标人在报价时应按《陕西省建设工程费用规则》(2025)规定的统一格式。投标方应在投标同时提供上述表格的PDF电子文档及相应计价软件版本。</w:t>
            </w:r>
          </w:p>
          <w:p>
            <w:pPr>
              <w:pStyle w:val="null3"/>
            </w:pPr>
            <w:r>
              <w:rPr>
                <w:rFonts w:ascii="仿宋_GB2312" w:hAnsi="仿宋_GB2312" w:cs="仿宋_GB2312" w:eastAsia="仿宋_GB2312"/>
              </w:rPr>
              <w:t>2、工程量清单综合单价应包括所需人工费、材料费、施工机具使用费、企业管理费、利润以及一定范围内的风险费用等。</w:t>
            </w:r>
          </w:p>
          <w:p>
            <w:pPr>
              <w:pStyle w:val="null3"/>
            </w:pPr>
            <w:r>
              <w:rPr>
                <w:rFonts w:ascii="仿宋_GB2312" w:hAnsi="仿宋_GB2312" w:cs="仿宋_GB2312" w:eastAsia="仿宋_GB2312"/>
              </w:rPr>
              <w:t>3、本工程税率按增值税计取，增值税税率为9%。</w:t>
            </w:r>
          </w:p>
          <w:p>
            <w:pPr>
              <w:pStyle w:val="null3"/>
            </w:pPr>
            <w:r>
              <w:rPr>
                <w:rFonts w:ascii="仿宋_GB2312" w:hAnsi="仿宋_GB2312" w:cs="仿宋_GB2312" w:eastAsia="仿宋_GB2312"/>
              </w:rPr>
              <w:t>4、本次招标中安全文明施工费、税金为不可竞争性费用，须按招标人提供的工程量清单中给定的费率报价。</w:t>
            </w:r>
          </w:p>
          <w:p>
            <w:pPr>
              <w:pStyle w:val="null3"/>
            </w:pPr>
            <w:r>
              <w:rPr>
                <w:rFonts w:ascii="仿宋_GB2312" w:hAnsi="仿宋_GB2312" w:cs="仿宋_GB2312" w:eastAsia="仿宋_GB2312"/>
              </w:rPr>
              <w:t>5、投标人应按本项目实施内容结合施工现场实际情况，在措施项目中填报施工本工程所需措施及发生的相关措施费，未填报的措施费视为已分摊在各项目的报价中。</w:t>
            </w:r>
          </w:p>
          <w:p>
            <w:pPr>
              <w:pStyle w:val="null3"/>
            </w:pPr>
            <w:r>
              <w:rPr>
                <w:rFonts w:ascii="仿宋_GB2312" w:hAnsi="仿宋_GB2312" w:cs="仿宋_GB2312" w:eastAsia="仿宋_GB2312"/>
              </w:rPr>
              <w:t>6、所有需二次深化设计的单位工程或分部分项工程，需投标单位在投标报价时综合考虑二次设计费。</w:t>
            </w:r>
          </w:p>
          <w:p>
            <w:pPr>
              <w:pStyle w:val="null3"/>
            </w:pPr>
            <w:r>
              <w:rPr>
                <w:rFonts w:ascii="仿宋_GB2312" w:hAnsi="仿宋_GB2312" w:cs="仿宋_GB2312" w:eastAsia="仿宋_GB2312"/>
              </w:rPr>
              <w:t>7、本项目混凝土采用商品混凝土时，投标报价时综合单价中包括但不限于混凝土的购置、运输、泵送、浇捣、养护等费用。混凝土浇筑方式由投标单位根据现场实际及设计和规范要求综合确定，并在报价中综合考虑。</w:t>
            </w:r>
          </w:p>
          <w:p>
            <w:pPr>
              <w:pStyle w:val="null3"/>
            </w:pPr>
            <w:r>
              <w:rPr>
                <w:rFonts w:ascii="仿宋_GB2312" w:hAnsi="仿宋_GB2312" w:cs="仿宋_GB2312" w:eastAsia="仿宋_GB2312"/>
              </w:rPr>
              <w:t>8、工程量清单计价软件使用广联达云计价平台GCCP7.5000.23.1编制。</w:t>
            </w:r>
          </w:p>
          <w:p>
            <w:pPr>
              <w:pStyle w:val="null3"/>
            </w:pPr>
            <w:r>
              <w:rPr>
                <w:rFonts w:ascii="仿宋_GB2312" w:hAnsi="仿宋_GB2312" w:cs="仿宋_GB2312" w:eastAsia="仿宋_GB2312"/>
              </w:rPr>
              <w:t>四、工期：合同签订后</w:t>
            </w:r>
            <w:r>
              <w:rPr>
                <w:rFonts w:ascii="仿宋_GB2312" w:hAnsi="仿宋_GB2312" w:cs="仿宋_GB2312" w:eastAsia="仿宋_GB2312"/>
              </w:rPr>
              <w:t>20日历天</w:t>
            </w:r>
            <w:r>
              <w:rPr>
                <w:rFonts w:ascii="仿宋_GB2312" w:hAnsi="仿宋_GB2312" w:cs="仿宋_GB2312" w:eastAsia="仿宋_GB2312"/>
              </w:rPr>
              <w:t>。</w:t>
            </w:r>
          </w:p>
          <w:p>
            <w:pPr>
              <w:pStyle w:val="null3"/>
              <w:jc w:val="both"/>
            </w:pPr>
            <w:r>
              <w:rPr>
                <w:rFonts w:ascii="仿宋_GB2312" w:hAnsi="仿宋_GB2312" w:cs="仿宋_GB2312" w:eastAsia="仿宋_GB2312"/>
                <w:sz w:val="21"/>
              </w:rPr>
              <w:t>五、工程质量符合国家现行有关施工质量验收规范要求</w:t>
            </w:r>
            <w:r>
              <w:rPr>
                <w:rFonts w:ascii="仿宋_GB2312" w:hAnsi="仿宋_GB2312" w:cs="仿宋_GB2312" w:eastAsia="仿宋_GB2312"/>
                <w:sz w:val="21"/>
              </w:rPr>
              <w:t>“合格”标准。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法人或者其他组织提供营业执照等证明文件，自然人提供身份证件。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供应商须具有市政公用施工总承包三级及以上资质或建筑工程施工总承包叁级及以上资质及安全生产许可证。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供应商拟派项目负责人在本单位注册具有市政专业二级建造师及以上资格或建筑工程专业二级及以上注册建造师证书及安全考核合格证,且无在建（无在建承诺格式自拟）。</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供应商2023年或2024年经审计的财务报告（事业法人可提供部门决算报告）或基本户银行出具的资信证明或政府采购专业担保机构出具的投标担保函。</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响应文件封面 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响应文件封面 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投标文件的有效期达到磋商文件要求。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响应文件封面 响应文件格式.docx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人员配备及项目组织机构</w:t>
            </w:r>
          </w:p>
        </w:tc>
        <w:tc>
          <w:tcPr>
            <w:tcW w:type="dxa" w:w="2492"/>
          </w:tcPr>
          <w:p>
            <w:pPr>
              <w:pStyle w:val="null3"/>
            </w:pPr>
            <w:r>
              <w:rPr>
                <w:rFonts w:ascii="仿宋_GB2312" w:hAnsi="仿宋_GB2312" w:cs="仿宋_GB2312" w:eastAsia="仿宋_GB2312"/>
              </w:rPr>
              <w:t>拟投入本项目管理人员（包括项目技术人等各专业人员及相关技工人员）配置齐全，结构合理，并具有相关工作经验；根据其合理可行性在（0-7分）范围内打分。（注：提供配备人员证书证件等证明材料，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机械设备配备</w:t>
            </w:r>
          </w:p>
        </w:tc>
        <w:tc>
          <w:tcPr>
            <w:tcW w:type="dxa" w:w="2492"/>
          </w:tcPr>
          <w:p>
            <w:pPr>
              <w:pStyle w:val="null3"/>
            </w:pPr>
            <w:r>
              <w:rPr>
                <w:rFonts w:ascii="仿宋_GB2312" w:hAnsi="仿宋_GB2312" w:cs="仿宋_GB2312" w:eastAsia="仿宋_GB2312"/>
              </w:rPr>
              <w:t>拟投入的机械设备的全面性、合理性和实用性进行赋，计0-5分；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施工部署及施工方案</w:t>
            </w:r>
          </w:p>
        </w:tc>
        <w:tc>
          <w:tcPr>
            <w:tcW w:type="dxa" w:w="2492"/>
          </w:tcPr>
          <w:p>
            <w:pPr>
              <w:pStyle w:val="null3"/>
            </w:pPr>
            <w:r>
              <w:rPr>
                <w:rFonts w:ascii="仿宋_GB2312" w:hAnsi="仿宋_GB2312" w:cs="仿宋_GB2312" w:eastAsia="仿宋_GB2312"/>
              </w:rPr>
              <w:t>评价供应商的施工部署与施工方案的针对性、机械设备配备：拟投入的机械设备的全面性、合理性和实用性进行赋，计0-5分；合理性与科学性，施工方案与项目特征的吻合程度及是否突出本项目的重点、难点，根据情况赋分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评价供应商的进度计划的针对性、合理性与科学性，施工计划与项目内容的吻合程度，根据情况赋分计0-5分；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针对该项目提供确保安全文明施工的技术组织措施，根据情况赋分计0-8分；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针对该项目提供确保工程质量的技术措施，根据情况赋分计0-10分；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针对该项目提供环境保护措施，根据情况赋分计0-6分；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针对该项目有相应的风险预测与防范措施以及应对突发事故的应急预案，根据情况赋分计0-6分；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针对该项目提出切实可行的合理化建议，根据情况赋分计0-5分。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提供2022年1月1日起至今类似工程业绩，每个提供一份得2分，满分10分。（时间以合同签订日期为准，提供合同复印件加盖公章）。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