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版本号：DCZX2025-ZCCS-GC114620251029001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2025年农村生活垃圾治理项目（2025年城乡公共卫生间提升）</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DCZX2025-ZCCS-GC1146</w:t>
      </w:r>
      <w:r>
        <w:br/>
      </w:r>
      <w:r>
        <w:br/>
      </w:r>
      <w:r>
        <w:br/>
      </w:r>
    </w:p>
    <w:p>
      <w:pPr>
        <w:pStyle w:val="null3"/>
        <w:jc w:val="center"/>
        <w:outlineLvl w:val="2"/>
      </w:pPr>
      <w:r>
        <w:rPr>
          <w:rFonts w:ascii="仿宋_GB2312" w:hAnsi="仿宋_GB2312" w:cs="仿宋_GB2312" w:eastAsia="仿宋_GB2312"/>
          <w:sz w:val="28"/>
          <w:b/>
        </w:rPr>
        <w:t>西安市蓝田县城市管理和综合执法局局（本级）</w:t>
      </w:r>
    </w:p>
    <w:p>
      <w:pPr>
        <w:pStyle w:val="null3"/>
        <w:jc w:val="center"/>
        <w:outlineLvl w:val="2"/>
      </w:pPr>
      <w:r>
        <w:rPr>
          <w:rFonts w:ascii="仿宋_GB2312" w:hAnsi="仿宋_GB2312" w:cs="仿宋_GB2312" w:eastAsia="仿宋_GB2312"/>
          <w:sz w:val="28"/>
          <w:b/>
        </w:rPr>
        <w:t>陕西鼎成项目管理咨询有限公司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陕西鼎成项目管理咨询有限公司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西安市蓝田县城市管理和综合执法局局（本级）</w:t>
      </w:r>
      <w:r>
        <w:rPr>
          <w:rFonts w:ascii="仿宋_GB2312" w:hAnsi="仿宋_GB2312" w:cs="仿宋_GB2312" w:eastAsia="仿宋_GB2312"/>
        </w:rPr>
        <w:t>委托，拟对</w:t>
      </w:r>
      <w:r>
        <w:rPr>
          <w:rFonts w:ascii="仿宋_GB2312" w:hAnsi="仿宋_GB2312" w:cs="仿宋_GB2312" w:eastAsia="仿宋_GB2312"/>
        </w:rPr>
        <w:t>2025年农村生活垃圾治理项目（2025年城乡公共卫生间提升）</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DCZX2025-ZCCS-GC1146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2025年农村生活垃圾治理项目（2025年城乡公共卫生间提升）</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改造提升城乡公共卫生间 10 座，每座建筑面积76.27平方米，包含设计图纸范围内所有建筑、结构、安装等内容。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采购包1（2025年农村生活垃圾治理项目（2025年城乡公共卫生间提升））：属于专门面向中小企业采购。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1、法定代表人授权书：法定代表人授权书（法定代表人直接参加投标，须提供法定代表人身份证明）；</w:t>
      </w:r>
    </w:p>
    <w:p>
      <w:pPr>
        <w:pStyle w:val="null3"/>
      </w:pPr>
      <w:r>
        <w:rPr>
          <w:rFonts w:ascii="仿宋_GB2312" w:hAnsi="仿宋_GB2312" w:cs="仿宋_GB2312" w:eastAsia="仿宋_GB2312"/>
        </w:rPr>
        <w:t>2、企业资质：投标供应商须具备行业主管部门颁发的建筑工程施工总承包三级及以上资质并具有有效的安全生产许可证；</w:t>
      </w:r>
    </w:p>
    <w:p>
      <w:pPr>
        <w:pStyle w:val="null3"/>
      </w:pPr>
      <w:r>
        <w:rPr>
          <w:rFonts w:ascii="仿宋_GB2312" w:hAnsi="仿宋_GB2312" w:cs="仿宋_GB2312" w:eastAsia="仿宋_GB2312"/>
        </w:rPr>
        <w:t>3、项目经理资质：投标供应商拟派项目经理须具备行业主管部门颁发的建筑工程专业二级及以上建造师资质及有效的安全生产考核合格证书（建安B证），在本单位注册且无在建工程（提供承诺）；</w:t>
      </w:r>
    </w:p>
    <w:p>
      <w:pPr>
        <w:pStyle w:val="null3"/>
      </w:pPr>
      <w:r>
        <w:rPr>
          <w:rFonts w:ascii="仿宋_GB2312" w:hAnsi="仿宋_GB2312" w:cs="仿宋_GB2312" w:eastAsia="仿宋_GB2312"/>
        </w:rPr>
        <w:t>4、投标供应商基本信息及项目经理基本信息：投标供应商基本信息及项目经理基本信息应在“陕西建设网（http://js.shaanxi.gov.cn/ ）或陕西省建筑市场监管与诚信信息发布平台”可查询；</w:t>
      </w:r>
    </w:p>
    <w:p>
      <w:pPr>
        <w:pStyle w:val="null3"/>
      </w:pPr>
      <w:r>
        <w:rPr>
          <w:rFonts w:ascii="仿宋_GB2312" w:hAnsi="仿宋_GB2312" w:cs="仿宋_GB2312" w:eastAsia="仿宋_GB2312"/>
        </w:rPr>
        <w:t>5、信用信息：投标供应商不得为“信用中国”网站（www.creditchina.gov.cn）中列入失信被执行人和重大税收违法案件当事人名单的投标供应商，不得为中国政府采购网（www.ccgp.gov.cn）政府采购严重违法失信行为记录名单中被财政部门禁止参加政府采购活动的投标供应商；</w:t>
      </w:r>
    </w:p>
    <w:p>
      <w:pPr>
        <w:pStyle w:val="null3"/>
      </w:pPr>
      <w:r>
        <w:rPr>
          <w:rFonts w:ascii="仿宋_GB2312" w:hAnsi="仿宋_GB2312" w:cs="仿宋_GB2312" w:eastAsia="仿宋_GB2312"/>
        </w:rPr>
        <w:t>6、承诺：投标供应商不得在各级诚信信息平台被列为投标受限制的行为人（提供承诺）；</w:t>
      </w:r>
    </w:p>
    <w:p>
      <w:pPr>
        <w:pStyle w:val="null3"/>
      </w:pPr>
      <w:r>
        <w:rPr>
          <w:rFonts w:ascii="仿宋_GB2312" w:hAnsi="仿宋_GB2312" w:cs="仿宋_GB2312" w:eastAsia="仿宋_GB2312"/>
        </w:rPr>
        <w:t>7、中小企业声明函/残疾人福利企业/监狱企业：本项目专门面向中小企业采购，仅限符合《政府采购促进中小企业发展管理办法》的通知(财库〔2020〕46号)条件的中小企业参与，并提供中小企业声明函，残疾人福利企业、监狱企业视同中小企业；</w:t>
      </w:r>
    </w:p>
    <w:p>
      <w:pPr>
        <w:pStyle w:val="null3"/>
      </w:pPr>
      <w:r>
        <w:rPr>
          <w:rFonts w:ascii="仿宋_GB2312" w:hAnsi="仿宋_GB2312" w:cs="仿宋_GB2312" w:eastAsia="仿宋_GB2312"/>
        </w:rPr>
        <w:t>8、联合体磋商：本项目不接受联合体磋商，单位负责人为同一人或者存在直接控股、管理关系的不同供应商，不得参加同一合同项下的政府采购活动。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西安市蓝田县城市管理和综合执法局局（本级）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蓝田县体育路50号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白佳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029-82752276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陕西鼎成项目管理咨询有限公司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陕西省西安市高新区高新路88号尚品国际B座7层703室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彭宏飞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029-81773523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蓝田县政府采购管理股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 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82721045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采购包1：2,998,000.00元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按国家计委颁发的《招标代理服务收费管理暂行办法》（计价格[2002]1980号）和国家发展改革委员会办公厅颁发的《关于招标代理服务收费有关问题的通知》(发改办价格[2003]857号）的有关规定计取。 2、成交单位在领取成交通知书前，须向采购代理机构一次性支付采购代理服务费。 代理费缴存账户： 开户名称：陕西鼎成项目管理咨询有限公司 开户银行：中国民生银行西安枫林绿洲支行 账号：171277297 （备注：项目名称+项目编号） 3、成交供应商在领取成交通知书时须携带法定代表人授权书及加盖单位公章的被授权人身份证复印件。</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西安市蓝田县城市管理和综合执法局局（本级）</w:t>
      </w:r>
      <w:r>
        <w:rPr>
          <w:rFonts w:ascii="仿宋_GB2312" w:hAnsi="仿宋_GB2312" w:cs="仿宋_GB2312" w:eastAsia="仿宋_GB2312"/>
        </w:rPr>
        <w:t>和</w:t>
      </w:r>
      <w:r>
        <w:rPr>
          <w:rFonts w:ascii="仿宋_GB2312" w:hAnsi="仿宋_GB2312" w:cs="仿宋_GB2312" w:eastAsia="仿宋_GB2312"/>
        </w:rPr>
        <w:t>陕西鼎成项目管理咨询有限公司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西安市蓝田县城市管理和综合执法局局（本级）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陕西鼎成项目管理咨询有限公司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西安市蓝田县城市管理和综合执法局局（本级）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陕西鼎成项目管理咨询有限公司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陕西鼎成项目管理咨询有限公司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陕西鼎成项目管理咨询有限公司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陕西鼎成项目管理咨询有限公司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联系人：彭宏飞</w:t>
      </w:r>
    </w:p>
    <w:p>
      <w:pPr>
        <w:pStyle w:val="null3"/>
      </w:pPr>
      <w:r>
        <w:rPr>
          <w:rFonts w:ascii="仿宋_GB2312" w:hAnsi="仿宋_GB2312" w:cs="仿宋_GB2312" w:eastAsia="仿宋_GB2312"/>
        </w:rPr>
        <w:t>联系电话：029-81773523</w:t>
      </w:r>
    </w:p>
    <w:p>
      <w:pPr>
        <w:pStyle w:val="null3"/>
      </w:pPr>
      <w:r>
        <w:rPr>
          <w:rFonts w:ascii="仿宋_GB2312" w:hAnsi="仿宋_GB2312" w:cs="仿宋_GB2312" w:eastAsia="仿宋_GB2312"/>
        </w:rPr>
        <w:t>地址：陕西省西安市高新区高新路88号尚品国际B座7层703室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2,998,000.00</w:t>
      </w:r>
    </w:p>
    <w:p>
      <w:pPr>
        <w:pStyle w:val="null3"/>
      </w:pPr>
      <w:r>
        <w:rPr>
          <w:rFonts w:ascii="仿宋_GB2312" w:hAnsi="仿宋_GB2312" w:cs="仿宋_GB2312" w:eastAsia="仿宋_GB2312"/>
        </w:rPr>
        <w:t>采购包最高限价（元）: 2,997,286.80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公共卫生间提升</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2,998,000.00</w:t>
            </w:r>
          </w:p>
        </w:tc>
        <w:tc>
          <w:tcPr>
            <w:tcW w:type="dxa" w:w="1384"/>
          </w:tcPr>
          <w:p>
            <w:pPr>
              <w:pStyle w:val="null3"/>
            </w:pPr>
            <w:r>
              <w:rPr>
                <w:rFonts w:ascii="仿宋_GB2312" w:hAnsi="仿宋_GB2312" w:cs="仿宋_GB2312" w:eastAsia="仿宋_GB2312"/>
              </w:rPr>
              <w:t>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标的名称：公共卫生间提升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一、计划工期：</w:t>
            </w:r>
          </w:p>
          <w:p>
            <w:pPr>
              <w:pStyle w:val="null3"/>
              <w:ind w:firstLine="480"/>
              <w:jc w:val="both"/>
            </w:pPr>
            <w:r>
              <w:rPr>
                <w:rFonts w:ascii="仿宋_GB2312" w:hAnsi="仿宋_GB2312" w:cs="仿宋_GB2312" w:eastAsia="仿宋_GB2312"/>
                <w:sz w:val="24"/>
              </w:rPr>
              <w:t>180日历天。</w:t>
            </w:r>
          </w:p>
          <w:p>
            <w:pPr>
              <w:pStyle w:val="null3"/>
              <w:jc w:val="both"/>
            </w:pPr>
            <w:r>
              <w:rPr>
                <w:rFonts w:ascii="仿宋_GB2312" w:hAnsi="仿宋_GB2312" w:cs="仿宋_GB2312" w:eastAsia="仿宋_GB2312"/>
                <w:sz w:val="24"/>
                <w:b/>
              </w:rPr>
              <w:t>二、质保期：</w:t>
            </w:r>
          </w:p>
          <w:p>
            <w:pPr>
              <w:pStyle w:val="null3"/>
              <w:ind w:firstLine="480"/>
              <w:jc w:val="both"/>
            </w:pPr>
            <w:r>
              <w:rPr>
                <w:rFonts w:ascii="仿宋_GB2312" w:hAnsi="仿宋_GB2312" w:cs="仿宋_GB2312" w:eastAsia="仿宋_GB2312"/>
                <w:sz w:val="24"/>
              </w:rPr>
              <w:t>1、基础设施工程、房屋建筑的地基基础工程和主体结构工程，为设计文件规定的该工程的合理使用年限。2、屋面防水工程、有防水要求的卫生间、房间和外墙面的防渗漏，为5年。3、供热与供冷系统，为2个采暖期、供冷期。4、电气管线、给排水管道、设备安装和装修工程，为2年</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三、缺陷责任期：</w:t>
            </w:r>
          </w:p>
          <w:p>
            <w:pPr>
              <w:pStyle w:val="null3"/>
              <w:ind w:firstLine="480"/>
              <w:jc w:val="both"/>
            </w:pPr>
            <w:r>
              <w:rPr>
                <w:rFonts w:ascii="仿宋_GB2312" w:hAnsi="仿宋_GB2312" w:cs="仿宋_GB2312" w:eastAsia="仿宋_GB2312"/>
                <w:sz w:val="24"/>
              </w:rPr>
              <w:t>自竣工验收之日起</w:t>
            </w:r>
            <w:r>
              <w:rPr>
                <w:rFonts w:ascii="仿宋_GB2312" w:hAnsi="仿宋_GB2312" w:cs="仿宋_GB2312" w:eastAsia="仿宋_GB2312"/>
                <w:sz w:val="24"/>
                <w:u w:val="single"/>
              </w:rPr>
              <w:t xml:space="preserve"> </w:t>
            </w:r>
            <w:r>
              <w:rPr>
                <w:rFonts w:ascii="仿宋_GB2312" w:hAnsi="仿宋_GB2312" w:cs="仿宋_GB2312" w:eastAsia="仿宋_GB2312"/>
                <w:sz w:val="24"/>
                <w:u w:val="single"/>
              </w:rPr>
              <w:t xml:space="preserve">1 </w:t>
            </w:r>
            <w:r>
              <w:rPr>
                <w:rFonts w:ascii="仿宋_GB2312" w:hAnsi="仿宋_GB2312" w:cs="仿宋_GB2312" w:eastAsia="仿宋_GB2312"/>
                <w:sz w:val="24"/>
              </w:rPr>
              <w:t>年。</w:t>
            </w:r>
          </w:p>
          <w:p>
            <w:pPr>
              <w:pStyle w:val="null3"/>
              <w:jc w:val="both"/>
            </w:pPr>
            <w:r>
              <w:rPr>
                <w:rFonts w:ascii="仿宋_GB2312" w:hAnsi="仿宋_GB2312" w:cs="仿宋_GB2312" w:eastAsia="仿宋_GB2312"/>
                <w:sz w:val="24"/>
                <w:b/>
              </w:rPr>
              <w:t>四、付款条件及比例：</w:t>
            </w:r>
          </w:p>
          <w:p>
            <w:pPr>
              <w:pStyle w:val="null3"/>
              <w:ind w:firstLine="480"/>
              <w:jc w:val="both"/>
            </w:pPr>
            <w:r>
              <w:rPr>
                <w:rFonts w:ascii="仿宋_GB2312" w:hAnsi="仿宋_GB2312" w:cs="仿宋_GB2312" w:eastAsia="仿宋_GB2312"/>
                <w:sz w:val="24"/>
              </w:rPr>
              <w:t>1、合同签订后，甲方向乙方支付合同价款的40%作为预付款。</w:t>
            </w:r>
          </w:p>
          <w:p>
            <w:pPr>
              <w:pStyle w:val="null3"/>
              <w:ind w:firstLine="480"/>
              <w:jc w:val="both"/>
            </w:pPr>
            <w:r>
              <w:rPr>
                <w:rFonts w:ascii="仿宋_GB2312" w:hAnsi="仿宋_GB2312" w:cs="仿宋_GB2312" w:eastAsia="仿宋_GB2312"/>
                <w:sz w:val="24"/>
              </w:rPr>
              <w:t>2、乙方完成合同工程量7</w:t>
            </w:r>
            <w:r>
              <w:rPr>
                <w:rFonts w:ascii="仿宋_GB2312" w:hAnsi="仿宋_GB2312" w:cs="仿宋_GB2312" w:eastAsia="仿宋_GB2312"/>
                <w:sz w:val="24"/>
              </w:rPr>
              <w:t>5</w:t>
            </w:r>
            <w:r>
              <w:rPr>
                <w:rFonts w:ascii="仿宋_GB2312" w:hAnsi="仿宋_GB2312" w:cs="仿宋_GB2312" w:eastAsia="仿宋_GB2312"/>
                <w:sz w:val="24"/>
              </w:rPr>
              <w:t>%时，甲方向乙方支付至合同总价款的7</w:t>
            </w:r>
            <w:r>
              <w:rPr>
                <w:rFonts w:ascii="仿宋_GB2312" w:hAnsi="仿宋_GB2312" w:cs="仿宋_GB2312" w:eastAsia="仿宋_GB2312"/>
                <w:sz w:val="24"/>
              </w:rPr>
              <w:t>5</w:t>
            </w:r>
            <w:r>
              <w:rPr>
                <w:rFonts w:ascii="仿宋_GB2312" w:hAnsi="仿宋_GB2312" w:cs="仿宋_GB2312" w:eastAsia="仿宋_GB2312"/>
                <w:sz w:val="24"/>
              </w:rPr>
              <w:t>%作为工程进度款。</w:t>
            </w:r>
          </w:p>
          <w:p>
            <w:pPr>
              <w:pStyle w:val="null3"/>
              <w:ind w:firstLine="480"/>
              <w:jc w:val="both"/>
            </w:pPr>
            <w:r>
              <w:rPr>
                <w:rFonts w:ascii="仿宋_GB2312" w:hAnsi="仿宋_GB2312" w:cs="仿宋_GB2312" w:eastAsia="仿宋_GB2312"/>
                <w:sz w:val="24"/>
              </w:rPr>
              <w:t>3、乙方完成全部工程量时，经甲方组织有关部门验收合格后，支付至合同总价款的90%。</w:t>
            </w:r>
          </w:p>
          <w:p>
            <w:pPr>
              <w:pStyle w:val="null3"/>
              <w:ind w:firstLine="480"/>
              <w:jc w:val="both"/>
            </w:pPr>
            <w:r>
              <w:rPr>
                <w:rFonts w:ascii="仿宋_GB2312" w:hAnsi="仿宋_GB2312" w:cs="仿宋_GB2312" w:eastAsia="仿宋_GB2312"/>
                <w:sz w:val="24"/>
              </w:rPr>
              <w:t>4、经政府相关审计部门审计完成后，支付至审计结算价款的100%</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b/>
              </w:rPr>
              <w:t>五、质量要求</w:t>
            </w:r>
          </w:p>
          <w:p>
            <w:pPr>
              <w:pStyle w:val="null3"/>
              <w:jc w:val="left"/>
            </w:pPr>
            <w:r>
              <w:rPr>
                <w:rFonts w:ascii="仿宋_GB2312" w:hAnsi="仿宋_GB2312" w:cs="仿宋_GB2312" w:eastAsia="仿宋_GB2312"/>
                <w:sz w:val="24"/>
              </w:rPr>
              <w:t xml:space="preserve">    达到国家现行行业施工验收规范</w:t>
            </w:r>
            <w:r>
              <w:rPr>
                <w:rFonts w:ascii="仿宋_GB2312" w:hAnsi="仿宋_GB2312" w:cs="仿宋_GB2312" w:eastAsia="仿宋_GB2312"/>
                <w:sz w:val="24"/>
              </w:rPr>
              <w:t>“合格”标准。</w:t>
            </w:r>
          </w:p>
          <w:p>
            <w:pPr>
              <w:pStyle w:val="null3"/>
              <w:jc w:val="left"/>
            </w:pPr>
            <w:r>
              <w:rPr>
                <w:rFonts w:ascii="仿宋_GB2312" w:hAnsi="仿宋_GB2312" w:cs="仿宋_GB2312" w:eastAsia="仿宋_GB2312"/>
                <w:sz w:val="24"/>
                <w:b/>
              </w:rPr>
              <w:t>六、合同定价方式</w:t>
            </w:r>
          </w:p>
          <w:p>
            <w:pPr>
              <w:pStyle w:val="null3"/>
              <w:jc w:val="both"/>
            </w:pPr>
            <w:r>
              <w:rPr>
                <w:rFonts w:ascii="仿宋_GB2312" w:hAnsi="仿宋_GB2312" w:cs="仿宋_GB2312" w:eastAsia="仿宋_GB2312"/>
                <w:sz w:val="24"/>
              </w:rPr>
              <w:t xml:space="preserve">    本合同价款采用</w:t>
            </w:r>
            <w:r>
              <w:rPr>
                <w:rFonts w:ascii="仿宋_GB2312" w:hAnsi="仿宋_GB2312" w:cs="仿宋_GB2312" w:eastAsia="仿宋_GB2312"/>
                <w:sz w:val="21"/>
                <w:u w:val="single"/>
              </w:rPr>
              <w:t xml:space="preserve"> </w:t>
            </w:r>
            <w:r>
              <w:rPr>
                <w:rFonts w:ascii="仿宋_GB2312" w:hAnsi="仿宋_GB2312" w:cs="仿宋_GB2312" w:eastAsia="仿宋_GB2312"/>
                <w:sz w:val="24"/>
                <w:u w:val="single"/>
              </w:rPr>
              <w:t>（</w:t>
            </w:r>
            <w:r>
              <w:rPr>
                <w:rFonts w:ascii="仿宋_GB2312" w:hAnsi="仿宋_GB2312" w:cs="仿宋_GB2312" w:eastAsia="仿宋_GB2312"/>
                <w:sz w:val="24"/>
                <w:b/>
                <w:u w:val="single"/>
              </w:rPr>
              <w:t>固定</w:t>
            </w:r>
            <w:r>
              <w:rPr>
                <w:rFonts w:ascii="仿宋_GB2312" w:hAnsi="仿宋_GB2312" w:cs="仿宋_GB2312" w:eastAsia="仿宋_GB2312"/>
                <w:sz w:val="24"/>
                <w:b/>
                <w:u w:val="single"/>
              </w:rPr>
              <w:t>总价</w:t>
            </w:r>
            <w:r>
              <w:rPr>
                <w:rFonts w:ascii="仿宋_GB2312" w:hAnsi="仿宋_GB2312" w:cs="仿宋_GB2312" w:eastAsia="仿宋_GB2312"/>
                <w:sz w:val="24"/>
                <w:u w:val="single"/>
              </w:rPr>
              <w:t>）</w:t>
            </w:r>
            <w:r>
              <w:rPr>
                <w:rFonts w:ascii="仿宋_GB2312" w:hAnsi="仿宋_GB2312" w:cs="仿宋_GB2312" w:eastAsia="仿宋_GB2312"/>
                <w:sz w:val="21"/>
                <w:u w:val="single"/>
              </w:rPr>
              <w:t xml:space="preserve"> </w:t>
            </w:r>
            <w:r>
              <w:rPr>
                <w:rFonts w:ascii="仿宋_GB2312" w:hAnsi="仿宋_GB2312" w:cs="仿宋_GB2312" w:eastAsia="仿宋_GB2312"/>
                <w:sz w:val="24"/>
              </w:rPr>
              <w:t>方式确定</w:t>
            </w:r>
            <w:r>
              <w:rPr>
                <w:rFonts w:ascii="仿宋_GB2312" w:hAnsi="仿宋_GB2312" w:cs="仿宋_GB2312" w:eastAsia="仿宋_GB2312"/>
                <w:sz w:val="24"/>
              </w:rPr>
              <w:t>。</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（1）各供应商应根据“陕西省财政厅 陕财办采函[2023]14号文”《陕西省财政厅关于省级预算单位全面推行政府采购项目电子化交易的通知》、“陕西省财政厅 陕财办采[2022]9号文”《政府采购项目电子化交易规则》等文件的要求，做好人员配备、设施设备、系统操作的相应准备，熟悉并正确实施相关操作流程，承担由于操作或其他因素造成的不利后果。 （2）竞争性磋商文件第六章6.3.4：“（五）若采用项目包干价的，供应商直接给出其完成本项目全部工作内容所需的总价，不再提供已标价工程量清单（报价格式要求见第六章）。”为系统自动生成内容，无法更改，本项目需要提供已标价工程量清单。 （3）“若供应商的最后报价只有一个总价，则供应商应当提交相应调整部分的报价构成及明细，并结合首次报价提供的已标价工程量清单，重新计算总报价。”为系统自动生成，无法更改，本项目二次报价只需填报项目总报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根据投标供应商类别进行提供：①如供应商是企业（包括合伙企业），应提供在工商部门注册的有效“企业法人营业执照”或“营业执照”；②如供应商是事业单位，应提供有效的“事业单位法人证书”；③如供应商是为企业专业服务机构的，应提供执业许可证等证明文件； ④如供应商是个体工商户，应提供有效的“个体工商户营业执照”；⑤如供应商为自然人，应提供有效的自然人身份证明。 2、提供2024年度经审计的财务报告（成立时间至提交磋商响应文件截止时间不足一年的可提供成立后任意时段的资产负债表），或磋商响应文件递交截止时间前6个月内银行出具的资信证明； 3、磋商响应文件递交截止时间前一年内已缴纳的至少一个月的纳税证明或完税证明，依法免税的单位应提供相关证明材料； 4、磋商响应文件递交截止时间前一年内已缴存的至少一个月的社会保障资金缴存单据或社保机构开具的社会保险参保缴费情况证明，依法不需要缴纳社会保障资金的单位应提供相关证明材料； 5、提供具有履行合同所必需的设备和专业技术能力的承诺； 6、参加政府采购活动前3年内，在经营活动中没有重大违法记录的书面声明。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提供2024年度经审计的财务报告（成立时间至提交磋商响应文件截止时间不足一年的可提供成立后任意时段的资产负债表），或磋商响应文件递交截止时间前6个月内银行出具的资信证明。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法定代表人授权书（法定代表人直接参加投标，须提供法定代表人身份证明）；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投标供应商须具备行业主管部门颁发的建筑工程施工总承包三级及以上资质并具有有效的安全生产许可证；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项目经理资质</w:t>
            </w:r>
          </w:p>
        </w:tc>
        <w:tc>
          <w:tcPr>
            <w:tcW w:type="dxa" w:w="3322"/>
          </w:tcPr>
          <w:p>
            <w:pPr>
              <w:pStyle w:val="null3"/>
            </w:pPr>
            <w:r>
              <w:rPr>
                <w:rFonts w:ascii="仿宋_GB2312" w:hAnsi="仿宋_GB2312" w:cs="仿宋_GB2312" w:eastAsia="仿宋_GB2312"/>
              </w:rPr>
              <w:t>投标供应商拟派项目经理须具备行业主管部门颁发的建筑工程专业二级及以上建造师资质及有效的安全生产考核合格证书（建安B证），在本单位注册且无在建工程（提供承诺）；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投标供应商基本信息及项目经理基本信息</w:t>
            </w:r>
          </w:p>
        </w:tc>
        <w:tc>
          <w:tcPr>
            <w:tcW w:type="dxa" w:w="3322"/>
          </w:tcPr>
          <w:p>
            <w:pPr>
              <w:pStyle w:val="null3"/>
            </w:pPr>
            <w:r>
              <w:rPr>
                <w:rFonts w:ascii="仿宋_GB2312" w:hAnsi="仿宋_GB2312" w:cs="仿宋_GB2312" w:eastAsia="仿宋_GB2312"/>
              </w:rPr>
              <w:t>投标供应商基本信息及项目经理基本信息应在“陕西建设网（http://js.shaanxi.gov.cn/ ）或陕西省建筑市场监管与诚信信息发布平台”可查询；</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投标供应商不得为“信用中国”网站（www.creditchina.gov.cn）中列入失信被执行人和重大税收违法案件当事人名单的投标供应商，不得为中国政府采购网（www.ccgp.gov.cn）政府采购严重违法失信行为记录名单中被财政部门禁止参加政府采购活动的投标供应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投标供应商不得在各级诚信信息平台被列为投标受限制的行为人（提供承诺）；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中小企业声明函/残疾人福利企业/监狱企业</w:t>
            </w:r>
          </w:p>
        </w:tc>
        <w:tc>
          <w:tcPr>
            <w:tcW w:type="dxa" w:w="3322"/>
          </w:tcPr>
          <w:p>
            <w:pPr>
              <w:pStyle w:val="null3"/>
            </w:pPr>
            <w:r>
              <w:rPr>
                <w:rFonts w:ascii="仿宋_GB2312" w:hAnsi="仿宋_GB2312" w:cs="仿宋_GB2312" w:eastAsia="仿宋_GB2312"/>
              </w:rPr>
              <w:t>本项目专门面向中小企业采购，仅限符合《政府采购促进中小企业发展管理办法》的通知(财库〔2020〕46号)条件的中小企业参与，并提供中小企业声明函，残疾人福利企业、监狱企业视同中小企业；</w:t>
            </w:r>
          </w:p>
        </w:tc>
        <w:tc>
          <w:tcPr>
            <w:tcW w:type="dxa" w:w="1661"/>
          </w:tcPr>
          <w:p>
            <w:pPr>
              <w:pStyle w:val="null3"/>
            </w:pPr>
            <w:r>
              <w:rPr>
                <w:rFonts w:ascii="仿宋_GB2312" w:hAnsi="仿宋_GB2312" w:cs="仿宋_GB2312" w:eastAsia="仿宋_GB2312"/>
              </w:rPr>
              <w:t>中小企业声明函 残疾人福利性单位声明函 资格证明文件.docx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联合体磋商</w:t>
            </w:r>
          </w:p>
        </w:tc>
        <w:tc>
          <w:tcPr>
            <w:tcW w:type="dxa" w:w="3322"/>
          </w:tcPr>
          <w:p>
            <w:pPr>
              <w:pStyle w:val="null3"/>
            </w:pPr>
            <w:r>
              <w:rPr>
                <w:rFonts w:ascii="仿宋_GB2312" w:hAnsi="仿宋_GB2312" w:cs="仿宋_GB2312" w:eastAsia="仿宋_GB2312"/>
              </w:rPr>
              <w:t>本项目不接受联合体磋商，单位负责人为同一人或者存在直接控股、管理关系的不同供应商，不得参加同一合同项下的政府采购活动。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响应文件封面 技术方案.docx 已标价工程量清单.docx 中小企业声明函 残疾人福利性单位声明函 拒绝政府采购领域商业贿赂承诺书.docx 报价函 标的清单 响应函 商务条款偏离表.docx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响应文件封面 技术方案.docx 已标价工程量清单.docx 拒绝政府采购领域商业贿赂承诺书.docx 中小企业声明函 残疾人福利性单位声明函 报价函 标的清单 响应函 商务条款偏离表.docx 资格证明文件.docx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商务条款偏离表.docx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商务条款偏离表.docx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缺陷责任期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商务条款偏离表.docx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付款条件及比例</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商务条款偏离表.docx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已标价工程量清单</w:t>
            </w:r>
          </w:p>
        </w:tc>
        <w:tc>
          <w:tcPr>
            <w:tcW w:type="dxa" w:w="3322"/>
          </w:tcPr>
          <w:p>
            <w:pPr>
              <w:pStyle w:val="null3"/>
            </w:pPr>
            <w:r>
              <w:rPr>
                <w:rFonts w:ascii="仿宋_GB2312" w:hAnsi="仿宋_GB2312" w:cs="仿宋_GB2312" w:eastAsia="仿宋_GB2312"/>
              </w:rPr>
              <w:t>应符合磋商文件给出的工程量清单范围和数量</w:t>
            </w:r>
          </w:p>
        </w:tc>
        <w:tc>
          <w:tcPr>
            <w:tcW w:type="dxa" w:w="1661"/>
          </w:tcPr>
          <w:p>
            <w:pPr>
              <w:pStyle w:val="null3"/>
            </w:pPr>
            <w:r>
              <w:rPr>
                <w:rFonts w:ascii="仿宋_GB2312" w:hAnsi="仿宋_GB2312" w:cs="仿宋_GB2312" w:eastAsia="仿宋_GB2312"/>
              </w:rPr>
              <w:t>已标价工程量清单.docx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一、评审标准 1、完整性：须全面，对评审项有详细描述及说明；2、合理性：切合本项目实际情况，实施步骤清晰、合理； 3、针对性：能够紧扣项目实际情况，内容科学合理。 二、赋分标准 技术方案内容完全满足所有评审标准得6.5分；技术方案内容每有一处缺陷扣0.5分，扣完为止，不计负分；其他或未提供得0分。 缺陷是指: 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6.5000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一、评审标准 1、完整性：须全面，对评审项有详细描述及说明； 2、合理性：切合本项目实际情况，实施步骤清晰、合理； 3、针对性：能够紧扣项目实际情况，内容科学合理。 二、赋分标准 技术方案内容完全满足所有评审标准得6.5分；技术方案内容每有一处缺陷扣0.5分，扣完为止，不计负分；其他或未提供得0分。 缺陷是指: 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6.5000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一、评审标准 1、完整性：须全面，对评审项有详细描述及说明； 2、合理性：切合本项目实际情况，实施步骤清晰、合理； 3、针对性：能够紧扣项目实际情况，内容科学合理。 二、赋分标准 技术方案内容完全满足所有评审标准得6.5分；技术方案内容每有一处缺陷扣0.5分，扣完为止，不计负分；其他或未提供得0分。 缺陷是指: 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6.5000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确保文明施工的技术组织措施及保护措施</w:t>
            </w:r>
          </w:p>
        </w:tc>
        <w:tc>
          <w:tcPr>
            <w:tcW w:type="dxa" w:w="2492"/>
          </w:tcPr>
          <w:p>
            <w:pPr>
              <w:pStyle w:val="null3"/>
            </w:pPr>
            <w:r>
              <w:rPr>
                <w:rFonts w:ascii="仿宋_GB2312" w:hAnsi="仿宋_GB2312" w:cs="仿宋_GB2312" w:eastAsia="仿宋_GB2312"/>
              </w:rPr>
              <w:t>一、评审标准 1、完整性：须全面，对评审项有详细描述及说明； 2、合理性：切合本项目实际情况，实施步骤清晰、合理； 3、针对性：能够紧扣项目实际情况，内容科学合理。 二、赋分标准 技术方案内容完全满足所有评审标准得6.5分；技术方案内容每有一处缺陷扣0.5分，扣完为止，不计负分；其他或未提供得0分。 缺陷是指: 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6.5000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施工总平面布置图</w:t>
            </w:r>
          </w:p>
        </w:tc>
        <w:tc>
          <w:tcPr>
            <w:tcW w:type="dxa" w:w="2492"/>
          </w:tcPr>
          <w:p>
            <w:pPr>
              <w:pStyle w:val="null3"/>
            </w:pPr>
            <w:r>
              <w:rPr>
                <w:rFonts w:ascii="仿宋_GB2312" w:hAnsi="仿宋_GB2312" w:cs="仿宋_GB2312" w:eastAsia="仿宋_GB2312"/>
              </w:rPr>
              <w:t>一、评审标准 1、完整性：须全面，对评审项有详细描述及说明； 2、合理性：切合本项目实际情况，实施步骤清晰、合理； 3、针对性：能够紧扣项目实际情况，内容科学合理。 二、赋分标准 技术方案内容完全满足所有评审标准得6.5分；技术方案内容每有一处缺陷扣0.5分，扣完为止，不计负分；其他或未提供得0分。 缺陷是指: 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6.5000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施工进度表或施工网络图</w:t>
            </w:r>
          </w:p>
        </w:tc>
        <w:tc>
          <w:tcPr>
            <w:tcW w:type="dxa" w:w="2492"/>
          </w:tcPr>
          <w:p>
            <w:pPr>
              <w:pStyle w:val="null3"/>
            </w:pPr>
            <w:r>
              <w:rPr>
                <w:rFonts w:ascii="仿宋_GB2312" w:hAnsi="仿宋_GB2312" w:cs="仿宋_GB2312" w:eastAsia="仿宋_GB2312"/>
              </w:rPr>
              <w:t>一、评审标准 1、完整性：须全面，对评审项有详细描述及说明； 2、合理性：切合本项目实际情况，实施步骤清晰、合理； 3、针对性：能够紧扣项目实际情况，内容科学合理。 二、赋分标准 技术方案内容完全满足所有评审标准得6.5分；技术方案内容每有一处缺陷扣0.5分，扣完为止，不计负分；其他或未提供得0分。 缺陷是指: 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6.5000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一、评审标准 1、完整性：须全面，对评审项有详细描述及说明； 2、合理性：切合本项目实际情况，实施步骤清晰、合理； 3、针对性：能够紧扣项目实际情况，内容科学合理。 二、赋分标准 技术方案内容完全满足所有评审标准得6.5分；技术方案内容每有一处缺陷扣0.5分，扣完为止，不计负分；其他或未提供得0分。 缺陷是指: 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6.5000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 包括但不限于新材料、新工艺、绿色建材的使用</w:t>
            </w:r>
          </w:p>
        </w:tc>
        <w:tc>
          <w:tcPr>
            <w:tcW w:type="dxa" w:w="2492"/>
          </w:tcPr>
          <w:p>
            <w:pPr>
              <w:pStyle w:val="null3"/>
            </w:pPr>
            <w:r>
              <w:rPr>
                <w:rFonts w:ascii="仿宋_GB2312" w:hAnsi="仿宋_GB2312" w:cs="仿宋_GB2312" w:eastAsia="仿宋_GB2312"/>
              </w:rPr>
              <w:t xml:space="preserve"> 一、评审标准 1、完整性：须全面，对评审项有详细描述及说明； 2、合理性：切合本项目实际情况，实施步骤清晰、合理； 3、针对性：能够紧扣项目实际情况，内容科学合理。 二、赋分标准 技术方案内容完全满足所有评审标准得6.5分；技术方案内容每有一处缺陷扣0.5分，扣完为止，不计负分；其他或未提供得0分。 缺陷是指: 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6.5000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一、评审标准 1、完整性：须全面，对评审项有详细描述及说明； 2、合理性：切合本项目实际情况，实施步骤清晰、合理； 3、针对性：能够紧扣项目实际情况，内容科学合理。 二、赋分标准 技术方案内容完全满足所有评审标准得6.5分；技术方案内容每有一处缺陷扣0.5分，扣完为止，不计负分；其他或未提供得0分。 缺陷是指: 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6.5000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施工环保、“治污减霾”措施计划</w:t>
            </w:r>
          </w:p>
        </w:tc>
        <w:tc>
          <w:tcPr>
            <w:tcW w:type="dxa" w:w="2492"/>
          </w:tcPr>
          <w:p>
            <w:pPr>
              <w:pStyle w:val="null3"/>
            </w:pPr>
            <w:r>
              <w:rPr>
                <w:rFonts w:ascii="仿宋_GB2312" w:hAnsi="仿宋_GB2312" w:cs="仿宋_GB2312" w:eastAsia="仿宋_GB2312"/>
              </w:rPr>
              <w:t>一、评审标准 1、完整性：须全面，对评审项有详细描述及说明； 2、合理性：切合本项目实际情况，实施步骤清晰、合理； 3、针对性：能够紧扣项目实际情况，内容科学合理。 二、赋分标准 技术方案内容完全满足所有评审标准得6.5分；技术方案内容每有一处缺陷扣0.5分，扣完为止，不计负分；其他或未提供得0分。 缺陷是指: 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6.5000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投标供应商提供2022年10月1日至今（以合同签订日期为准）类似项目业绩（以合同复印件或扫描件加盖公章为准）每个有效业绩得1分，满分共计5分。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磋商响应文件，其最后磋商报价为有效磋商报价，满足磋商文件要求且磋商价格最低的最后磋商报价为评标基准价,其价格分为满分。价格分按照下列公式计算。磋商报价得分=（评标基准价/最后磋商报价）×价格分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详见附件：已标价工程量清单.docx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