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版本号：SXCC–[2025]–DL07720251029001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西安市蓝田县水陆庵景区文旅新场景建设项目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SXCC–[2025]–DL077</w:t>
      </w:r>
      <w:r>
        <w:br/>
      </w:r>
      <w:r>
        <w:br/>
      </w:r>
      <w:r>
        <w:br/>
      </w:r>
    </w:p>
    <w:p>
      <w:pPr>
        <w:pStyle w:val="null3"/>
        <w:jc w:val="center"/>
        <w:outlineLvl w:val="2"/>
      </w:pPr>
      <w:r>
        <w:rPr>
          <w:rFonts w:ascii="仿宋_GB2312" w:hAnsi="仿宋_GB2312" w:cs="仿宋_GB2312" w:eastAsia="仿宋_GB2312"/>
          <w:sz w:val="28"/>
          <w:b/>
        </w:rPr>
        <w:t>西安市蓝田县文化和旅游体育局（本级）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西安市蓝田县文化和旅游体育局（本级）</w:t>
      </w:r>
      <w:r>
        <w:rPr>
          <w:rFonts w:ascii="仿宋_GB2312" w:hAnsi="仿宋_GB2312" w:cs="仿宋_GB2312" w:eastAsia="仿宋_GB2312"/>
        </w:rPr>
        <w:t>委托，拟对</w:t>
      </w:r>
      <w:r>
        <w:rPr>
          <w:rFonts w:ascii="仿宋_GB2312" w:hAnsi="仿宋_GB2312" w:cs="仿宋_GB2312" w:eastAsia="仿宋_GB2312"/>
        </w:rPr>
        <w:t>西安市蓝田县水陆庵景区文旅新场景建设项目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SXCC–[2025]–DL077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西安市蓝田县水陆庵景区文旅新场景建设项目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水陆庵位于西安蓝田县，以保存完好的明代彩绘泥塑塑像群而闻名于世。水陆庵景区文旅新场景数字内容建设项目是以现有厢房为布展空间，安装LED显示屏和音响系统等多媒体设备，以多元化的展示技术和差异化的服务与水陆庵历史文化进行多维度的集中展示，通过数字多媒体布展建设，可以更好地利用数字技术与传统文化相结合，提升参观体验，传播文物艺术价值，增强水陆庵的吸引力和竞争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采购包1（西安市蓝田县水陆庵景区文旅新场景建设项目）：属于专门面向中小企业采购。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1、法定代表人授权书/法定代表人身份证明：法定代表人授权书（法定代表人直接参加磋商，须提供法定代表人身份证明）</w:t>
      </w:r>
    </w:p>
    <w:p>
      <w:pPr>
        <w:pStyle w:val="null3"/>
      </w:pPr>
      <w:r>
        <w:rPr>
          <w:rFonts w:ascii="仿宋_GB2312" w:hAnsi="仿宋_GB2312" w:cs="仿宋_GB2312" w:eastAsia="仿宋_GB2312"/>
        </w:rPr>
        <w:t>2、信用查询：供应商不得为“信用中国 ”网站（www.creditchina.gov.cn） 中列入失信被执行人和重大税收违法案件当事人名单的磋商供应商，不得为中国政府采购网（www.ccgp.gov.cn）政府采购严重违法失信行为记录名单中被财政部门禁止参加政府采购活动的磋商供应商。</w:t>
      </w:r>
    </w:p>
    <w:p>
      <w:pPr>
        <w:pStyle w:val="null3"/>
      </w:pPr>
      <w:r>
        <w:rPr>
          <w:rFonts w:ascii="仿宋_GB2312" w:hAnsi="仿宋_GB2312" w:cs="仿宋_GB2312" w:eastAsia="仿宋_GB2312"/>
        </w:rPr>
        <w:t>3、承诺书：本项目不接受联合体磋商，单位负责人为同一人或者存在直接控股、管理关系的不同供应商，不得参加同一合同项下的政府采购活动。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4、中小企业声明函：本项目专门面向中小企业采购，仅限符合《政府采购促进中小企业发展暂行办法》（财库〔2020〕46号）条件的中小企业参与，供应商应填写中小企业声明函并对真实性负责。残疾人福利性单位及监狱企业视同为小型、微型企业，残疾人福利性单位应符合《三部门联合发布关于促进残疾人就业政府采购政策的通知》（财库〔2017〕141号）要求，监狱企业应符合《财政部司法部关于政府采购支持监狱企业发展有关问题的通知》（财库〔2014〕68 号）要求。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焦爱洁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029-82736256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西安市蓝田县文化和旅游体育局（本级）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西安市蓝田县文化和旅游体育局（本级）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地址：西安市蓝田县青灞路白鹿原管委会对面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水陆庵位于西安蓝田县，以保存完好的明代彩绘泥塑塑像群而闻名于世。水陆庵景区文旅新场景数字内容建设项目是以现有厢房为布展空间，安装LED显示屏和音响系统等多媒体设备，以多元化的展示技术和差异化的服务与水陆庵历史文化进行多维度的集中展示，通过数字多媒体布展建设，可以更好地利用数字技术与传统文化相结合，提升参观体验，传播文物艺术价值，增强水陆庵的吸引力和竞争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水陆庵景区文旅新场景数字内容建设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标的名称：水陆庵景区文旅新场景数字内容建设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b/>
                <w:color w:val="000000"/>
              </w:rPr>
              <w:t>一、</w:t>
            </w:r>
            <w:r>
              <w:rPr>
                <w:rFonts w:ascii="仿宋_GB2312" w:hAnsi="仿宋_GB2312" w:cs="仿宋_GB2312" w:eastAsia="仿宋_GB2312"/>
                <w:sz w:val="18"/>
                <w:b/>
                <w:color w:val="000000"/>
              </w:rPr>
              <w:t>项目概况</w:t>
            </w:r>
          </w:p>
          <w:p>
            <w:pPr>
              <w:pStyle w:val="null3"/>
              <w:ind w:firstLine="480"/>
              <w:jc w:val="left"/>
            </w:pPr>
            <w:r>
              <w:rPr>
                <w:rFonts w:ascii="仿宋_GB2312" w:hAnsi="仿宋_GB2312" w:cs="仿宋_GB2312" w:eastAsia="仿宋_GB2312"/>
                <w:sz w:val="18"/>
                <w:color w:val="000000"/>
              </w:rPr>
              <w:t>水陆庵位于西安蓝田县，以保存完好的明代彩绘泥塑塑像群而闻名于世。水陆庵景区文旅新场景数字内容建设项目是以现有厢房为布展空间，安装LED显示屏和音响系统等多媒体设备，以多元化的展示技术和差异化的服务与水陆庵历史文化进行多维度的集中展示，通过数字多媒体布展建设，可以更好地利用数字技术与传统文化相结合，提升参观体验，传播文物艺术价值，增强水陆庵的吸引力和竞争力。</w:t>
            </w:r>
          </w:p>
          <w:p>
            <w:pPr>
              <w:pStyle w:val="null3"/>
              <w:jc w:val="left"/>
            </w:pP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服务内容（包括工作区域、工作内容等）</w:t>
            </w:r>
          </w:p>
          <w:p>
            <w:pPr>
              <w:pStyle w:val="null3"/>
              <w:spacing w:after="120"/>
              <w:ind w:firstLine="48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内容创意</w:t>
            </w:r>
            <w:r>
              <w:rPr>
                <w:rFonts w:ascii="仿宋_GB2312" w:hAnsi="仿宋_GB2312" w:cs="仿宋_GB2312" w:eastAsia="仿宋_GB2312"/>
                <w:sz w:val="18"/>
                <w:color w:val="000000"/>
              </w:rPr>
              <w:t>：</w:t>
            </w:r>
          </w:p>
          <w:p>
            <w:pPr>
              <w:pStyle w:val="null3"/>
              <w:spacing w:after="120"/>
              <w:ind w:firstLine="480"/>
              <w:jc w:val="left"/>
            </w:pPr>
            <w:r>
              <w:rPr>
                <w:rFonts w:ascii="仿宋_GB2312" w:hAnsi="仿宋_GB2312" w:cs="仿宋_GB2312" w:eastAsia="仿宋_GB2312"/>
                <w:sz w:val="18"/>
                <w:color w:val="000000"/>
              </w:rPr>
              <w:t>以水陆庵的明代壁塑为线索，展示“塑越千年 东方瑰宝”为主题，打造“文化+科技”的叙事主线。利用裸眼3D数字内容的效果及多媒体技术打造沉浸式体验项目。通过视觉技术还原水陆庵的壁塑价值、营造价值、建筑价值、服饰价值、人文价值等文化内涵。触摸历史的温度，感受与3700尊壁塑的千年对话。打造一个集展示、教育、互动于一体的现代化多媒体展项，使游客能够更直观地了解水陆庵的历史、文化和艺术价值。</w:t>
            </w:r>
          </w:p>
          <w:p>
            <w:pPr>
              <w:pStyle w:val="null3"/>
              <w:ind w:left="30" w:right="120" w:firstLine="480"/>
              <w:jc w:val="left"/>
            </w:pPr>
            <w:r>
              <w:rPr>
                <w:rFonts w:ascii="仿宋_GB2312" w:hAnsi="仿宋_GB2312" w:cs="仿宋_GB2312" w:eastAsia="仿宋_GB2312"/>
                <w:sz w:val="18"/>
                <w:color w:val="000000"/>
              </w:rPr>
              <w:t>视觉风格：需符合地域文化特色，色调、配乐需定制化。部分项目要求电影级调色，或采用裸眼3D技术增强沉浸感。</w:t>
            </w:r>
          </w:p>
          <w:p>
            <w:pPr>
              <w:pStyle w:val="null3"/>
              <w:ind w:left="60" w:right="150" w:firstLine="480"/>
              <w:jc w:val="left"/>
            </w:pPr>
            <w:r>
              <w:rPr>
                <w:rFonts w:ascii="仿宋_GB2312" w:hAnsi="仿宋_GB2312" w:cs="仿宋_GB2312" w:eastAsia="仿宋_GB2312"/>
                <w:sz w:val="18"/>
                <w:color w:val="000000"/>
              </w:rPr>
              <w:t>叙事结构：采用“历史底蕴—服务创新—群众获得感 ”三层递进逻辑，以增强感染力。</w:t>
            </w:r>
          </w:p>
          <w:p>
            <w:pPr>
              <w:pStyle w:val="null3"/>
              <w:ind w:firstLine="48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版权与合规：</w:t>
            </w:r>
          </w:p>
          <w:p>
            <w:pPr>
              <w:pStyle w:val="null3"/>
              <w:ind w:firstLine="480"/>
              <w:jc w:val="left"/>
            </w:pPr>
            <w:r>
              <w:rPr>
                <w:rFonts w:ascii="仿宋_GB2312" w:hAnsi="仿宋_GB2312" w:cs="仿宋_GB2312" w:eastAsia="仿宋_GB2312"/>
                <w:sz w:val="18"/>
                <w:color w:val="000000"/>
              </w:rPr>
              <w:t>原创性：禁止使用模板化内容，要求95%以上为原创拍摄，严禁滥用商业素材库。脚本需包含分镜设计、文案撰稿，部分项目需提交策划方案供审核。</w:t>
            </w:r>
          </w:p>
          <w:p>
            <w:pPr>
              <w:pStyle w:val="null3"/>
              <w:ind w:firstLine="480"/>
              <w:jc w:val="left"/>
            </w:pPr>
            <w:r>
              <w:rPr>
                <w:rFonts w:ascii="仿宋_GB2312" w:hAnsi="仿宋_GB2312" w:cs="仿宋_GB2312" w:eastAsia="仿宋_GB2312"/>
                <w:sz w:val="18"/>
                <w:color w:val="000000"/>
              </w:rPr>
              <w:t>禁止使用国外版权音乐/图片，避免敏感场景。</w:t>
            </w:r>
          </w:p>
          <w:p>
            <w:pPr>
              <w:pStyle w:val="null3"/>
              <w:jc w:val="left"/>
            </w:pPr>
            <w:r>
              <w:rPr>
                <w:rFonts w:ascii="仿宋_GB2312" w:hAnsi="仿宋_GB2312" w:cs="仿宋_GB2312" w:eastAsia="仿宋_GB2312"/>
                <w:sz w:val="18"/>
                <w:b/>
                <w:color w:val="000000"/>
              </w:rPr>
              <w:t>三、</w:t>
            </w:r>
            <w:r>
              <w:rPr>
                <w:rFonts w:ascii="仿宋_GB2312" w:hAnsi="仿宋_GB2312" w:cs="仿宋_GB2312" w:eastAsia="仿宋_GB2312"/>
                <w:sz w:val="18"/>
                <w:b/>
                <w:color w:val="000000"/>
              </w:rPr>
              <w:t>服务要求（如对人员配置、专业设备、服务标准等）</w:t>
            </w:r>
          </w:p>
          <w:p>
            <w:pPr>
              <w:pStyle w:val="null3"/>
              <w:ind w:firstLine="360"/>
              <w:jc w:val="left"/>
            </w:pPr>
            <w:r>
              <w:rPr>
                <w:rFonts w:ascii="仿宋_GB2312" w:hAnsi="仿宋_GB2312" w:cs="仿宋_GB2312" w:eastAsia="仿宋_GB2312"/>
                <w:sz w:val="18"/>
                <w:color w:val="000000"/>
              </w:rPr>
              <w:t>1、数字内容策划方案：根据数字内容的制作要求，展示水陆庵项目的策划方案。方案描述清楚，内容全面且有创意。既有整体思路又有详细内容效果展示。</w:t>
            </w:r>
          </w:p>
          <w:p>
            <w:pPr>
              <w:pStyle w:val="null3"/>
              <w:ind w:firstLine="360"/>
              <w:jc w:val="left"/>
            </w:pPr>
            <w:r>
              <w:rPr>
                <w:rFonts w:ascii="仿宋_GB2312" w:hAnsi="仿宋_GB2312" w:cs="仿宋_GB2312" w:eastAsia="仿宋_GB2312"/>
                <w:sz w:val="18"/>
                <w:color w:val="000000"/>
              </w:rPr>
              <w:t>2、履约能力：针对项目提供的设施设备配置情况、团队构成情况。</w:t>
            </w:r>
          </w:p>
          <w:p>
            <w:pPr>
              <w:pStyle w:val="null3"/>
              <w:ind w:firstLine="360"/>
              <w:jc w:val="left"/>
            </w:pPr>
            <w:r>
              <w:rPr>
                <w:rFonts w:ascii="仿宋_GB2312" w:hAnsi="仿宋_GB2312" w:cs="仿宋_GB2312" w:eastAsia="仿宋_GB2312"/>
                <w:sz w:val="18"/>
                <w:color w:val="000000"/>
              </w:rPr>
              <w:t>3、售后服务：根据数字内容的需求对方案进行补充完善，提供详细、可行的服务方案，提供服务响应机制及用户沟通机制。</w:t>
            </w:r>
          </w:p>
          <w:p>
            <w:pPr>
              <w:pStyle w:val="null3"/>
              <w:ind w:firstLine="360"/>
              <w:jc w:val="left"/>
            </w:pPr>
            <w:r>
              <w:rPr>
                <w:rFonts w:ascii="仿宋_GB2312" w:hAnsi="仿宋_GB2312" w:cs="仿宋_GB2312" w:eastAsia="仿宋_GB2312"/>
                <w:sz w:val="18"/>
                <w:color w:val="000000"/>
              </w:rPr>
              <w:t>4、进度控制：合同签订后5日内提交分镜头脚本，25日内完成样片，全程接受采购人审核。</w:t>
            </w:r>
          </w:p>
          <w:p>
            <w:pPr>
              <w:pStyle w:val="null3"/>
              <w:ind w:firstLine="360"/>
              <w:jc w:val="left"/>
            </w:pPr>
            <w:r>
              <w:rPr>
                <w:rFonts w:ascii="仿宋_GB2312" w:hAnsi="仿宋_GB2312" w:cs="仿宋_GB2312" w:eastAsia="仿宋_GB2312"/>
                <w:sz w:val="18"/>
                <w:color w:val="000000"/>
              </w:rPr>
              <w:t>5、成果交付：提供全素材U盘存档。</w:t>
            </w:r>
          </w:p>
          <w:p>
            <w:pPr>
              <w:pStyle w:val="null3"/>
              <w:ind w:firstLine="360"/>
              <w:jc w:val="left"/>
            </w:pPr>
            <w:r>
              <w:rPr>
                <w:rFonts w:ascii="仿宋_GB2312" w:hAnsi="仿宋_GB2312" w:cs="仿宋_GB2312" w:eastAsia="仿宋_GB2312"/>
                <w:sz w:val="18"/>
                <w:color w:val="000000"/>
              </w:rPr>
              <w:t>6、拍摄规格</w:t>
            </w:r>
          </w:p>
          <w:p>
            <w:pPr>
              <w:pStyle w:val="null3"/>
              <w:ind w:firstLine="360"/>
              <w:jc w:val="left"/>
            </w:pPr>
            <w:r>
              <w:rPr>
                <w:rFonts w:ascii="仿宋_GB2312" w:hAnsi="仿宋_GB2312" w:cs="仿宋_GB2312" w:eastAsia="仿宋_GB2312"/>
                <w:sz w:val="18"/>
                <w:color w:val="000000"/>
              </w:rPr>
              <w:t>分辨率：不低于4K（3840×2160），部分项目强调需达到院线级别画质。特殊场景需支持60帧/秒高帧率，确保画面流畅。</w:t>
            </w:r>
          </w:p>
          <w:p>
            <w:pPr>
              <w:pStyle w:val="null3"/>
              <w:ind w:firstLine="360"/>
              <w:jc w:val="left"/>
            </w:pPr>
            <w:r>
              <w:rPr>
                <w:rFonts w:ascii="仿宋_GB2312" w:hAnsi="仿宋_GB2312" w:cs="仿宋_GB2312" w:eastAsia="仿宋_GB2312"/>
                <w:sz w:val="18"/>
                <w:color w:val="000000"/>
              </w:rPr>
              <w:t>设备：使用专业级摄像机、高清数字导播台、专业声音录制设备。</w:t>
            </w:r>
          </w:p>
          <w:p>
            <w:pPr>
              <w:pStyle w:val="null3"/>
              <w:ind w:firstLine="360"/>
              <w:jc w:val="left"/>
            </w:pPr>
            <w:r>
              <w:rPr>
                <w:rFonts w:ascii="仿宋_GB2312" w:hAnsi="仿宋_GB2312" w:cs="仿宋_GB2312" w:eastAsia="仿宋_GB2312"/>
                <w:sz w:val="18"/>
                <w:color w:val="000000"/>
              </w:rPr>
              <w:t>7、后期制作</w:t>
            </w:r>
          </w:p>
          <w:p>
            <w:pPr>
              <w:pStyle w:val="null3"/>
              <w:ind w:firstLine="360"/>
              <w:jc w:val="left"/>
            </w:pPr>
            <w:r>
              <w:rPr>
                <w:rFonts w:ascii="仿宋_GB2312" w:hAnsi="仿宋_GB2312" w:cs="仿宋_GB2312" w:eastAsia="仿宋_GB2312"/>
                <w:sz w:val="18"/>
                <w:color w:val="000000"/>
              </w:rPr>
              <w:t>①调色：专业调色，匹配历史文化场景的厚重感与现代空间的科技感。</w:t>
            </w:r>
          </w:p>
          <w:p>
            <w:pPr>
              <w:pStyle w:val="null3"/>
              <w:ind w:firstLine="360"/>
              <w:jc w:val="left"/>
            </w:pPr>
            <w:r>
              <w:rPr>
                <w:rFonts w:ascii="仿宋_GB2312" w:hAnsi="仿宋_GB2312" w:cs="仿宋_GB2312" w:eastAsia="仿宋_GB2312"/>
                <w:sz w:val="18"/>
                <w:color w:val="000000"/>
              </w:rPr>
              <w:t>②音效：立体声混音，背景音乐原创或取得商用授权；人声配音需普通话一级甲等。</w:t>
            </w:r>
          </w:p>
          <w:p>
            <w:pPr>
              <w:pStyle w:val="null3"/>
              <w:ind w:firstLine="360"/>
              <w:jc w:val="left"/>
            </w:pPr>
            <w:r>
              <w:rPr>
                <w:rFonts w:ascii="仿宋_GB2312" w:hAnsi="仿宋_GB2312" w:cs="仿宋_GB2312" w:eastAsia="仿宋_GB2312"/>
                <w:sz w:val="18"/>
                <w:color w:val="000000"/>
              </w:rPr>
              <w:t>③包装：动态图形（MG动画）展示文化数据（如服务人次、设施覆盖率），并动态建模三维动画展示。</w:t>
            </w:r>
          </w:p>
          <w:p>
            <w:pPr>
              <w:pStyle w:val="null3"/>
              <w:ind w:firstLine="360"/>
              <w:jc w:val="left"/>
            </w:pPr>
            <w:r>
              <w:rPr>
                <w:rFonts w:ascii="仿宋_GB2312" w:hAnsi="仿宋_GB2312" w:cs="仿宋_GB2312" w:eastAsia="仿宋_GB2312"/>
                <w:sz w:val="18"/>
                <w:color w:val="000000"/>
              </w:rPr>
              <w:t>8、交付格式</w:t>
            </w:r>
          </w:p>
          <w:p>
            <w:pPr>
              <w:pStyle w:val="null3"/>
              <w:ind w:firstLine="360"/>
              <w:jc w:val="left"/>
            </w:pPr>
            <w:r>
              <w:rPr>
                <w:rFonts w:ascii="仿宋_GB2312" w:hAnsi="仿宋_GB2312" w:cs="仿宋_GB2312" w:eastAsia="仿宋_GB2312"/>
                <w:sz w:val="18"/>
                <w:color w:val="000000"/>
              </w:rPr>
              <w:t>①主片时长：9分钟。</w:t>
            </w:r>
          </w:p>
          <w:p>
            <w:pPr>
              <w:pStyle w:val="null3"/>
              <w:ind w:firstLine="360"/>
              <w:jc w:val="left"/>
            </w:pPr>
            <w:r>
              <w:rPr>
                <w:rFonts w:ascii="仿宋_GB2312" w:hAnsi="仿宋_GB2312" w:cs="仿宋_GB2312" w:eastAsia="仿宋_GB2312"/>
                <w:sz w:val="18"/>
                <w:color w:val="000000"/>
              </w:rPr>
              <w:t>②格式：MOV/ MP4（H.264，码率≥50Mbps）。</w:t>
            </w:r>
          </w:p>
          <w:p>
            <w:pPr>
              <w:pStyle w:val="null3"/>
              <w:jc w:val="left"/>
            </w:pPr>
            <w:r>
              <w:rPr>
                <w:rFonts w:ascii="仿宋_GB2312" w:hAnsi="仿宋_GB2312" w:cs="仿宋_GB2312" w:eastAsia="仿宋_GB2312"/>
                <w:sz w:val="18"/>
                <w:b/>
                <w:color w:val="000000"/>
              </w:rPr>
              <w:t>四、</w:t>
            </w:r>
            <w:r>
              <w:rPr>
                <w:rFonts w:ascii="仿宋_GB2312" w:hAnsi="仿宋_GB2312" w:cs="仿宋_GB2312" w:eastAsia="仿宋_GB2312"/>
                <w:sz w:val="18"/>
                <w:b/>
                <w:color w:val="000000"/>
              </w:rPr>
              <w:t>商务要求（如服务期限、款项结算等）</w:t>
            </w:r>
          </w:p>
          <w:p>
            <w:pPr>
              <w:pStyle w:val="null3"/>
              <w:jc w:val="left"/>
            </w:pPr>
            <w:r>
              <w:rPr>
                <w:rFonts w:ascii="仿宋_GB2312" w:hAnsi="仿宋_GB2312" w:cs="仿宋_GB2312" w:eastAsia="仿宋_GB2312"/>
                <w:sz w:val="18"/>
                <w:color w:val="000000"/>
              </w:rPr>
              <w:t xml:space="preserve">  1、服务期限：自合同签订之日起</w:t>
            </w:r>
            <w:r>
              <w:rPr>
                <w:rFonts w:ascii="仿宋_GB2312" w:hAnsi="仿宋_GB2312" w:cs="仿宋_GB2312" w:eastAsia="仿宋_GB2312"/>
                <w:sz w:val="18"/>
                <w:color w:val="000000"/>
              </w:rPr>
              <w:t>3</w:t>
            </w:r>
            <w:r>
              <w:rPr>
                <w:rFonts w:ascii="仿宋_GB2312" w:hAnsi="仿宋_GB2312" w:cs="仿宋_GB2312" w:eastAsia="仿宋_GB2312"/>
                <w:sz w:val="18"/>
                <w:color w:val="000000"/>
              </w:rPr>
              <w:t>个月。</w:t>
            </w:r>
          </w:p>
          <w:p>
            <w:pPr>
              <w:pStyle w:val="null3"/>
              <w:jc w:val="left"/>
            </w:pPr>
            <w:r>
              <w:rPr>
                <w:rFonts w:ascii="仿宋_GB2312" w:hAnsi="仿宋_GB2312" w:cs="仿宋_GB2312" w:eastAsia="仿宋_GB2312"/>
                <w:sz w:val="18"/>
                <w:color w:val="000000"/>
              </w:rPr>
              <w:t xml:space="preserve">  2、款项结</w:t>
            </w:r>
            <w:r>
              <w:rPr>
                <w:rFonts w:ascii="仿宋_GB2312" w:hAnsi="仿宋_GB2312" w:cs="仿宋_GB2312" w:eastAsia="仿宋_GB2312"/>
                <w:sz w:val="18"/>
                <w:color w:val="000000"/>
              </w:rPr>
              <w:t>算：项目整体结束并验收合格后30日内，支付合同总金额的100%。在申请付款前，乙方需向甲方开具财务部门认可的等额发票。</w:t>
            </w:r>
          </w:p>
          <w:p>
            <w:pPr>
              <w:pStyle w:val="null3"/>
              <w:jc w:val="left"/>
            </w:pPr>
            <w:r>
              <w:rPr>
                <w:rFonts w:ascii="仿宋_GB2312" w:hAnsi="仿宋_GB2312" w:cs="仿宋_GB2312" w:eastAsia="仿宋_GB2312"/>
                <w:sz w:val="18"/>
                <w:color w:val="000000"/>
              </w:rPr>
              <w:t xml:space="preserve">  3、制作周期：自合同签订之日起30个日历日完成。                          </w:t>
            </w:r>
          </w:p>
          <w:p>
            <w:pPr>
              <w:pStyle w:val="null3"/>
              <w:jc w:val="left"/>
            </w:pPr>
            <w:r>
              <w:rPr>
                <w:rFonts w:ascii="仿宋_GB2312" w:hAnsi="仿宋_GB2312" w:cs="仿宋_GB2312" w:eastAsia="仿宋_GB2312"/>
                <w:sz w:val="18"/>
                <w:b/>
                <w:color w:val="000000"/>
              </w:rPr>
              <w:t>五、其他</w:t>
            </w:r>
          </w:p>
          <w:p>
            <w:pPr>
              <w:pStyle w:val="null3"/>
              <w:jc w:val="left"/>
            </w:pPr>
            <w:r>
              <w:rPr>
                <w:rFonts w:ascii="仿宋_GB2312" w:hAnsi="仿宋_GB2312" w:cs="仿宋_GB2312" w:eastAsia="仿宋_GB2312"/>
                <w:sz w:val="18"/>
                <w:color w:val="000000"/>
              </w:rPr>
              <w:t xml:space="preserve">  1、业绩：以合同形式提供2022年至今类似业绩。</w:t>
            </w:r>
          </w:p>
          <w:p>
            <w:pPr>
              <w:pStyle w:val="null3"/>
              <w:jc w:val="left"/>
            </w:pPr>
            <w:r>
              <w:rPr>
                <w:rFonts w:ascii="仿宋_GB2312" w:hAnsi="仿宋_GB2312" w:cs="仿宋_GB2312" w:eastAsia="仿宋_GB2312"/>
                <w:sz w:val="18"/>
                <w:color w:val="000000"/>
              </w:rPr>
              <w:t xml:space="preserve">  2、质量验收标准或规范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符合现行的国家相关标准或国家行政部门颁发的相关法律法规、规章制度等</w:t>
            </w:r>
            <w:r>
              <w:rPr>
                <w:rFonts w:ascii="仿宋_GB2312" w:hAnsi="仿宋_GB2312" w:cs="仿宋_GB2312" w:eastAsia="仿宋_GB2312"/>
                <w:sz w:val="18"/>
                <w:color w:val="000000"/>
              </w:rPr>
              <w:t>，</w:t>
            </w:r>
            <w:r>
              <w:rPr>
                <w:rFonts w:ascii="仿宋_GB2312" w:hAnsi="仿宋_GB2312" w:cs="仿宋_GB2312" w:eastAsia="仿宋_GB2312"/>
                <w:sz w:val="18"/>
                <w:color w:val="000000"/>
              </w:rPr>
              <w:t>没有国家标准的需符合相关行业标准要求。</w:t>
            </w:r>
          </w:p>
          <w:p>
            <w:pPr>
              <w:pStyle w:val="null3"/>
              <w:jc w:val="left"/>
            </w:pPr>
            <w:r>
              <w:rPr>
                <w:rFonts w:ascii="仿宋_GB2312" w:hAnsi="仿宋_GB2312" w:cs="仿宋_GB2312" w:eastAsia="仿宋_GB2312"/>
                <w:sz w:val="18"/>
                <w:b/>
                <w:color w:val="000000"/>
              </w:rPr>
              <w:t>六、</w:t>
            </w:r>
            <w:r>
              <w:rPr>
                <w:rFonts w:ascii="仿宋_GB2312" w:hAnsi="仿宋_GB2312" w:cs="仿宋_GB2312" w:eastAsia="仿宋_GB2312"/>
                <w:sz w:val="18"/>
                <w:b/>
                <w:color w:val="000000"/>
              </w:rPr>
              <w:t>违约责任</w:t>
            </w:r>
          </w:p>
          <w:p>
            <w:pPr>
              <w:pStyle w:val="null3"/>
              <w:ind w:firstLine="360"/>
              <w:jc w:val="left"/>
            </w:pPr>
            <w:r>
              <w:rPr>
                <w:rFonts w:ascii="仿宋_GB2312" w:hAnsi="仿宋_GB2312" w:cs="仿宋_GB2312" w:eastAsia="仿宋_GB2312"/>
                <w:sz w:val="18"/>
                <w:color w:val="000000"/>
              </w:rPr>
              <w:t>1、按《中华人民共和国民法典》中的相关条款执行；</w:t>
            </w:r>
          </w:p>
          <w:p>
            <w:pPr>
              <w:pStyle w:val="null3"/>
              <w:ind w:firstLine="360"/>
              <w:jc w:val="left"/>
            </w:pPr>
            <w:r>
              <w:rPr>
                <w:rFonts w:ascii="仿宋_GB2312" w:hAnsi="仿宋_GB2312" w:cs="仿宋_GB2312" w:eastAsia="仿宋_GB2312"/>
                <w:sz w:val="18"/>
                <w:color w:val="000000"/>
              </w:rPr>
              <w:t>2、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p>
          <w:p>
            <w:pPr>
              <w:pStyle w:val="null3"/>
              <w:ind w:firstLine="360"/>
              <w:jc w:val="left"/>
            </w:pPr>
            <w:r>
              <w:rPr>
                <w:rFonts w:ascii="仿宋_GB2312" w:hAnsi="仿宋_GB2312" w:cs="仿宋_GB2312" w:eastAsia="仿宋_GB2312"/>
                <w:sz w:val="18"/>
                <w:color w:val="000000"/>
              </w:rPr>
              <w:t>3、任何一方因不可抗力原因不能履行协议时，应尽快通知对方，双方均设法补偿。如仍无法履约协议，可协商延缓或撤销协议，双方责任免除。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符合现行的国家相关标准或国家行政部门颁发的相关法律法规、规章制度等。没有国家标准的需符合相关行业标准要求。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磋商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提供2024年度经审计的财务报告（包括“四表一注”即《资产负债表》《利润表》《现金流量表》《所有者权益变动表》及其附注；成立时间至提交磋商文件截止时间不足一年的可提供成立后任意时段的资产负债表），或磋商截止时间前6个月内银行出具的资信证明；(3)提供磋商文件递交截止日前一年内已缴纳的至少一个月的纳税证明或完税证明，依法免税的单位应提供相关证明材料；(4)提供磋商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其它资料.docx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磋商文件截止时间不足一年的可提供成立后任意时段的资产负债表），或磋商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其它资料.docx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其它资料.docx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其它资料.docx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 中列入失信被执行人和重大税收违法案件当事人名单的磋商供应商，不得为中国政府采购网（www.ccgp.gov.cn）政府采购严重违法失信行为记录名单中被财政部门禁止参加政府采购活动的磋商供应商。</w:t>
            </w:r>
          </w:p>
        </w:tc>
        <w:tc>
          <w:tcPr>
            <w:tcW w:type="dxa" w:w="1661"/>
          </w:tcPr>
          <w:p>
            <w:pPr>
              <w:pStyle w:val="null3"/>
            </w:pPr>
            <w:r>
              <w:rPr>
                <w:rFonts w:ascii="仿宋_GB2312" w:hAnsi="仿宋_GB2312" w:cs="仿宋_GB2312" w:eastAsia="仿宋_GB2312"/>
              </w:rPr>
              <w:t>其它资料.docx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其它资料.docx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暂行办法》（财库〔2020〕46号）条件的中小企业参与，供应商应填写中小企业声明函并对真实性负责。残疾人福利性单位及监狱企业视同为小型、微型企业，残疾人福利性单位应符合《三部门联合发布关于促进残疾人就业政府采购政策的通知》（财库〔2017〕141号）要求，监狱企业应符合《财政部司法部关于政府采购支持监狱企业发展有关问题的通知》（财库〔2014〕68 号）要求。</w:t>
            </w:r>
          </w:p>
        </w:tc>
        <w:tc>
          <w:tcPr>
            <w:tcW w:type="dxa" w:w="1661"/>
          </w:tcPr>
          <w:p>
            <w:pPr>
              <w:pStyle w:val="null3"/>
            </w:pPr>
            <w:r>
              <w:rPr>
                <w:rFonts w:ascii="仿宋_GB2312" w:hAnsi="仿宋_GB2312" w:cs="仿宋_GB2312" w:eastAsia="仿宋_GB2312"/>
              </w:rPr>
              <w:t>中小企业声明函 其它资料.docx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磋商响应文件构成无重大缺项（详细评审内容除外），按照磋商文件要求的格式编写磋商响应文件</w:t>
            </w:r>
          </w:p>
        </w:tc>
        <w:tc>
          <w:tcPr>
            <w:tcW w:type="dxa" w:w="1661"/>
          </w:tcPr>
          <w:p>
            <w:pPr>
              <w:pStyle w:val="null3"/>
            </w:pPr>
            <w:r>
              <w:rPr>
                <w:rFonts w:ascii="仿宋_GB2312" w:hAnsi="仿宋_GB2312" w:cs="仿宋_GB2312" w:eastAsia="仿宋_GB2312"/>
              </w:rPr>
              <w:t>业绩一览表.docx 中小企业声明函 其它资料.docx 报价表 响应文件封面 分项报价表.docx 残疾人福利性单位声明函 拒绝政府采购领域商业贿赂承诺书.docx 服务方案 标的清单 供应商资格证明文件.docx 响应函 监狱企业的证明文件 商务条款响应表及服务条款响应表.docx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业绩一览表.docx 中小企业声明函 其它资料.docx 报价表 响应文件封面 分项报价表.docx 拒绝政府采购领域商业贿赂承诺书.docx 残疾人福利性单位声明函 服务方案 标的清单 供应商资格证明文件.docx 响应函 监狱企业的证明文件 商务条款响应表及服务条款响应表.docx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 90 日历日</w:t>
            </w:r>
          </w:p>
        </w:tc>
        <w:tc>
          <w:tcPr>
            <w:tcW w:type="dxa" w:w="1661"/>
          </w:tcPr>
          <w:p>
            <w:pPr>
              <w:pStyle w:val="null3"/>
            </w:pPr>
            <w:r>
              <w:rPr>
                <w:rFonts w:ascii="仿宋_GB2312" w:hAnsi="仿宋_GB2312" w:cs="仿宋_GB2312" w:eastAsia="仿宋_GB2312"/>
              </w:rPr>
              <w:t>响应函 商务条款响应表及服务条款响应表.docx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商务条款响应表及服务条款响应表.docx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商务条款响应表及服务条款响应表.docx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业绩一览表.docx 中小企业声明函 其它资料.docx 报价表 响应文件封面 分项报价表.docx 残疾人福利性单位声明函 拒绝政府采购领域商业贿赂承诺书.docx 服务方案 标的清单 供应商资格证明文件.docx 响应函 监狱企业的证明文件 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本项目采购内容，制定整体服务方案，内容包括但不限于：①制作思路及创意；②进度控制方案；③成果交付方案；④后期制作方案。各个部分内容全面、合理、逻辑清晰、阐述条理清晰且描述详细得20分；以上分项每缺少一项内容扣5分；有一项不完整或逻辑条理性欠佳或不满足实施要求或套用其他项目内容的扣1-3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服务保障措施及承诺</w:t>
            </w:r>
          </w:p>
        </w:tc>
        <w:tc>
          <w:tcPr>
            <w:tcW w:type="dxa" w:w="2492"/>
          </w:tcPr>
          <w:p>
            <w:pPr>
              <w:pStyle w:val="null3"/>
            </w:pPr>
            <w:r>
              <w:rPr>
                <w:rFonts w:ascii="仿宋_GB2312" w:hAnsi="仿宋_GB2312" w:cs="仿宋_GB2312" w:eastAsia="仿宋_GB2312"/>
              </w:rPr>
              <w:t>根据本项目采购内容，制定服务保障措施，内容包括但不限于：①质量保障措施；②进度保障措施；③服务承诺。各个部分内容全面、合理、逻辑清晰、阐述条理清晰且描述详细得15分；各个部分内容较全面、较合理、逻辑较清晰、阐述条理较清晰得10分；各个部分内容不全面、不合理、逻辑较差、阐述条理模糊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拟投入本项目的人员配备</w:t>
            </w:r>
          </w:p>
        </w:tc>
        <w:tc>
          <w:tcPr>
            <w:tcW w:type="dxa" w:w="2492"/>
          </w:tcPr>
          <w:p>
            <w:pPr>
              <w:pStyle w:val="null3"/>
            </w:pPr>
            <w:r>
              <w:rPr>
                <w:rFonts w:ascii="仿宋_GB2312" w:hAnsi="仿宋_GB2312" w:cs="仿宋_GB2312" w:eastAsia="仿宋_GB2312"/>
              </w:rPr>
              <w:t>根据本项目采购内容，制定人员配置方案，内容包括但不限于：①技术服务团队人员清单及配置信息；②岗位职责；③ 从业经历等。各个部分内容全面、合理、逻辑清晰、阐述条理清晰且描述详细得12分；各个部分内容较全面、较合理、逻辑较清晰、阐述条理较清晰得9分；各个部分内容不全面、不合理、逻辑较差、阐述条理模糊得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拟投入本项目的作业设备</w:t>
            </w:r>
          </w:p>
        </w:tc>
        <w:tc>
          <w:tcPr>
            <w:tcW w:type="dxa" w:w="2492"/>
          </w:tcPr>
          <w:p>
            <w:pPr>
              <w:pStyle w:val="null3"/>
            </w:pPr>
            <w:r>
              <w:rPr>
                <w:rFonts w:ascii="仿宋_GB2312" w:hAnsi="仿宋_GB2312" w:cs="仿宋_GB2312" w:eastAsia="仿宋_GB2312"/>
              </w:rPr>
              <w:t>根据本项目采购内容，制定作业设备配置方案，内容包括但不限于：①作业设备种类；②作业设备用途；③作业设备数量。各个部分内容全面、合理、逻辑清晰、阐述条理清晰且描述详细得9 分；各个部分内容较全面、较合理、逻辑较清晰、阐述条理较清晰得6分；各个部分内容不全面、不合理、逻辑较差、阐述条理模糊得3分；未提供不得分。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商务条款响应表及服务条款响应表.docx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针对本项目采购内容，制定应急方案，内容包括但不限于：①人员安全、第三者安全保障措施；②突发情况应急方案；③恶劣天气应急方案。各个部分内容全面、合理、逻辑清晰、阐述条理清晰且描述详细得9 分；各个部分内容较全面、较合理、逻辑较清晰、阐述条理较清晰得6分；各个部分内容不全面、不合理、逻辑较差、阐述条理模糊得3分；未提供不得分。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系统维护方案</w:t>
            </w:r>
          </w:p>
        </w:tc>
        <w:tc>
          <w:tcPr>
            <w:tcW w:type="dxa" w:w="2492"/>
          </w:tcPr>
          <w:p>
            <w:pPr>
              <w:pStyle w:val="null3"/>
            </w:pPr>
            <w:r>
              <w:rPr>
                <w:rFonts w:ascii="仿宋_GB2312" w:hAnsi="仿宋_GB2312" w:cs="仿宋_GB2312" w:eastAsia="仿宋_GB2312"/>
              </w:rPr>
              <w:t>针对本项目的采购内容制定系统维护方案，内容包括但不限于：①维护；②优化内容；③定期维护时间安排；④配套软件种类等。各个部分内容全面、合理、逻辑清晰、阐述条理清晰且描述详细得8分；各个部分内容较全面、较合理、逻辑较清晰、阐述条理较清晰得5分；各个部分内容不全面、不合理、逻辑较差、阐述条理模糊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供应商须承诺针对本项目提供的视频须为原创，不得抄袭。如作品中含有的非原创性的内容，包括画面、音乐等元素，必须确保无知识产权争议。如有任何侵权行为均由供应商承担相应责任和赔偿。 响应文件中提供以上内容的承诺书，根据提供承诺书的全面、合理性赋0-5分；未提供不得分。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其它资料.docx</w:t>
            </w:r>
          </w:p>
          <w:p>
            <w:pPr>
              <w:pStyle w:val="null3"/>
            </w:pPr>
            <w:r>
              <w:rPr>
                <w:rFonts w:ascii="仿宋_GB2312" w:hAnsi="仿宋_GB2312" w:cs="仿宋_GB2312" w:eastAsia="仿宋_GB2312"/>
              </w:rPr>
              <w:t>商务条款响应表及服务条款响应表.docx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年1 月至今类似项目业绩合同（以合同签订时间为准）；一个业绩得3分，最高得 12 分； 评审依据：提供完整合同复印件并加盖公章。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其它资料.docx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