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版本号：HCCG-2025-38820251121001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蓝田县文化和旅游资源普查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HCCG-2025-388</w:t>
      </w:r>
      <w:r>
        <w:br/>
      </w:r>
      <w:r>
        <w:br/>
      </w:r>
      <w:r>
        <w:br/>
      </w:r>
    </w:p>
    <w:p>
      <w:pPr>
        <w:pStyle w:val="null3"/>
        <w:jc w:val="center"/>
        <w:outlineLvl w:val="2"/>
      </w:pPr>
      <w:r>
        <w:rPr>
          <w:rFonts w:ascii="仿宋_GB2312" w:hAnsi="仿宋_GB2312" w:cs="仿宋_GB2312" w:eastAsia="仿宋_GB2312"/>
          <w:sz w:val="28"/>
          <w:b/>
        </w:rPr>
        <w:t>西安市蓝田县文化和旅游体育局（本级）</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西安市蓝田县文化和旅游体育局（本级）</w:t>
      </w:r>
      <w:r>
        <w:rPr>
          <w:rFonts w:ascii="仿宋_GB2312" w:hAnsi="仿宋_GB2312" w:cs="仿宋_GB2312" w:eastAsia="仿宋_GB2312"/>
        </w:rPr>
        <w:t>委托，拟对</w:t>
      </w:r>
      <w:r>
        <w:rPr>
          <w:rFonts w:ascii="仿宋_GB2312" w:hAnsi="仿宋_GB2312" w:cs="仿宋_GB2312" w:eastAsia="仿宋_GB2312"/>
        </w:rPr>
        <w:t>蓝田县文化和旅游资源普查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HCCG-2025-388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蓝田县文化和旅游资源普查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文化和旅游资源普查项目；摸清全县19个镇街范围内文旅资源底数，主要包括古籍、美术馆藏品、地方戏曲剧种、非物质文化遗产四大类文化资源，地文景观、水域景观、生物景观、历史遗迹、建筑与设施、旅游商品等旅游资源；主要功能或目标:依据文化和旅游部有关标准，摸清全县文化和旅游资源底数，评估我县文旅发展潜力，通过资源整合，找准旅游发展着力点；需满足的要求:依据相关标准，结合我县实际，坚持普查与调查、传统手段与数字科技相结合，做到“能普尽普、应普尽普”，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采购包1（蓝田县文化和旅游资源普查）：属于专门面向中小企业采购。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附法定代表人、被授权人身份证复印件）及被授权人身份证原件（法定代表人直接参加招标，须提供法定代表人身份证明及身份证原件）；非法人单位参照执行：法定代表人授权书（附法定代表人、被授权人身份证复印件）及被授权人身份证原件（法定代表人直接参加招标，须提供法定代表人身份证明及身份证原件）；非法人单位参照执行</w:t>
      </w:r>
    </w:p>
    <w:p>
      <w:pPr>
        <w:pStyle w:val="null3"/>
      </w:pPr>
      <w:r>
        <w:rPr>
          <w:rFonts w:ascii="仿宋_GB2312" w:hAnsi="仿宋_GB2312" w:cs="仿宋_GB2312" w:eastAsia="仿宋_GB2312"/>
        </w:rPr>
        <w:t>3、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4、税收缴纳证明：提供自2024年10月1日至今已缴纳的至少一个月的纳税证明或完税证明，纳税证明或完税证明上应有代收机构或税务机关的公章或业务专用章，依法免税的服务商应提供相关文件证明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5、社会保障资金缴纳证明：提供自2024年10月1日至今已缴存的至少一个月的社会保障资金缴存单据或社保机构开具的社会保险参保缴费情况证明；依法不需要缴纳社会保障资金的应提供相关文件证明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6、前三年内无重大违法记录：参加政府采购活动前3年内，在经营活动中没有重大违法记录</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誉：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现场由采购人或采购代理机构在投标文件资格审查阶段通过互联网或者相关系统查询，查询结果以现场现场查询为准 ）</w:t>
      </w:r>
    </w:p>
    <w:p>
      <w:pPr>
        <w:pStyle w:val="null3"/>
      </w:pPr>
      <w:r>
        <w:rPr>
          <w:rFonts w:ascii="仿宋_GB2312" w:hAnsi="仿宋_GB2312" w:cs="仿宋_GB2312" w:eastAsia="仿宋_GB2312"/>
        </w:rPr>
        <w:t>9、控股管理关系：本项目不接受联合体投标，单位负责人为同一人或者存在直接控股、管理关系的不同供应商，不得参加同一合同项下的政府采购活动。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10、特定资质：投标人具有测绘资质乙级及以上资质（专业范围包含地理信息系统工程、摄影测量与遥感。）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西安市蓝田县文化和旅游体育局（本级）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蓝田县县门街6号政府大院内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029-82721289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西安市雁塔区南二环西段成长大厦8楼招标中心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徐欣、程琤、张菁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029-89115858-8010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采购包1：425,930.00元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代理服务费收费标准：1.代理服务费按约定由成交供应商支付，领取成交通知书前，由成交供应商向采购代理机构缴纳代理服务费，一次性付清。 2.代理服务费参考国家计委《招标代理服务收费管理暂行办法》计价格[2002]1980号、国家发展改革委办公厅《关于招标代理服务收费有关问题的通知》发改办价格［2003］857号规定的标准收取，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西安市蓝田县文化和旅游体育局（本级）</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西安市蓝田县文化和旅游体育局（本级）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西安市蓝田县文化和旅游体育局（本级）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联系人：徐欣、程琤、张菁</w:t>
      </w:r>
    </w:p>
    <w:p>
      <w:pPr>
        <w:pStyle w:val="null3"/>
      </w:pPr>
      <w:r>
        <w:rPr>
          <w:rFonts w:ascii="仿宋_GB2312" w:hAnsi="仿宋_GB2312" w:cs="仿宋_GB2312" w:eastAsia="仿宋_GB2312"/>
        </w:rPr>
        <w:t>联系电话：029-89115858-8010</w:t>
      </w:r>
    </w:p>
    <w:p>
      <w:pPr>
        <w:pStyle w:val="null3"/>
      </w:pPr>
      <w:r>
        <w:rPr>
          <w:rFonts w:ascii="仿宋_GB2312" w:hAnsi="仿宋_GB2312" w:cs="仿宋_GB2312" w:eastAsia="仿宋_GB2312"/>
        </w:rPr>
        <w:t>地址：西安市南二环与朱雀路十字西南角成长大厦 8 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蓝田县文化和旅游资源普查项目；摸清全县19个镇街范围内文旅资源底数，主要包括古籍、美术馆藏品、地方戏曲剧种、非物质文化遗产四大类文化资源，地文景观、水域景观、生物景观、历史遗迹、建筑与设施、旅游商品等旅游资源；主要功能或目标:依据文化和旅游部有关标准，摸清全县文化和旅游资源底数，评估我县文旅发展潜力，通过资源整合，找准旅游发展着力点；需满足的要求:依据相关标准，结合我县实际，坚持普查与调查、传统手段与数字科技相结合，做到“能普尽普、应普尽普”，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425,930.00</w:t>
      </w:r>
    </w:p>
    <w:p>
      <w:pPr>
        <w:pStyle w:val="null3"/>
      </w:pPr>
      <w:r>
        <w:rPr>
          <w:rFonts w:ascii="仿宋_GB2312" w:hAnsi="仿宋_GB2312" w:cs="仿宋_GB2312" w:eastAsia="仿宋_GB2312"/>
        </w:rPr>
        <w:t>采购包最高限价（元）: 425,930.00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摸清全县19个镇街范围内文旅资源底数，主要包括古籍、美术馆藏品、地方戏曲剧种、非物质文化遗产四大类文化资源，地文景观、水域景观、生物景观、历史遗迹、建筑与设施、旅游商品等旅游资源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425,930.00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标的名称：摸清全县19个镇街范围内文旅资源底数，主要包括古籍、美术馆藏品、地方戏曲剧种、非物质文化遗产四大类文化资源，地文景观、水域景观、生物景观、历史遗迹、建筑与设施、旅游商品等旅游资源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2"/>
            </w:pPr>
            <w:r>
              <w:rPr>
                <w:rFonts w:ascii="仿宋_GB2312" w:hAnsi="仿宋_GB2312" w:cs="仿宋_GB2312" w:eastAsia="仿宋_GB2312"/>
                <w:sz w:val="22"/>
                <w:b/>
                <w:color w:val="000000"/>
              </w:rPr>
              <w:t>一、普查对象</w:t>
            </w:r>
          </w:p>
          <w:p>
            <w:pPr>
              <w:pStyle w:val="null3"/>
              <w:ind w:firstLine="440"/>
            </w:pPr>
            <w:r>
              <w:rPr>
                <w:rFonts w:ascii="仿宋_GB2312" w:hAnsi="仿宋_GB2312" w:cs="仿宋_GB2312" w:eastAsia="仿宋_GB2312"/>
                <w:sz w:val="22"/>
                <w:color w:val="000000"/>
              </w:rPr>
              <w:t>分为文化资源和旅游资源两大部分。</w:t>
            </w:r>
          </w:p>
          <w:p>
            <w:pPr>
              <w:pStyle w:val="null3"/>
              <w:ind w:firstLine="440"/>
            </w:pPr>
            <w:r>
              <w:rPr>
                <w:rFonts w:ascii="仿宋_GB2312" w:hAnsi="仿宋_GB2312" w:cs="仿宋_GB2312" w:eastAsia="仿宋_GB2312"/>
                <w:sz w:val="22"/>
                <w:color w:val="000000"/>
              </w:rPr>
              <w:t>(一)文化资源。依据文化和旅游部有关标准,主要对古籍、美术馆藏品、地方戏曲剧种、非物质文化遗产四大类资源开展普查。</w:t>
            </w:r>
          </w:p>
          <w:p>
            <w:pPr>
              <w:pStyle w:val="null3"/>
              <w:ind w:firstLine="440"/>
            </w:pPr>
            <w:r>
              <w:rPr>
                <w:rFonts w:ascii="仿宋_GB2312" w:hAnsi="仿宋_GB2312" w:cs="仿宋_GB2312" w:eastAsia="仿宋_GB2312"/>
                <w:sz w:val="22"/>
                <w:color w:val="000000"/>
              </w:rPr>
              <w:t>(二)旅游资源。全县范围内能对旅游者产生吸引力，可以为旅游业开发利用，并可产生经济效益、社会效益和环境效益的各种事物和现象。依据《旅游资源分类、调查与评价》(GB/ T 18972-2017)国家标准，主要对地文景观、水域景观、生物景观、天象与气候景观、历史遗迹、建筑与设施、旅游商品(文创产品)、人文活动八大类资源开展普查。</w:t>
            </w:r>
          </w:p>
          <w:p>
            <w:pPr>
              <w:pStyle w:val="null3"/>
              <w:ind w:left="420"/>
            </w:pPr>
            <w:r>
              <w:rPr>
                <w:rFonts w:ascii="仿宋_GB2312" w:hAnsi="仿宋_GB2312" w:cs="仿宋_GB2312" w:eastAsia="仿宋_GB2312"/>
                <w:sz w:val="22"/>
                <w:b/>
                <w:color w:val="000000"/>
              </w:rPr>
              <w:t>二、普查范围</w:t>
            </w:r>
          </w:p>
          <w:p>
            <w:pPr>
              <w:pStyle w:val="null3"/>
              <w:ind w:left="420"/>
            </w:pPr>
            <w:r>
              <w:rPr>
                <w:rFonts w:ascii="仿宋_GB2312" w:hAnsi="仿宋_GB2312" w:cs="仿宋_GB2312" w:eastAsia="仿宋_GB2312"/>
                <w:sz w:val="22"/>
                <w:color w:val="000000"/>
              </w:rPr>
              <w:t>全县范围内</w:t>
            </w:r>
            <w:r>
              <w:rPr>
                <w:rFonts w:ascii="仿宋_GB2312" w:hAnsi="仿宋_GB2312" w:cs="仿宋_GB2312" w:eastAsia="仿宋_GB2312"/>
                <w:sz w:val="22"/>
                <w:color w:val="000000"/>
              </w:rPr>
              <w:t>19个镇街</w:t>
            </w:r>
          </w:p>
          <w:p>
            <w:pPr>
              <w:pStyle w:val="null3"/>
              <w:ind w:left="420"/>
            </w:pPr>
            <w:r>
              <w:rPr>
                <w:rFonts w:ascii="仿宋_GB2312" w:hAnsi="仿宋_GB2312" w:cs="仿宋_GB2312" w:eastAsia="仿宋_GB2312"/>
                <w:sz w:val="22"/>
                <w:color w:val="000000"/>
              </w:rPr>
              <w:t>三、</w:t>
            </w:r>
            <w:r>
              <w:rPr>
                <w:rFonts w:ascii="仿宋_GB2312" w:hAnsi="仿宋_GB2312" w:cs="仿宋_GB2312" w:eastAsia="仿宋_GB2312"/>
                <w:sz w:val="22"/>
                <w:b/>
                <w:color w:val="000000"/>
              </w:rPr>
              <w:t>普查原则</w:t>
            </w:r>
          </w:p>
          <w:p>
            <w:pPr>
              <w:pStyle w:val="null3"/>
              <w:ind w:left="420" w:firstLine="220"/>
            </w:pPr>
            <w:r>
              <w:rPr>
                <w:rFonts w:ascii="仿宋_GB2312" w:hAnsi="仿宋_GB2312" w:cs="仿宋_GB2312" w:eastAsia="仿宋_GB2312"/>
                <w:sz w:val="22"/>
                <w:color w:val="000000"/>
              </w:rPr>
              <w:t>(一)统一领导，各负其责。全县文化和旅游资源普查按照“统一领导、分工协作、分级负责、共同参与”的原则组织实施坚持全县同时推进，按照属地原则，以县文旅局为主体，统筹指导、协调推进，有关部门依据职责协同推进。</w:t>
            </w:r>
          </w:p>
          <w:p>
            <w:pPr>
              <w:pStyle w:val="null3"/>
              <w:ind w:left="420" w:firstLine="220"/>
            </w:pPr>
            <w:r>
              <w:rPr>
                <w:rFonts w:ascii="仿宋_GB2312" w:hAnsi="仿宋_GB2312" w:cs="仿宋_GB2312" w:eastAsia="仿宋_GB2312"/>
                <w:sz w:val="22"/>
                <w:color w:val="000000"/>
              </w:rPr>
              <w:t>(二)统一标准，普调结合。依据相关标准，结合我县实际，建立文化和旅游资源信息管理平台。坚持普查与调查、传统手段与数字科技相结合，对部门管理的资源采取调查方式，对乡镇资源采取现场普查方式，做到“能普尽普、应普尽普”。</w:t>
            </w:r>
          </w:p>
          <w:p>
            <w:pPr>
              <w:pStyle w:val="null3"/>
              <w:ind w:left="420" w:firstLine="220"/>
            </w:pPr>
            <w:r>
              <w:rPr>
                <w:rFonts w:ascii="仿宋_GB2312" w:hAnsi="仿宋_GB2312" w:cs="仿宋_GB2312" w:eastAsia="仿宋_GB2312"/>
                <w:sz w:val="22"/>
                <w:color w:val="000000"/>
              </w:rPr>
              <w:t>(三)全面动员，统筹协调。举全县之力，动员全民积极参与普查工作，坚持统筹协调，注重行政和技术结合，地方与行业结合，群众参与和专业调查结合，存量发掘与增量发现结合，形成合力共推普查的良好氛围。</w:t>
            </w:r>
          </w:p>
          <w:p>
            <w:pPr>
              <w:pStyle w:val="null3"/>
              <w:ind w:left="420"/>
            </w:pPr>
            <w:r>
              <w:rPr>
                <w:rFonts w:ascii="仿宋_GB2312" w:hAnsi="仿宋_GB2312" w:cs="仿宋_GB2312" w:eastAsia="仿宋_GB2312"/>
                <w:sz w:val="22"/>
                <w:b/>
                <w:color w:val="000000"/>
              </w:rPr>
              <w:t>四、普查主要任务</w:t>
            </w:r>
          </w:p>
          <w:p>
            <w:pPr>
              <w:pStyle w:val="null3"/>
              <w:ind w:firstLine="440"/>
            </w:pPr>
            <w:r>
              <w:rPr>
                <w:rFonts w:ascii="仿宋_GB2312" w:hAnsi="仿宋_GB2312" w:cs="仿宋_GB2312" w:eastAsia="仿宋_GB2312"/>
                <w:sz w:val="22"/>
                <w:color w:val="000000"/>
              </w:rPr>
              <w:t>(一)执行《陕西省文化和旅游资源普查标准体系》(以下简称《标准体系》)，依据文化和旅游部有关标准、《旅游资源分类、调查与评价》(GB/T18972-2017)和其他相关技术标准，结合我县实际，完善文化资源普查规范及要求。</w:t>
            </w:r>
          </w:p>
          <w:p>
            <w:pPr>
              <w:pStyle w:val="null3"/>
              <w:ind w:firstLine="440"/>
            </w:pPr>
            <w:r>
              <w:rPr>
                <w:rFonts w:ascii="仿宋_GB2312" w:hAnsi="仿宋_GB2312" w:cs="仿宋_GB2312" w:eastAsia="仿宋_GB2312"/>
                <w:sz w:val="22"/>
                <w:color w:val="000000"/>
              </w:rPr>
              <w:t>(二)制定《蓝田县文化和旅游资源普查工作手册》(以下简称《工作手册》)，并对普查人员进行全面培训。指导普查工作者全面掌握文化和旅游资源普查的顶层设计、技术要求、成果编制、审查流程等。</w:t>
            </w:r>
          </w:p>
          <w:p>
            <w:pPr>
              <w:pStyle w:val="null3"/>
              <w:ind w:firstLine="440"/>
            </w:pPr>
            <w:r>
              <w:rPr>
                <w:rFonts w:ascii="仿宋_GB2312" w:hAnsi="仿宋_GB2312" w:cs="仿宋_GB2312" w:eastAsia="仿宋_GB2312"/>
                <w:sz w:val="22"/>
                <w:color w:val="000000"/>
              </w:rPr>
              <w:t>(三)系统收集整理与文化和旅游相关的分布于各级各部门的各种资料和研究成果，并进行分析、识别、归类。制定本次普查工作中形成的文件材料归档范围和档案管理办法,做好普查文件材料的收集、归档和管理工作。</w:t>
            </w:r>
          </w:p>
          <w:p>
            <w:pPr>
              <w:pStyle w:val="null3"/>
              <w:ind w:firstLine="440"/>
            </w:pPr>
            <w:r>
              <w:rPr>
                <w:rFonts w:ascii="仿宋_GB2312" w:hAnsi="仿宋_GB2312" w:cs="仿宋_GB2312" w:eastAsia="仿宋_GB2312"/>
                <w:sz w:val="22"/>
                <w:color w:val="000000"/>
              </w:rPr>
              <w:t>(四)实地开展全县范围内文化和旅游资源普查工作，力争新发现一批优质文化和旅游资源。</w:t>
            </w:r>
          </w:p>
          <w:p>
            <w:pPr>
              <w:pStyle w:val="null3"/>
              <w:ind w:firstLine="440"/>
            </w:pPr>
            <w:r>
              <w:rPr>
                <w:rFonts w:ascii="仿宋_GB2312" w:hAnsi="仿宋_GB2312" w:cs="仿宋_GB2312" w:eastAsia="仿宋_GB2312"/>
                <w:sz w:val="22"/>
                <w:color w:val="000000"/>
              </w:rPr>
              <w:t>(五)按照有关标准对各类文化和旅游资源进行客观评价、归类分级。</w:t>
            </w:r>
          </w:p>
          <w:p>
            <w:pPr>
              <w:pStyle w:val="null3"/>
              <w:ind w:firstLine="440"/>
            </w:pPr>
            <w:r>
              <w:rPr>
                <w:rFonts w:ascii="仿宋_GB2312" w:hAnsi="仿宋_GB2312" w:cs="仿宋_GB2312" w:eastAsia="仿宋_GB2312"/>
                <w:sz w:val="22"/>
                <w:color w:val="000000"/>
              </w:rPr>
              <w:t>(六)建立文化和旅游资源数据库，形成系列文化和旅游资源调查图集、报告，并逐级汇总，形成全县文化和旅游资源普查成果。</w:t>
            </w:r>
          </w:p>
          <w:p>
            <w:pPr>
              <w:pStyle w:val="null3"/>
              <w:ind w:left="420"/>
            </w:pPr>
            <w:r>
              <w:rPr>
                <w:rFonts w:ascii="仿宋_GB2312" w:hAnsi="仿宋_GB2312" w:cs="仿宋_GB2312" w:eastAsia="仿宋_GB2312"/>
                <w:sz w:val="22"/>
                <w:b/>
                <w:color w:val="000000"/>
              </w:rPr>
              <w:t>五、主要成果</w:t>
            </w:r>
          </w:p>
          <w:p>
            <w:pPr>
              <w:pStyle w:val="null3"/>
              <w:ind w:firstLine="440"/>
            </w:pPr>
            <w:r>
              <w:rPr>
                <w:rFonts w:ascii="仿宋_GB2312" w:hAnsi="仿宋_GB2312" w:cs="仿宋_GB2312" w:eastAsia="仿宋_GB2312"/>
                <w:sz w:val="22"/>
                <w:color w:val="000000"/>
              </w:rPr>
              <w:t>(一)成果形式</w:t>
            </w:r>
          </w:p>
          <w:p>
            <w:pPr>
              <w:pStyle w:val="null3"/>
              <w:ind w:firstLine="440"/>
            </w:pPr>
            <w:r>
              <w:rPr>
                <w:rFonts w:ascii="仿宋_GB2312" w:hAnsi="仿宋_GB2312" w:cs="仿宋_GB2312" w:eastAsia="仿宋_GB2312"/>
                <w:sz w:val="22"/>
                <w:color w:val="000000"/>
              </w:rPr>
              <w:t>蓝田县普查成果主要包含文字成果、图件成果及数据成果三个部分。完成旅游资源各类普查表填报工作</w:t>
            </w:r>
            <w:r>
              <w:rPr>
                <w:rFonts w:ascii="仿宋_GB2312" w:hAnsi="仿宋_GB2312" w:cs="仿宋_GB2312" w:eastAsia="仿宋_GB2312"/>
                <w:sz w:val="22"/>
                <w:color w:val="000000"/>
              </w:rPr>
              <w:t>,编制《蓝田县文化和旅游资源普查实施方案》《蓝田县文化和旅游资源普查技术方案》《蓝田县文化和旅游资源普查报告(含附图和资源名录)》《蓝田县文化和旅游资源数据库》《蓝田县文化和旅游资源普查工作总结》等。</w:t>
            </w:r>
          </w:p>
          <w:p>
            <w:pPr>
              <w:pStyle w:val="null3"/>
              <w:ind w:firstLine="440"/>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(二)成果管理、共享与服务</w:t>
            </w:r>
          </w:p>
          <w:p>
            <w:pPr>
              <w:pStyle w:val="null3"/>
              <w:ind w:firstLine="440"/>
            </w:pPr>
            <w:r>
              <w:rPr>
                <w:rFonts w:ascii="仿宋_GB2312" w:hAnsi="仿宋_GB2312" w:cs="仿宋_GB2312" w:eastAsia="仿宋_GB2312"/>
                <w:sz w:val="22"/>
                <w:color w:val="000000"/>
              </w:rPr>
              <w:t>蓝田县文化和旅游资源普查成果由各级文化和旅游部门进行管理，与相关部门之间共享成果，按照有关规定向社会发布成果信息，实现共享服务。</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提供项目实施团队成员名单，人员数量、岗位配备、职责划分、相关工作经验需全面详细阐述，且岗位配备齐全、科学、职责划分合理明确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拍摄无人机等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服务期限按照合同规定，自合同签订生效之日起1年。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全县范围内19个镇街</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签订合同后，乙方完成调查任务并甲方验收合格后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在合同实施过程中，若乙方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政府采购法》及相关法律法规对乙方的违法行为进行相应的处罚； 3、任何一方因不可抗力原因不能履行协议时，应尽快通知对方，双方均设法补偿。如仍无法履约协议，可协商延缓或撤销协议，双方责任免除。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法定代表人授权书（附法定代表人、被授权人身份证复印件）及被授权人身份证原件（法定代表人直接参加招标，须提供法定代表人身份证明及身份证原件）；非法人单位参照执行</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提供自2024年10月1日至今已缴纳的至少一个月的纳税证明或完税证明，纳税证明或完税证明上应有代收机构或税务机关的公章或业务专用章，依法免税的服务商应提供相关文件证明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提供自2024年10月1日至今已缴存的至少一个月的社会保障资金缴存单据或社保机构开具的社会保险参保缴费情况证明；依法不需要缴纳社会保障资金的应提供相关文件证明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现场由采购人或采购代理机构在投标文件资格审查阶段通过互联网或者相关系统查询，查询结果以现场现场查询为准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投标人具有测绘资质乙级及以上资质（专业范围包含地理信息系统工程、摄影测量与遥感。）</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 不得提交选择性报价，且报价不超过采购预算；</w:t>
            </w:r>
          </w:p>
        </w:tc>
        <w:tc>
          <w:tcPr>
            <w:tcW w:type="dxa" w:w="1661"/>
          </w:tcPr>
          <w:p>
            <w:pPr>
              <w:pStyle w:val="null3"/>
            </w:pPr>
            <w:r>
              <w:rPr>
                <w:rFonts w:ascii="仿宋_GB2312" w:hAnsi="仿宋_GB2312" w:cs="仿宋_GB2312" w:eastAsia="仿宋_GB2312"/>
              </w:rPr>
              <w:t>响应文件封面 业绩一览表.docx 服务内容及服务邀请应答表 供应商应提交的相关资格证明材料.docx 详细评审.docx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 （2）服务期：服务期限按照合同规定，自合同签订生效之日起 1 年； （3）服务地点：全县范围内19个镇街； （4）磋商有效期：满足磋商文件中的规定。</w:t>
            </w:r>
          </w:p>
        </w:tc>
        <w:tc>
          <w:tcPr>
            <w:tcW w:type="dxa" w:w="1661"/>
          </w:tcPr>
          <w:p>
            <w:pPr>
              <w:pStyle w:val="null3"/>
            </w:pPr>
            <w:r>
              <w:rPr>
                <w:rFonts w:ascii="仿宋_GB2312" w:hAnsi="仿宋_GB2312" w:cs="仿宋_GB2312" w:eastAsia="仿宋_GB2312"/>
              </w:rPr>
              <w:t>响应文件封面 业绩一览表.docx 服务内容及服务邀请应答表 供应商应提交的相关资格证明材料.docx 详细评审.docx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供应商须提供近三年（2022年1月至今）完成类似项目业绩，以合同为准，每有一项业绩得2分，业绩最高得分不超过6分。 注：时间以合同签订时间为准；须提供合同复印件。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项目情况分析认识切合实际、合理，对普查工作实施重点理解程度进行综合描述，满分5分，每有一处存在缺陷或不合理的扣0.5分；该项分值扣完为止。未提供不得分。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宣传培训</w:t>
            </w:r>
          </w:p>
        </w:tc>
        <w:tc>
          <w:tcPr>
            <w:tcW w:type="dxa" w:w="2492"/>
          </w:tcPr>
          <w:p>
            <w:pPr>
              <w:pStyle w:val="null3"/>
            </w:pPr>
            <w:r>
              <w:rPr>
                <w:rFonts w:ascii="仿宋_GB2312" w:hAnsi="仿宋_GB2312" w:cs="仿宋_GB2312" w:eastAsia="仿宋_GB2312"/>
              </w:rPr>
              <w:t>根据供应商提供的宣传、培训方案进行评审，供应商提供的宣传、培训方案要素齐全，内容符合本项目的实际情况且均有利于项目实施的得5分；每有一处存在缺陷或不合理的扣0.5分；该项分值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技术路线严格按照相关技术要求进行，技术方案对工作重点如收集整理资料、外业调查、内业整理、质量检查、报告编制等技术路线和技术方法进行详细描述，且针对性强、方法得力并符合本项目。以上5项工作重点内容每项2分，切合本项目实际情况及采购要求，合理、可行得10分；评审内容缺一项扣2分；每项内容中每有一处存在缺陷的扣0.5分；该项分值扣完为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内容包括普查组织实施、工作内容、工作流程、工作方法、数据汇总、成果编制等，以上6项工作内容每项3分，内容完整，详尽具体、合理，阶段划分完善清晰、外业规范表述合理准确、人员分工明确，切合本项目实际情况及采购要求，合理、可行得18分；评审内容缺一项扣3分；每项内容中每有一处存在缺陷的扣0.5分；该项分值扣完为止。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质量保证 措施</w:t>
            </w:r>
          </w:p>
        </w:tc>
        <w:tc>
          <w:tcPr>
            <w:tcW w:type="dxa" w:w="2492"/>
          </w:tcPr>
          <w:p>
            <w:pPr>
              <w:pStyle w:val="null3"/>
            </w:pPr>
            <w:r>
              <w:rPr>
                <w:rFonts w:ascii="仿宋_GB2312" w:hAnsi="仿宋_GB2312" w:cs="仿宋_GB2312" w:eastAsia="仿宋_GB2312"/>
              </w:rPr>
              <w:t>根据供应商针对本项目提供的质量保证措施进行综合评分，方案应包含但不限于：内部控制管理、风险控制管理、质量保障措施等。 以上3项工作内容每项3分，内容完整，详尽具体、合理，切合本项目实际情况及采购要求，合理、可行得9分；评审内容缺一项扣3分；每项内容中每有一处存在缺陷的扣0.5分；该项分值扣完为止。未提供不得分。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对本项目工作进度安排及保证措施具有科学性、合理性、有效性、紧密结合采购人服务要求的得4分，每有一处存在缺陷或不合理的扣0.5分；该项分值扣完为止。未提供不得分。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保密管理措施</w:t>
            </w:r>
          </w:p>
        </w:tc>
        <w:tc>
          <w:tcPr>
            <w:tcW w:type="dxa" w:w="2492"/>
          </w:tcPr>
          <w:p>
            <w:pPr>
              <w:pStyle w:val="null3"/>
            </w:pPr>
            <w:r>
              <w:rPr>
                <w:rFonts w:ascii="仿宋_GB2312" w:hAnsi="仿宋_GB2312" w:cs="仿宋_GB2312" w:eastAsia="仿宋_GB2312"/>
              </w:rPr>
              <w:t>对本项目提供的保密管理制度及措施具有严谨性、合理性、科学性，完全能满足项目要求的得4分，每有一处存在缺陷或不合理的扣0.5分；该项分值扣完为止。未提供不得分。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投标人拟派项目经理同时具有测绘工程师证书、地理信息安全保密培训合格证明、测绘地理信息成果质量检查员岗位培训证书、企事业单位定密责任人培训证书的得4分，提供相关证明材料，提供齐全得4分，缺一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项目团队人员情况</w:t>
            </w:r>
          </w:p>
        </w:tc>
        <w:tc>
          <w:tcPr>
            <w:tcW w:type="dxa" w:w="2492"/>
          </w:tcPr>
          <w:p>
            <w:pPr>
              <w:pStyle w:val="null3"/>
            </w:pPr>
            <w:r>
              <w:rPr>
                <w:rFonts w:ascii="仿宋_GB2312" w:hAnsi="仿宋_GB2312" w:cs="仿宋_GB2312" w:eastAsia="仿宋_GB2312"/>
              </w:rPr>
              <w:t>拟派本项目相关人员具有测绘、测量、地图制图、地理信息、地理学、计算机等相关专业中级及以上工程师证书的 (提供职称证书)，具有8人及以上的得5分，5-7人的得3分，4人及以下的得1分，没有不得分； 注：上述人员均须提供职称证书及其他相关证明材料扫描件加盖公章，不提供或提供不全不得分。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设备配备投入情况</w:t>
            </w:r>
          </w:p>
        </w:tc>
        <w:tc>
          <w:tcPr>
            <w:tcW w:type="dxa" w:w="2492"/>
          </w:tcPr>
          <w:p>
            <w:pPr>
              <w:pStyle w:val="null3"/>
            </w:pPr>
            <w:r>
              <w:rPr>
                <w:rFonts w:ascii="仿宋_GB2312" w:hAnsi="仿宋_GB2312" w:cs="仿宋_GB2312" w:eastAsia="仿宋_GB2312"/>
              </w:rPr>
              <w:t>提供拟投入本项目所需仪器设备的详细清单，清单中的仪器设备需提供相关证明材料及实物照片等，根据清单及资料的完整性，根据响应程度计分。 配备GPS或GNSS 3台得1分，6台得2分，10台及以上得3分； 配备无人机10台以上得1分，20台以上得3分，30台及以上得5分。 注：GPS或GNSS提供设备发票、有效的检定证书；无人机提供发票。</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根据本项目的服务内容，做出切实可行的服务承诺，确保项目能按时按质完成，达到服务要求且能保证项目质量。 （1）承诺内容清晰、承诺指标明确，后续服务具有可延续性的得6分； （2）承诺及措施科学合理，基本满足项目需求。3分。 （3）承诺及措施科学不合理，不能满足项目需求的。2分。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针对本项目提供具体的合理化建议。 （1）建议科学合理、具有针对性、切实可行得6分 （2）建议基本合理，具有一定的可行性得3分 （3）建议不合理，不具有可行性得2分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和符合性审查均合格的磋商响应文件，其磋商报价为有效磋商报价。满足磋商文件要求且最终磋商报价最低的为基准价，其价格分为满分。其他磋商供应商的价格分统一按照下列公式计算：最终磋商报价得分=（评审基准价/最终磋商报价）×标准分值。（备注：本项目专门面向中小企业，专门面向中小企业（或小微企业）采购的项目不进行评审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