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版本号：HTXMZB2025-05420251127001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蓝田县安村镇新华村道路建设工程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HTXMZB2025-054</w:t>
      </w:r>
      <w:r>
        <w:br/>
      </w:r>
      <w:r>
        <w:br/>
      </w:r>
      <w:r>
        <w:br/>
      </w:r>
    </w:p>
    <w:p>
      <w:pPr>
        <w:pStyle w:val="null3"/>
        <w:jc w:val="center"/>
        <w:outlineLvl w:val="2"/>
      </w:pPr>
      <w:r>
        <w:rPr>
          <w:rFonts w:ascii="仿宋_GB2312" w:hAnsi="仿宋_GB2312" w:cs="仿宋_GB2312" w:eastAsia="仿宋_GB2312"/>
          <w:sz w:val="28"/>
          <w:b/>
        </w:rPr>
        <w:t>西安市蓝田县水务局（本级）</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西安市蓝田县水务局（本级）</w:t>
      </w:r>
      <w:r>
        <w:rPr>
          <w:rFonts w:ascii="仿宋_GB2312" w:hAnsi="仿宋_GB2312" w:cs="仿宋_GB2312" w:eastAsia="仿宋_GB2312"/>
        </w:rPr>
        <w:t>委托，拟对</w:t>
      </w:r>
      <w:r>
        <w:rPr>
          <w:rFonts w:ascii="仿宋_GB2312" w:hAnsi="仿宋_GB2312" w:cs="仿宋_GB2312" w:eastAsia="仿宋_GB2312"/>
        </w:rPr>
        <w:t>蓝田县安村镇新华村道路建设工程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HTXMZB2025-054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蓝田县安村镇新华村道路建设工程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安村镇新华村道路硬化，保障村民正常生产生活。（1）蓝田县安村镇新华村道路建设工程（一）水泥混凝土硬化道路2120㎡(长530m，路面宽度为4m，厚度18cm)。（2）蓝田县安村镇新华村道路建设工程（二）水泥混凝土硬化道路2114㎡(长604m，路面宽度为3.5m，厚度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采购包1（蓝田县安村镇新华村道路建设工程）：属于专门面向中小企业采购。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公路工程施工总承包三级及以上资质；且具有有效的安全生产许可证；拟派项目经理须具备公路工程注册建造师二级及以上资格和有效的安全生产考核证书；提供证明材料复印件加盖供应商公章</w:t>
      </w:r>
    </w:p>
    <w:p>
      <w:pPr>
        <w:pStyle w:val="null3"/>
      </w:pPr>
      <w:r>
        <w:rPr>
          <w:rFonts w:ascii="仿宋_GB2312" w:hAnsi="仿宋_GB2312" w:cs="仿宋_GB2312" w:eastAsia="仿宋_GB2312"/>
        </w:rPr>
        <w:t>2、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公章）；</w:t>
      </w:r>
    </w:p>
    <w:p>
      <w:pPr>
        <w:pStyle w:val="null3"/>
      </w:pPr>
      <w:r>
        <w:rPr>
          <w:rFonts w:ascii="仿宋_GB2312" w:hAnsi="仿宋_GB2312" w:cs="仿宋_GB2312" w:eastAsia="仿宋_GB2312"/>
        </w:rPr>
        <w:t>3、信用记录：供应商不得为“信用中国”官网中列入失信被执行人、重大税收违法失信主体的供应商，不得为“中国政府采购网”（www.ccgp.gov.cn）政府采购严重违法失信行为记录名单中被财政部门禁止参加政府采购活动的供应商；开标现场核查</w:t>
      </w:r>
    </w:p>
    <w:p>
      <w:pPr>
        <w:pStyle w:val="null3"/>
      </w:pPr>
      <w:r>
        <w:rPr>
          <w:rFonts w:ascii="仿宋_GB2312" w:hAnsi="仿宋_GB2312" w:cs="仿宋_GB2312" w:eastAsia="仿宋_GB2312"/>
        </w:rPr>
        <w:t>4、非联合体投标：本项目不接受联合体投标。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张闫刚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18821791839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朱汉林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029-86250354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采购包1：939,265.00元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代理服务费收费标准：代理服务费参照《国家计委关于印发&lt;招标代理服务收费管理暂行办法&gt;的通知》（计价格〔2002〕1980号）和发改办价格〔2003〕857号以及发改价格〔2011〕534号文计取。 代理服务费支付方式：由中标单位在领取中标通知书前，向采购代理机构一次性支付招标代理服务费。 银行账户： 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西安市蓝田县水务局（本级）</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严格按照公路工程和水利部颁发的验收规程执行工程验收，建立健全质量保证体系，做到安全生产及文明施工，工程竣工验收质量达到合格标准。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联系人：杨倩倩</w:t>
      </w:r>
    </w:p>
    <w:p>
      <w:pPr>
        <w:pStyle w:val="null3"/>
      </w:pPr>
      <w:r>
        <w:rPr>
          <w:rFonts w:ascii="仿宋_GB2312" w:hAnsi="仿宋_GB2312" w:cs="仿宋_GB2312" w:eastAsia="仿宋_GB2312"/>
        </w:rPr>
        <w:t>联系电话：029-86250354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939,265.00</w:t>
      </w:r>
    </w:p>
    <w:p>
      <w:pPr>
        <w:pStyle w:val="null3"/>
      </w:pPr>
      <w:r>
        <w:rPr>
          <w:rFonts w:ascii="仿宋_GB2312" w:hAnsi="仿宋_GB2312" w:cs="仿宋_GB2312" w:eastAsia="仿宋_GB2312"/>
        </w:rPr>
        <w:t>采购包最高限价（元）: 939,265.00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939,265.00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一、采购内容</w:t>
            </w:r>
          </w:p>
          <w:p>
            <w:pPr>
              <w:pStyle w:val="null3"/>
              <w:ind w:firstLine="480"/>
              <w:jc w:val="both"/>
            </w:pPr>
            <w:r>
              <w:rPr>
                <w:rFonts w:ascii="仿宋_GB2312" w:hAnsi="仿宋_GB2312" w:cs="仿宋_GB2312" w:eastAsia="仿宋_GB2312"/>
                <w:sz w:val="24"/>
              </w:rPr>
              <w:t>1、主要建设内容</w:t>
            </w:r>
          </w:p>
          <w:p>
            <w:pPr>
              <w:pStyle w:val="null3"/>
              <w:ind w:firstLine="480"/>
              <w:jc w:val="both"/>
            </w:pPr>
            <w:r>
              <w:rPr>
                <w:rFonts w:ascii="仿宋_GB2312" w:hAnsi="仿宋_GB2312" w:cs="仿宋_GB2312" w:eastAsia="仿宋_GB2312"/>
                <w:sz w:val="24"/>
              </w:rPr>
              <w:t>对安村镇新华村道路硬化，保障村民正常生产生活。（</w:t>
            </w:r>
            <w:r>
              <w:rPr>
                <w:rFonts w:ascii="仿宋_GB2312" w:hAnsi="仿宋_GB2312" w:cs="仿宋_GB2312" w:eastAsia="仿宋_GB2312"/>
                <w:sz w:val="24"/>
              </w:rPr>
              <w:t>1）蓝田县安村镇新华村道路建设工程（一）水泥混凝土硬化道路2120㎡(长530m，路面宽度为4m，厚度18cm)</w:t>
            </w:r>
            <w:r>
              <w:rPr>
                <w:rFonts w:ascii="仿宋_GB2312" w:hAnsi="仿宋_GB2312" w:cs="仿宋_GB2312" w:eastAsia="仿宋_GB2312"/>
                <w:sz w:val="24"/>
              </w:rPr>
              <w:t>。（</w:t>
            </w:r>
            <w:r>
              <w:rPr>
                <w:rFonts w:ascii="仿宋_GB2312" w:hAnsi="仿宋_GB2312" w:cs="仿宋_GB2312" w:eastAsia="仿宋_GB2312"/>
                <w:sz w:val="24"/>
              </w:rPr>
              <w:t>2）蓝田县安村镇新华村道路建设工程（二）水泥混凝土硬化道路2114㎡(长604m，路面宽度为3.5m，厚度18cm)。</w:t>
            </w:r>
          </w:p>
          <w:p>
            <w:pPr>
              <w:pStyle w:val="null3"/>
              <w:jc w:val="both"/>
            </w:pPr>
            <w:r>
              <w:rPr>
                <w:rFonts w:ascii="仿宋_GB2312" w:hAnsi="仿宋_GB2312" w:cs="仿宋_GB2312" w:eastAsia="仿宋_GB2312"/>
                <w:sz w:val="24"/>
              </w:rPr>
              <w:t>2、主要工程量清单</w:t>
            </w:r>
          </w:p>
          <w:tbl>
            <w:tblPr>
              <w:tblBorders>
                <w:top w:val="none" w:color="000000" w:sz="4"/>
                <w:left w:val="none" w:color="000000" w:sz="4"/>
                <w:bottom w:val="none" w:color="000000" w:sz="4"/>
                <w:right w:val="none" w:color="000000" w:sz="4"/>
                <w:insideH w:val="none"/>
                <w:insideV w:val="none"/>
              </w:tblBorders>
            </w:tblPr>
            <w:tblGrid>
              <w:gridCol w:w="246"/>
              <w:gridCol w:w="1122"/>
              <w:gridCol w:w="366"/>
              <w:gridCol w:w="587"/>
              <w:gridCol w:w="232"/>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工程量或设计参数</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说明</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蓝田县安村镇新华村道路建设工程（一）</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路面宽度</w:t>
                  </w:r>
                  <w:r>
                    <w:rPr>
                      <w:rFonts w:ascii="仿宋_GB2312" w:hAnsi="仿宋_GB2312" w:cs="仿宋_GB2312" w:eastAsia="仿宋_GB2312"/>
                      <w:sz w:val="21"/>
                    </w:rPr>
                    <w:t>4m（长度530m）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土方开挖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1144.8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弃土外运（运距</w:t>
                  </w:r>
                  <w:r>
                    <w:rPr>
                      <w:rFonts w:ascii="仿宋_GB2312" w:hAnsi="仿宋_GB2312" w:cs="仿宋_GB2312" w:eastAsia="仿宋_GB2312"/>
                      <w:sz w:val="21"/>
                    </w:rPr>
                    <w:t>4km）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路基夯实</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2385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3:7灰土基层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715.5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18cm厚C25混凝土面层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路肩土方回填</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项目标识牌</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施工安全生产专项</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其他施工临时工程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蓝田县安村镇新华村道路建设工程（二）</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路面宽度</w:t>
                  </w:r>
                  <w:r>
                    <w:rPr>
                      <w:rFonts w:ascii="仿宋_GB2312" w:hAnsi="仿宋_GB2312" w:cs="仿宋_GB2312" w:eastAsia="仿宋_GB2312"/>
                      <w:sz w:val="21"/>
                    </w:rPr>
                    <w:t>3.5m（长度604m）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土方开挖</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弃土外运（运距</w:t>
                  </w:r>
                  <w:r>
                    <w:rPr>
                      <w:rFonts w:ascii="仿宋_GB2312" w:hAnsi="仿宋_GB2312" w:cs="仿宋_GB2312" w:eastAsia="仿宋_GB2312"/>
                      <w:sz w:val="21"/>
                    </w:rPr>
                    <w:t>4km）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路基夯实</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3:7灰土基层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724.8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18cm厚C25混凝土面层</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路肩土方回填</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54.36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项目标识牌</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施工安全生产专项</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其他施工临时工程</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3、设计依据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1）《公路水泥混凝土路面设计规范》JTGD40-2011；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2）《公路工程技术标准》（JTG B01-2014）；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3）《公路路基设计规范》（JTG D30-2015）；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4）《公路路基施工技术规范》（JTG F10－2006）；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5）《公路工程抗震设计规范》（JTG B02－2013）；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6）《公路路基施工技术规范》（JTG F10-2006）；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7）《小交通量农村公路技术标准》（JTG2111-2019）；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8）《陕西省村庄内部道路建设技术导则》；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9）有关最新技术标准、技术规范、勘察设计规范、规程及编制办法。</w:t>
            </w:r>
          </w:p>
          <w:p>
            <w:pPr>
              <w:pStyle w:val="null3"/>
              <w:ind w:firstLine="480"/>
              <w:jc w:val="both"/>
            </w:pPr>
            <w:r>
              <w:rPr>
                <w:rFonts w:ascii="仿宋_GB2312" w:hAnsi="仿宋_GB2312" w:cs="仿宋_GB2312" w:eastAsia="仿宋_GB2312"/>
                <w:sz w:val="24"/>
              </w:rPr>
              <w:t>4、方案设计：</w:t>
            </w:r>
          </w:p>
          <w:p>
            <w:pPr>
              <w:pStyle w:val="null3"/>
              <w:ind w:firstLine="480"/>
              <w:jc w:val="both"/>
            </w:pPr>
            <w:r>
              <w:rPr>
                <w:rFonts w:ascii="仿宋_GB2312" w:hAnsi="仿宋_GB2312" w:cs="仿宋_GB2312" w:eastAsia="仿宋_GB2312"/>
                <w:sz w:val="24"/>
              </w:rPr>
              <w:t>4.1主要技术标准及采用的设计指标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1）公路等级：等外公路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2）设计速度：15公里/小时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3）路面设计荷载：BZZ-100 标准轴载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4）水泥混凝土路面设计使用年限：10年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5）抗震设防烈度：VIII度，地震动峰值加速度：0.2g。</w:t>
            </w:r>
          </w:p>
          <w:p>
            <w:pPr>
              <w:pStyle w:val="null3"/>
              <w:ind w:firstLine="480"/>
              <w:jc w:val="both"/>
            </w:pPr>
            <w:r>
              <w:rPr>
                <w:rFonts w:ascii="仿宋_GB2312" w:hAnsi="仿宋_GB2312" w:cs="仿宋_GB2312" w:eastAsia="仿宋_GB2312"/>
                <w:sz w:val="24"/>
              </w:rPr>
              <w:t>4.2设计原则</w:t>
            </w:r>
          </w:p>
          <w:p>
            <w:pPr>
              <w:pStyle w:val="null3"/>
              <w:ind w:firstLine="480"/>
              <w:jc w:val="both"/>
            </w:pPr>
            <w:r>
              <w:rPr>
                <w:rFonts w:ascii="仿宋_GB2312" w:hAnsi="仿宋_GB2312" w:cs="仿宋_GB2312" w:eastAsia="仿宋_GB2312"/>
                <w:sz w:val="24"/>
              </w:rPr>
              <w:t>硬化道路的横断面宽度及路线走向与现状道路保持一致，以不占耕地为原则。</w:t>
            </w:r>
          </w:p>
          <w:p>
            <w:pPr>
              <w:pStyle w:val="null3"/>
              <w:ind w:firstLine="480"/>
              <w:jc w:val="both"/>
            </w:pPr>
            <w:r>
              <w:rPr>
                <w:rFonts w:ascii="仿宋_GB2312" w:hAnsi="仿宋_GB2312" w:cs="仿宋_GB2312" w:eastAsia="仿宋_GB2312"/>
                <w:sz w:val="24"/>
              </w:rPr>
              <w:t>4.3设计方案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1）路基设计</w:t>
            </w:r>
          </w:p>
          <w:p>
            <w:pPr>
              <w:pStyle w:val="null3"/>
              <w:ind w:firstLine="480"/>
              <w:jc w:val="both"/>
            </w:pPr>
            <w:r>
              <w:rPr>
                <w:rFonts w:ascii="仿宋_GB2312" w:hAnsi="仿宋_GB2312" w:cs="仿宋_GB2312" w:eastAsia="仿宋_GB2312"/>
                <w:sz w:val="24"/>
              </w:rPr>
              <w:t>路基采用原状土路基，现有路面表层清理后压实，压实度不小于</w:t>
            </w:r>
            <w:r>
              <w:rPr>
                <w:rFonts w:ascii="仿宋_GB2312" w:hAnsi="仿宋_GB2312" w:cs="仿宋_GB2312" w:eastAsia="仿宋_GB2312"/>
                <w:sz w:val="24"/>
              </w:rPr>
              <w:t>0.95。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2）基层设计</w:t>
            </w:r>
          </w:p>
          <w:p>
            <w:pPr>
              <w:pStyle w:val="null3"/>
              <w:ind w:firstLine="480"/>
              <w:jc w:val="both"/>
            </w:pPr>
            <w:r>
              <w:rPr>
                <w:rFonts w:ascii="仿宋_GB2312" w:hAnsi="仿宋_GB2312" w:cs="仿宋_GB2312" w:eastAsia="仿宋_GB2312"/>
                <w:sz w:val="24"/>
              </w:rPr>
              <w:t>蓝田县安村镇新华村道路建设工程（一）根据现场道路的现状确定基层采用三七灰土基层，厚度</w:t>
            </w:r>
            <w:r>
              <w:rPr>
                <w:rFonts w:ascii="仿宋_GB2312" w:hAnsi="仿宋_GB2312" w:cs="仿宋_GB2312" w:eastAsia="仿宋_GB2312"/>
                <w:sz w:val="24"/>
              </w:rPr>
              <w:t>30cm，压实度不小于0.95，基层宽度为4.5m；</w:t>
            </w:r>
          </w:p>
          <w:p>
            <w:pPr>
              <w:pStyle w:val="null3"/>
              <w:ind w:firstLine="480"/>
              <w:jc w:val="both"/>
            </w:pPr>
            <w:r>
              <w:rPr>
                <w:rFonts w:ascii="仿宋_GB2312" w:hAnsi="仿宋_GB2312" w:cs="仿宋_GB2312" w:eastAsia="仿宋_GB2312"/>
                <w:sz w:val="24"/>
              </w:rPr>
              <w:t>蓝田县安村镇新华村道路建设工程（二）根据现场道路的现状确定基层采用三七灰土基层，厚度</w:t>
            </w:r>
            <w:r>
              <w:rPr>
                <w:rFonts w:ascii="仿宋_GB2312" w:hAnsi="仿宋_GB2312" w:cs="仿宋_GB2312" w:eastAsia="仿宋_GB2312"/>
                <w:sz w:val="24"/>
              </w:rPr>
              <w:t>30cm，压实度不小于0.95，基层宽度为4m。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3）面层设计</w:t>
            </w:r>
          </w:p>
          <w:p>
            <w:pPr>
              <w:pStyle w:val="null3"/>
              <w:ind w:firstLine="480"/>
              <w:jc w:val="both"/>
            </w:pPr>
            <w:r>
              <w:rPr>
                <w:rFonts w:ascii="仿宋_GB2312" w:hAnsi="仿宋_GB2312" w:cs="仿宋_GB2312" w:eastAsia="仿宋_GB2312"/>
                <w:sz w:val="24"/>
              </w:rPr>
              <w:t>蓝田县安村镇新华村道路建设工程（一）</w:t>
            </w:r>
            <w:r>
              <w:rPr>
                <w:rFonts w:ascii="仿宋_GB2312" w:hAnsi="仿宋_GB2312" w:cs="仿宋_GB2312" w:eastAsia="仿宋_GB2312"/>
                <w:sz w:val="24"/>
              </w:rPr>
              <w:t>道路面层为水泥混凝土，混凝土强度等级为</w:t>
            </w:r>
            <w:r>
              <w:rPr>
                <w:rFonts w:ascii="仿宋_GB2312" w:hAnsi="仿宋_GB2312" w:cs="仿宋_GB2312" w:eastAsia="仿宋_GB2312"/>
                <w:sz w:val="24"/>
              </w:rPr>
              <w:t>C25，混凝土面层厚度18cm，以不占耕地为原则，与现状道路宽度保持一致，确定硬化后的路面宽4.0m，长530m。路面横向坡度取1.5%，采取双向排水至道路两侧田地。</w:t>
            </w:r>
          </w:p>
          <w:p>
            <w:pPr>
              <w:pStyle w:val="null3"/>
              <w:ind w:firstLine="480"/>
              <w:jc w:val="both"/>
            </w:pPr>
            <w:r>
              <w:rPr>
                <w:rFonts w:ascii="仿宋_GB2312" w:hAnsi="仿宋_GB2312" w:cs="仿宋_GB2312" w:eastAsia="仿宋_GB2312"/>
                <w:sz w:val="24"/>
              </w:rPr>
              <w:t>蓝田县安村镇新华村道路建设工程（二）道路面层为水泥混凝土，混凝土强度等级为</w:t>
            </w:r>
            <w:r>
              <w:rPr>
                <w:rFonts w:ascii="仿宋_GB2312" w:hAnsi="仿宋_GB2312" w:cs="仿宋_GB2312" w:eastAsia="仿宋_GB2312"/>
                <w:sz w:val="24"/>
              </w:rPr>
              <w:t>C25，混凝土面层厚度18cm，以不占耕地为原则，与现状道路宽度保持一致，确定硬化后的路面宽3.5m，长604m。路面横向坡度取1.5%，采取双向排水至道路两侧。</w:t>
            </w:r>
          </w:p>
          <w:p>
            <w:pPr>
              <w:pStyle w:val="null3"/>
              <w:ind w:firstLine="480"/>
              <w:jc w:val="both"/>
            </w:pPr>
            <w:r>
              <w:rPr>
                <w:rFonts w:ascii="仿宋_GB2312" w:hAnsi="仿宋_GB2312" w:cs="仿宋_GB2312" w:eastAsia="仿宋_GB2312"/>
                <w:sz w:val="24"/>
              </w:rPr>
              <w:t>路肩采用素土路肩，宽度</w:t>
            </w:r>
            <w:r>
              <w:rPr>
                <w:rFonts w:ascii="仿宋_GB2312" w:hAnsi="仿宋_GB2312" w:cs="仿宋_GB2312" w:eastAsia="仿宋_GB2312"/>
                <w:sz w:val="24"/>
              </w:rPr>
              <w:t>25cm，厚度为18cm，填筑压实度不小于0.91。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4）项目简介牌设计</w:t>
            </w:r>
          </w:p>
          <w:p>
            <w:pPr>
              <w:pStyle w:val="null3"/>
              <w:ind w:firstLine="480"/>
              <w:jc w:val="both"/>
            </w:pPr>
            <w:r>
              <w:rPr>
                <w:rFonts w:ascii="仿宋_GB2312" w:hAnsi="仿宋_GB2312" w:cs="仿宋_GB2312" w:eastAsia="仿宋_GB2312"/>
                <w:sz w:val="24"/>
              </w:rPr>
              <w:t>项目简介牌材质为黑色花岗岩，长度</w:t>
            </w:r>
            <w:r>
              <w:rPr>
                <w:rFonts w:ascii="仿宋_GB2312" w:hAnsi="仿宋_GB2312" w:cs="仿宋_GB2312" w:eastAsia="仿宋_GB2312"/>
                <w:sz w:val="24"/>
              </w:rPr>
              <w:t>80cm，厚度7cm，高度60cm；基础为现浇C20混凝土，长度100cm，宽度40cm，高度70cm，简介牌伸入基础10cm，项目简介牌及基础成品后总高度1.2m。项目简介牌刻制内容有：项目名称、项目主要建设内容、项目实施单位及完成年度。项目简介牌设置在道路北端起点路口处。</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、质量标准</w:t>
            </w:r>
          </w:p>
          <w:p>
            <w:pPr>
              <w:pStyle w:val="null3"/>
              <w:ind w:firstLine="480"/>
              <w:jc w:val="both"/>
            </w:pPr>
            <w:r>
              <w:rPr>
                <w:rFonts w:ascii="仿宋_GB2312" w:hAnsi="仿宋_GB2312" w:cs="仿宋_GB2312" w:eastAsia="仿宋_GB2312"/>
                <w:sz w:val="24"/>
              </w:rPr>
              <w:t>1、本工程质量等级要求合格。</w:t>
            </w:r>
          </w:p>
          <w:p>
            <w:pPr>
              <w:pStyle w:val="null3"/>
              <w:ind w:firstLine="480"/>
              <w:jc w:val="both"/>
            </w:pPr>
            <w:r>
              <w:rPr>
                <w:rFonts w:ascii="仿宋_GB2312" w:hAnsi="仿宋_GB2312" w:cs="仿宋_GB2312" w:eastAsia="仿宋_GB2312"/>
                <w:sz w:val="24"/>
              </w:rPr>
              <w:t>2、保证施工质量要求，严格按照公路工程和水利部颁发的验收规程执行工程验收，建立健全质量保证体系，做到安全生产及文明施工，工程竣工验收质量达到合格标准。</w:t>
            </w:r>
          </w:p>
          <w:p>
            <w:pPr>
              <w:pStyle w:val="null3"/>
              <w:ind w:firstLine="480"/>
              <w:jc w:val="both"/>
            </w:pPr>
            <w:r>
              <w:rPr>
                <w:rFonts w:ascii="仿宋_GB2312" w:hAnsi="仿宋_GB2312" w:cs="仿宋_GB2312" w:eastAsia="仿宋_GB2312"/>
                <w:sz w:val="24"/>
              </w:rPr>
              <w:t>施工单位必须依据公路工程和水利行业有关工程建设规范、技术规程、标准及设计文件的要求进行施工，要求施工单位必须制定和完善岗位质量职责、考核办法，落实质量责任制，在施工过程中加强质量检查工作，认真执行</w:t>
            </w:r>
            <w:r>
              <w:rPr>
                <w:rFonts w:ascii="仿宋_GB2312" w:hAnsi="仿宋_GB2312" w:cs="仿宋_GB2312" w:eastAsia="仿宋_GB2312"/>
                <w:sz w:val="24"/>
              </w:rPr>
              <w:t>“三检制”，切实做好工程质量的全过程控制。</w:t>
            </w:r>
          </w:p>
          <w:p>
            <w:pPr>
              <w:pStyle w:val="null3"/>
              <w:ind w:firstLine="480"/>
              <w:jc w:val="both"/>
            </w:pPr>
            <w:r>
              <w:rPr>
                <w:rFonts w:ascii="仿宋_GB2312" w:hAnsi="仿宋_GB2312" w:cs="仿宋_GB2312" w:eastAsia="仿宋_GB2312"/>
                <w:sz w:val="24"/>
              </w:rPr>
              <w:t>3、本工程所需施工材料、设备均由承包方负责供应，必须满足设计要求和国家有关标准，并应具有合格证等质量证明资料，经发包方人员认定后方可使用。</w:t>
            </w:r>
          </w:p>
          <w:p>
            <w:pPr>
              <w:pStyle w:val="null3"/>
              <w:ind w:firstLine="480"/>
              <w:jc w:val="both"/>
            </w:pPr>
            <w:r>
              <w:rPr>
                <w:rFonts w:ascii="仿宋_GB2312" w:hAnsi="仿宋_GB2312" w:cs="仿宋_GB2312" w:eastAsia="仿宋_GB2312"/>
                <w:sz w:val="24"/>
              </w:rPr>
              <w:t>4、各工序应严格按施工组织设计进行质量控制，每道工序完工后，应进行检查，相关专业工种之间应及时进行交接检验，并形成记录。未经检查验收不得进行下一道工序。</w:t>
            </w:r>
          </w:p>
          <w:p>
            <w:pPr>
              <w:pStyle w:val="null3"/>
              <w:ind w:firstLine="480"/>
              <w:jc w:val="both"/>
            </w:pPr>
            <w:r>
              <w:rPr>
                <w:rFonts w:ascii="仿宋_GB2312" w:hAnsi="仿宋_GB2312" w:cs="仿宋_GB2312" w:eastAsia="仿宋_GB2312"/>
                <w:sz w:val="24"/>
              </w:rPr>
              <w:t>5、工程完工后，承包方应在组织有关人员进行自行检验评定后，向发包人提交工程验收报告及相关施工资料。</w:t>
            </w:r>
          </w:p>
          <w:p>
            <w:pPr>
              <w:pStyle w:val="null3"/>
              <w:ind w:firstLine="480"/>
              <w:jc w:val="both"/>
            </w:pPr>
            <w:r>
              <w:rPr>
                <w:rFonts w:ascii="仿宋_GB2312" w:hAnsi="仿宋_GB2312" w:cs="仿宋_GB2312" w:eastAsia="仿宋_GB2312"/>
                <w:sz w:val="24"/>
              </w:rPr>
              <w:t>6、保修期依据国家相关规定，在保修范围和保修期限内发生质量问题的，施工单位应当履行保修义务，并对造成的损失承担赔偿责任；保修期过后，如出现质量问题，亦应积极协助解决。</w:t>
            </w:r>
          </w:p>
          <w:p>
            <w:pPr>
              <w:pStyle w:val="null3"/>
              <w:jc w:val="both"/>
            </w:pPr>
            <w:r>
              <w:rPr>
                <w:rFonts w:ascii="仿宋_GB2312" w:hAnsi="仿宋_GB2312" w:cs="仿宋_GB2312" w:eastAsia="仿宋_GB2312"/>
                <w:sz w:val="24"/>
                <w:b/>
              </w:rPr>
              <w:t>三、图纸</w:t>
            </w:r>
          </w:p>
          <w:p>
            <w:pPr>
              <w:pStyle w:val="null3"/>
              <w:ind w:firstLine="480"/>
              <w:jc w:val="both"/>
            </w:pPr>
            <w:r>
              <w:rPr>
                <w:rFonts w:ascii="仿宋_GB2312" w:hAnsi="仿宋_GB2312" w:cs="仿宋_GB2312" w:eastAsia="仿宋_GB2312"/>
                <w:sz w:val="24"/>
              </w:rPr>
              <w:t>另册提供。</w:t>
            </w:r>
          </w:p>
          <w:p>
            <w:pPr>
              <w:pStyle w:val="null3"/>
              <w:jc w:val="both"/>
            </w:pPr>
            <w:r>
              <w:rPr>
                <w:rFonts w:ascii="仿宋_GB2312" w:hAnsi="仿宋_GB2312" w:cs="仿宋_GB2312" w:eastAsia="仿宋_GB2312"/>
                <w:sz w:val="24"/>
                <w:b/>
              </w:rPr>
              <w:t>四、其他说明</w:t>
            </w:r>
          </w:p>
          <w:p>
            <w:pPr>
              <w:pStyle w:val="null3"/>
              <w:ind w:firstLine="480"/>
              <w:jc w:val="both"/>
            </w:pPr>
            <w:r>
              <w:rPr>
                <w:rFonts w:ascii="仿宋_GB2312" w:hAnsi="仿宋_GB2312" w:cs="仿宋_GB2312" w:eastAsia="仿宋_GB2312"/>
                <w:sz w:val="24"/>
              </w:rPr>
              <w:t>本项目工程量清单由设计概算提取，供应商应结合设计图纸自行进行投标报价，由因造成风险由供应商自行承担。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符合国家相关技术规范“合格”要求。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根据国家相关规定及采购人要求执行。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不得以低于成本的报价参与磋商。当磋商小组有三分之二以上成员认为，某供应商的报价或者部分分项报价存在明显不合理的低于成本的报价，有可能影响质量和不能诚信履约的，可要求该供应商在规定期限内，提供必要的书面文件予以解释和说明并附带相关证明材料；否则，磋商小组认定该供应商以低于成本价竞价，其响应文件作无效响应文件处理。 2、落实政府采购政策： 本项目专门面向中小企业采购，参加政府采购活动的中小企业提供《中小企业声明函》。未按规定提供，则响应文件无效。 参加政府采购活动的监狱企业提供监狱企业证明、残疾人单位提供《残疾人福利性单位声明函》。未按规定提供，则响应文件无效。 3、“政采贷”信用融资政策 （1）根据《陕西省财政厅关于加快推进我省中小企业政府采购信用融资工作的通知》（陕财办采〔2020〕15 号）规定“有融资需求的供应商可根据自身情况，在陕西省政府采购信用融资平台（含各市分平台）自主选择金融机构及其融资产品，凭政府采购中标（成交）通知书或政府采购合同向金融机构提出融资申请。” （2）根据陕西省财政厅关于印发《陕西省中小企业政府采购信用融资办法》（陕财办采〔2018〕23 号）规定“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陕西省政府采购信用融资平台：http://ww w.ccgp-shaanxi.gov.cn/zcdservice/zcd/shanxi/）。 注：磋商文件解释权归采购人所有。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2份打印盖章及电子版U盘两份提交至招标代理公司处（陕西省西安市经开区凤城五路世融嘉轩5号楼27层招标部），以便采购人进行留存备案等工作，中标人应保持投标文件纸质版内容与电子版（系统上传）内容完全一致，否则将承担一切法律责任。纸质投标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（1）营业执照等主体资格证明文件：提供合格有效的法人或者其他组织的营业执照等合法证明文件，自然人的身份证明； （2）财务状况报告：提供2024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 （3）社会保障资金缴纳证明：提供2024年10月1日至今任意一个月的社会保障资金缴存单据或社保机构开具的社会保险参保缴费情况证明，依法不需要缴纳社会保障资金的单位应提供相关证明材料； （4）税收缴纳证明：提供2024年10月1日至今任意一个月的纳税证明或完税证明，依法免税或无需缴纳税收的供应商应提供相关证明材料； （5）履行合同承诺函：提供具有履行合同所必需的设备和专业技术能力的承诺函； （6）无重大违法记录书面声明：参加政府采购活动前3年内在经营活动中没有重大违法记录的书面声明。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成立时间至提交响应文件截止时间不足一年的可提供成立后任意时段的资产负债表；或其开标前六个月内基本存款账户开户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供应商须具备公路工程施工总承包三级及以上资质；且具有有效的安全生产许可证；拟派项目经理须具备公路工程注册建造师二级及以上资格和有效的安全生产考核证书；提供证明材料复印件加盖供应商公章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法定代表人直接参加投标的，须提供法定代表人身份证明及其身份证复印件加盖供应商公章；法定代表人授权他人参加投标的，须提供法定代表人授权委托书（附法定代表人、被授权人身份证复印件加盖公章）；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官网中列入失信被执行人、重大税收违法失信主体的供应商，不得为“中国政府采购网”（www.ccgp.gov.cn）政府采购严重违法失信行为记录名单中被财政部门禁止参加政府采购活动的供应商；开标现场核查</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签字、盖章符合竞争性磋商文件要求</w:t>
            </w:r>
          </w:p>
        </w:tc>
        <w:tc>
          <w:tcPr>
            <w:tcW w:type="dxa" w:w="1661"/>
          </w:tcPr>
          <w:p>
            <w:pPr>
              <w:pStyle w:val="null3"/>
            </w:pPr>
            <w:r>
              <w:rPr>
                <w:rFonts w:ascii="仿宋_GB2312" w:hAnsi="仿宋_GB2312" w:cs="仿宋_GB2312" w:eastAsia="仿宋_GB2312"/>
              </w:rPr>
              <w:t>报价一览表.docx 中小企业声明函 供应商应提交的相关资格证明材料 供应商承诺书.docx 施工组织设计.docx 资格证明文件.docx 响应文件封面 残疾人福利性单位声明函 报价函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投标报价符合唯一性要求： 开标一览表填写符合要求； 计量单位、报价货币均符合磋商文件要求； 未超出采购预算或磋商文件规定的最高限价。</w:t>
            </w:r>
          </w:p>
        </w:tc>
        <w:tc>
          <w:tcPr>
            <w:tcW w:type="dxa" w:w="1661"/>
          </w:tcPr>
          <w:p>
            <w:pPr>
              <w:pStyle w:val="null3"/>
            </w:pPr>
            <w:r>
              <w:rPr>
                <w:rFonts w:ascii="仿宋_GB2312" w:hAnsi="仿宋_GB2312" w:cs="仿宋_GB2312" w:eastAsia="仿宋_GB2312"/>
              </w:rPr>
              <w:t>报价一览表.docx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合同签订之日起60日历</w:t>
            </w:r>
          </w:p>
        </w:tc>
        <w:tc>
          <w:tcPr>
            <w:tcW w:type="dxa" w:w="1661"/>
          </w:tcPr>
          <w:p>
            <w:pPr>
              <w:pStyle w:val="null3"/>
            </w:pPr>
            <w:r>
              <w:rPr>
                <w:rFonts w:ascii="仿宋_GB2312" w:hAnsi="仿宋_GB2312" w:cs="仿宋_GB2312" w:eastAsia="仿宋_GB2312"/>
              </w:rPr>
              <w:t>报价一览表.docx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投标截止之日起90日历天</w:t>
            </w:r>
          </w:p>
        </w:tc>
        <w:tc>
          <w:tcPr>
            <w:tcW w:type="dxa" w:w="1661"/>
          </w:tcPr>
          <w:p>
            <w:pPr>
              <w:pStyle w:val="null3"/>
            </w:pPr>
            <w:r>
              <w:rPr>
                <w:rFonts w:ascii="仿宋_GB2312" w:hAnsi="仿宋_GB2312" w:cs="仿宋_GB2312" w:eastAsia="仿宋_GB2312"/>
              </w:rPr>
              <w:t>报价一览表.docx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其他无效响应事项</w:t>
            </w:r>
          </w:p>
        </w:tc>
        <w:tc>
          <w:tcPr>
            <w:tcW w:type="dxa" w:w="3322"/>
          </w:tcPr>
          <w:p>
            <w:pPr>
              <w:pStyle w:val="null3"/>
            </w:pPr>
            <w:r>
              <w:rPr>
                <w:rFonts w:ascii="仿宋_GB2312" w:hAnsi="仿宋_GB2312" w:cs="仿宋_GB2312" w:eastAsia="仿宋_GB2312"/>
              </w:rPr>
              <w:t>没有不符合法规明确规定或磋商文件规定的被视为无效响应的其他条款</w:t>
            </w:r>
          </w:p>
        </w:tc>
        <w:tc>
          <w:tcPr>
            <w:tcW w:type="dxa" w:w="1661"/>
          </w:tcPr>
          <w:p>
            <w:pPr>
              <w:pStyle w:val="null3"/>
            </w:pPr>
            <w:r>
              <w:rPr>
                <w:rFonts w:ascii="仿宋_GB2312" w:hAnsi="仿宋_GB2312" w:cs="仿宋_GB2312" w:eastAsia="仿宋_GB2312"/>
              </w:rPr>
              <w:t>报价一览表.docx 报价函 其他资料.docx 响应函 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质量目标明确，满足采购人要求；有质保体系，责任明确；质保措施切合实际，满足质量目标要求。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w:t>
            </w:r>
          </w:p>
        </w:tc>
        <w:tc>
          <w:tcPr>
            <w:tcW w:type="dxa" w:w="2492"/>
          </w:tcPr>
          <w:p>
            <w:pPr>
              <w:pStyle w:val="null3"/>
            </w:pPr>
            <w:r>
              <w:rPr>
                <w:rFonts w:ascii="仿宋_GB2312" w:hAnsi="仿宋_GB2312" w:cs="仿宋_GB2312" w:eastAsia="仿宋_GB2312"/>
              </w:rPr>
              <w:t>针对项目施工的重点、难点目标及施工环节，提出切实可行的专项施工方案（含主要施工方法、组织措施、检验手段等）及应急预案。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安全目标明确，满足采购人要求；有安保体系，责任明确；安保措施切合实际，满足安全目标要求；有应对突发事件的应急措施。内容完备、科学、合理、针对性强得8分；内容基本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确保文明施工、环保施工、防尘降噪等技术保证措施。内容完备、科学、合理、针对性强得6分；内容基本合理、可行得4分；内容一般、基本可行得2分；未提供得0分。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项目部组成人员，整个项目的实施组织机构、人员配置合理、责任明确。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施工进度计划图示清晰、科学、合理；关键工序控制合理；工期保证措施合理，能够保证总工期。内容完备、科学、合理、针对性强得8分；内容合理、可行得6分；内容一般、基本可行得4分；内容差，不能满足项目要求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根据供应商拟用于本项目的主要施工设备和材料投入计划，按其响应程度赋分。内容完备、科学、合理、针对性强得5分；内容基本合理、可行得3分；内容差，不能满足项目要求得1分；未提供得0分。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根据供应商新技术、新产品、新工艺、新材料应用。提供得2分；未提供得0分。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根据本项目实际需求，有详细的保修服务措施及承诺，保修服务条款具体、可行。内容完备、科学、合理、针对性强得6分；内容基本合理、可行得4分；内容差，不能满足项目要求得2分；未提供得0分。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针对本项目实际需求提供合理化建议，确有利于本次磋商。内容完备、科学、合理、针对性强得5分；内容基本合理、可行得3分；内容差，不能满足项目要求得1分；未提供得0分。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业绩经验</w:t>
            </w:r>
          </w:p>
        </w:tc>
        <w:tc>
          <w:tcPr>
            <w:tcW w:type="dxa" w:w="2492"/>
          </w:tcPr>
          <w:p>
            <w:pPr>
              <w:pStyle w:val="null3"/>
            </w:pPr>
            <w:r>
              <w:rPr>
                <w:rFonts w:ascii="仿宋_GB2312" w:hAnsi="仿宋_GB2312" w:cs="仿宋_GB2312" w:eastAsia="仿宋_GB2312"/>
              </w:rPr>
              <w:t>供应商近三年（2022年至今）具有类似项目业绩，一项得2分，最高6分。（需提供合同复印件并加盖公章，时间以合同签订时间为准，无签订时间的无效）。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报价得分=（评标基准价/磋商报价）×30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