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版本号：SXCC–[2025]–DL079.1B120251104001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洩湖镇黑沟村道路硬化项目(二次)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SXCC–[2025]–DL079.1B1</w:t>
      </w:r>
      <w:r>
        <w:br/>
      </w:r>
      <w:r>
        <w:br/>
      </w:r>
      <w:r>
        <w:br/>
      </w:r>
    </w:p>
    <w:p>
      <w:pPr>
        <w:pStyle w:val="null3"/>
        <w:jc w:val="center"/>
        <w:outlineLvl w:val="2"/>
      </w:pPr>
      <w:r>
        <w:rPr>
          <w:rFonts w:ascii="仿宋_GB2312" w:hAnsi="仿宋_GB2312" w:cs="仿宋_GB2312" w:eastAsia="仿宋_GB2312"/>
          <w:sz w:val="28"/>
          <w:b/>
        </w:rPr>
        <w:t>蓝田县洩湖镇人民政府（本级）</w:t>
      </w:r>
    </w:p>
    <w:p>
      <w:pPr>
        <w:pStyle w:val="null3"/>
        <w:jc w:val="center"/>
        <w:outlineLvl w:val="2"/>
      </w:pPr>
      <w:r>
        <w:rPr>
          <w:rFonts w:ascii="仿宋_GB2312" w:hAnsi="仿宋_GB2312" w:cs="仿宋_GB2312" w:eastAsia="仿宋_GB2312"/>
          <w:sz w:val="28"/>
          <w:b/>
        </w:rPr>
        <w:t>陕西长城工程造价师事务所有限责任公司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陕西长城工程造价师事务所有限责任公司</w:t>
      </w:r>
      <w:r>
        <w:rPr>
          <w:rFonts w:ascii="仿宋_GB2312" w:hAnsi="仿宋_GB2312" w:cs="仿宋_GB2312" w:eastAsia="仿宋_GB2312"/>
        </w:rPr>
        <w:t>（以下简称“代理机构”）受</w:t>
      </w:r>
      <w:r>
        <w:rPr>
          <w:rFonts w:ascii="仿宋_GB2312" w:hAnsi="仿宋_GB2312" w:cs="仿宋_GB2312" w:eastAsia="仿宋_GB2312"/>
        </w:rPr>
        <w:t>蓝田县洩湖镇人民政府（本级）</w:t>
      </w:r>
      <w:r>
        <w:rPr>
          <w:rFonts w:ascii="仿宋_GB2312" w:hAnsi="仿宋_GB2312" w:cs="仿宋_GB2312" w:eastAsia="仿宋_GB2312"/>
        </w:rPr>
        <w:t>委托，拟对</w:t>
      </w:r>
      <w:r>
        <w:rPr>
          <w:rFonts w:ascii="仿宋_GB2312" w:hAnsi="仿宋_GB2312" w:cs="仿宋_GB2312" w:eastAsia="仿宋_GB2312"/>
        </w:rPr>
        <w:t>洩湖镇黑沟村道路硬化项目(二次)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SXCC–[2025]–DL079.1B1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洩湖镇黑沟村道路硬化项目(二次)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本项目洩湖镇黑沟村道路硬化项目（二次），实施内容为新建水泥混凝土路面6430㎡，路肩352.88m³，清表1584m³，挖除破损路面451.50㎡。</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采购包1（洩湖镇黑沟村道路硬化项目）：属于专门面向中小企业采购。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1、法定代表人身份证明书/法定代表人授权委托书：法定代表人授权书（法定代表人直接参加磋商，须提供法定代表人身份证明）</w:t>
      </w:r>
    </w:p>
    <w:p>
      <w:pPr>
        <w:pStyle w:val="null3"/>
      </w:pPr>
      <w:r>
        <w:rPr>
          <w:rFonts w:ascii="仿宋_GB2312" w:hAnsi="仿宋_GB2312" w:cs="仿宋_GB2312" w:eastAsia="仿宋_GB2312"/>
        </w:rPr>
        <w:t>2、资质要求：供应商须具备行业主管部门颁发的市政公用工程施工总承包三级及以上资质并具有有效的安全生产许可证。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3、项目经理资质要求：供应商拟派项目经理须具备行业主管部门颁发的市政公用工程专业二级及以上建造师资质及有效的安全生产考核合格证书（建安B证），在本单位注册且无在建工程。</w:t>
      </w:r>
    </w:p>
    <w:p>
      <w:pPr>
        <w:pStyle w:val="null3"/>
      </w:pPr>
      <w:r>
        <w:rPr>
          <w:rFonts w:ascii="仿宋_GB2312" w:hAnsi="仿宋_GB2312" w:cs="仿宋_GB2312" w:eastAsia="仿宋_GB2312"/>
        </w:rPr>
        <w:t>4、信用信息查询：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5、供应商基本信息及项目经理基本信息查询：供应商基本信息及项目经理基本信息应在“陕西建设网（http://js.shaanxi.gov.cn/）或陕西省建筑市场监管与诚信信息发布平台”可查询</w:t>
      </w:r>
    </w:p>
    <w:p>
      <w:pPr>
        <w:pStyle w:val="null3"/>
      </w:pPr>
      <w:r>
        <w:rPr>
          <w:rFonts w:ascii="仿宋_GB2312" w:hAnsi="仿宋_GB2312" w:cs="仿宋_GB2312" w:eastAsia="仿宋_GB2312"/>
        </w:rPr>
        <w:t>6、声明书：供应商不得在各级诚信信息平台被列为投标受限制的行为人。</w:t>
      </w:r>
    </w:p>
    <w:p>
      <w:pPr>
        <w:pStyle w:val="null3"/>
      </w:pPr>
      <w:r>
        <w:rPr>
          <w:rFonts w:ascii="仿宋_GB2312" w:hAnsi="仿宋_GB2312" w:cs="仿宋_GB2312" w:eastAsia="仿宋_GB2312"/>
        </w:rPr>
        <w:t>7、承诺书：本项目不接受联合体投标，单位负责人为同一人或者存在直接控股、管理关系的不同供应商，不得参加同一合同项下的政府采购活动。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8、中小企业声明函：本项目专门面向中小企业采购，仅限符合《政府采购促进中小企业发展管理办法》的通知(财库〔2020〕46号)条件的中小企业参与，并提供中小企业声明函。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蓝田县洩湖镇人民政府（本级）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蓝田县洩湖镇洩湖街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029-82842003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陕西长城工程造价师事务所有限责任公司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蓝田县青灞路白鹿原管委会对面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谢毅潇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李晓东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采购包1：1,088,000.00元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代理服务费收费标准：1.以成交金额为基数，参照国家计委颁布《招标代理服务收费管理暂行办法》（计价格[2002]1980号）、（发改办价格[2003]857号）文件规定执行； 2.招标代理服务费由成交供应商支付，在领取《成交通知书》前，由成交供应商一次性支付给陕西长城工程造价师事务所有限责任公司。 招标代理服务费缴纳账户： 开户名称：陕西长城工程造价师事务所有限责任公司 开户银行：建行西安凤城二路支行 账 号：6105 0110 2637 0000 0190 注：成交公示结束后，成交供应商须提供纸质磋商响应文件 3 套及电子版 U 盘 1 个（内容与系统上传保持一致）交由采购代理机构。成交供应商对所提供资料的真实性、合法性、准确性、完整性负责，无需密封。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蓝田县洩湖镇人民政府（本级）</w:t>
      </w:r>
      <w:r>
        <w:rPr>
          <w:rFonts w:ascii="仿宋_GB2312" w:hAnsi="仿宋_GB2312" w:cs="仿宋_GB2312" w:eastAsia="仿宋_GB2312"/>
        </w:rPr>
        <w:t>和</w:t>
      </w:r>
      <w:r>
        <w:rPr>
          <w:rFonts w:ascii="仿宋_GB2312" w:hAnsi="仿宋_GB2312" w:cs="仿宋_GB2312" w:eastAsia="仿宋_GB2312"/>
        </w:rPr>
        <w:t>陕西长城工程造价师事务所有限责任公司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蓝田县洩湖镇人民政府（本级）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陕西长城工程造价师事务所有限责任公司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蓝田县洩湖镇人民政府（本级）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陕西长城工程造价师事务所有限责任公司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联系人：谢毅潇</w:t>
      </w:r>
    </w:p>
    <w:p>
      <w:pPr>
        <w:pStyle w:val="null3"/>
      </w:pPr>
      <w:r>
        <w:rPr>
          <w:rFonts w:ascii="仿宋_GB2312" w:hAnsi="仿宋_GB2312" w:cs="仿宋_GB2312" w:eastAsia="仿宋_GB2312"/>
        </w:rPr>
        <w:t>联系电话：029-82722200</w:t>
      </w:r>
    </w:p>
    <w:p>
      <w:pPr>
        <w:pStyle w:val="null3"/>
      </w:pPr>
      <w:r>
        <w:rPr>
          <w:rFonts w:ascii="仿宋_GB2312" w:hAnsi="仿宋_GB2312" w:cs="仿宋_GB2312" w:eastAsia="仿宋_GB2312"/>
        </w:rPr>
        <w:t>地址：蓝田县青灞路白鹿原管委会对面</w:t>
      </w:r>
    </w:p>
    <w:p>
      <w:pPr>
        <w:pStyle w:val="null3"/>
      </w:pPr>
      <w:r>
        <w:rPr>
          <w:rFonts w:ascii="仿宋_GB2312" w:hAnsi="仿宋_GB2312" w:cs="仿宋_GB2312" w:eastAsia="仿宋_GB2312"/>
        </w:rPr>
        <w:t>邮编：710500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1,088,000.00</w:t>
      </w:r>
    </w:p>
    <w:p>
      <w:pPr>
        <w:pStyle w:val="null3"/>
      </w:pPr>
      <w:r>
        <w:rPr>
          <w:rFonts w:ascii="仿宋_GB2312" w:hAnsi="仿宋_GB2312" w:cs="仿宋_GB2312" w:eastAsia="仿宋_GB2312"/>
        </w:rPr>
        <w:t>采购包最高限价（元）: 1,007,348.85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黑沟村道路硬化</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1,088,000.00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标的名称：黑沟村道路硬化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18"/>
                <w:b/>
                <w:color w:val="000000"/>
                <w:shd w:fill="FFFFFF" w:val="clear"/>
              </w:rPr>
              <w:t>一、项目概况</w:t>
            </w:r>
          </w:p>
          <w:p>
            <w:pPr>
              <w:pStyle w:val="null3"/>
              <w:spacing w:before="105" w:after="105"/>
              <w:ind w:firstLine="560"/>
              <w:jc w:val="both"/>
            </w:pPr>
            <w:r>
              <w:rPr>
                <w:rFonts w:ascii="仿宋_GB2312" w:hAnsi="仿宋_GB2312" w:cs="仿宋_GB2312" w:eastAsia="仿宋_GB2312"/>
                <w:sz w:val="18"/>
                <w:color w:val="000000"/>
                <w:shd w:fill="FFFFFF" w:val="clear"/>
              </w:rPr>
              <w:t>本项目洩湖镇黑沟村道路硬化项目（二次），实施内容为新建水泥混凝土路面</w:t>
            </w:r>
            <w:r>
              <w:rPr>
                <w:rFonts w:ascii="仿宋_GB2312" w:hAnsi="仿宋_GB2312" w:cs="仿宋_GB2312" w:eastAsia="仿宋_GB2312"/>
                <w:sz w:val="18"/>
                <w:color w:val="000000"/>
                <w:shd w:fill="FFFFFF" w:val="clear"/>
              </w:rPr>
              <w:t>6430㎡，路肩352.88m³，清表1584m³，挖除破损路面451.50㎡</w:t>
            </w:r>
            <w:r>
              <w:rPr>
                <w:rFonts w:ascii="仿宋_GB2312" w:hAnsi="仿宋_GB2312" w:cs="仿宋_GB2312" w:eastAsia="仿宋_GB2312"/>
                <w:sz w:val="18"/>
                <w:color w:val="000000"/>
                <w:shd w:fill="FFFFFF" w:val="clear"/>
              </w:rPr>
              <w:t>。</w:t>
            </w:r>
          </w:p>
          <w:p>
            <w:pPr>
              <w:pStyle w:val="null3"/>
              <w:spacing w:before="105" w:after="105"/>
              <w:jc w:val="both"/>
            </w:pPr>
            <w:r>
              <w:rPr>
                <w:rFonts w:ascii="仿宋_GB2312" w:hAnsi="仿宋_GB2312" w:cs="仿宋_GB2312" w:eastAsia="仿宋_GB2312"/>
                <w:sz w:val="18"/>
                <w:b/>
                <w:color w:val="000000"/>
                <w:shd w:fill="FFFFFF" w:val="clear"/>
              </w:rPr>
              <w:t>二、项目情况</w:t>
            </w:r>
          </w:p>
          <w:p>
            <w:pPr>
              <w:pStyle w:val="null3"/>
              <w:spacing w:before="105" w:after="105"/>
              <w:ind w:firstLine="560"/>
              <w:jc w:val="both"/>
            </w:pPr>
            <w:r>
              <w:rPr>
                <w:rFonts w:ascii="仿宋_GB2312" w:hAnsi="仿宋_GB2312" w:cs="仿宋_GB2312" w:eastAsia="仿宋_GB2312"/>
                <w:sz w:val="18"/>
                <w:color w:val="000000"/>
                <w:shd w:fill="FFFFFF" w:val="clear"/>
              </w:rPr>
              <w:t>1、工程内容：详见</w:t>
            </w:r>
            <w:r>
              <w:rPr>
                <w:rFonts w:ascii="仿宋_GB2312" w:hAnsi="仿宋_GB2312" w:cs="仿宋_GB2312" w:eastAsia="仿宋_GB2312"/>
                <w:sz w:val="18"/>
                <w:color w:val="000000"/>
                <w:shd w:fill="FFFFFF" w:val="clear"/>
              </w:rPr>
              <w:t>采购</w:t>
            </w:r>
            <w:r>
              <w:rPr>
                <w:rFonts w:ascii="仿宋_GB2312" w:hAnsi="仿宋_GB2312" w:cs="仿宋_GB2312" w:eastAsia="仿宋_GB2312"/>
                <w:sz w:val="18"/>
                <w:color w:val="000000"/>
                <w:shd w:fill="FFFFFF" w:val="clear"/>
              </w:rPr>
              <w:t>文件工程量清单全部内容</w:t>
            </w:r>
          </w:p>
          <w:p>
            <w:pPr>
              <w:pStyle w:val="null3"/>
              <w:spacing w:before="105" w:after="105"/>
              <w:ind w:firstLine="560"/>
              <w:jc w:val="both"/>
            </w:pPr>
            <w:r>
              <w:rPr>
                <w:rFonts w:ascii="仿宋_GB2312" w:hAnsi="仿宋_GB2312" w:cs="仿宋_GB2312" w:eastAsia="仿宋_GB2312"/>
                <w:sz w:val="18"/>
                <w:color w:val="000000"/>
                <w:shd w:fill="FFFFFF" w:val="clear"/>
              </w:rPr>
              <w:t>2、工程地点：</w:t>
            </w:r>
            <w:r>
              <w:rPr>
                <w:rFonts w:ascii="仿宋_GB2312" w:hAnsi="仿宋_GB2312" w:cs="仿宋_GB2312" w:eastAsia="仿宋_GB2312"/>
                <w:sz w:val="18"/>
                <w:color w:val="000000"/>
                <w:shd w:fill="FFFFFF" w:val="clear"/>
              </w:rPr>
              <w:t>洩湖镇黑沟村</w:t>
            </w:r>
          </w:p>
          <w:p>
            <w:pPr>
              <w:pStyle w:val="null3"/>
              <w:spacing w:before="105" w:after="105"/>
              <w:ind w:firstLine="560"/>
              <w:jc w:val="both"/>
            </w:pPr>
            <w:r>
              <w:rPr>
                <w:rFonts w:ascii="仿宋_GB2312" w:hAnsi="仿宋_GB2312" w:cs="仿宋_GB2312" w:eastAsia="仿宋_GB2312"/>
                <w:sz w:val="18"/>
                <w:color w:val="000000"/>
                <w:shd w:fill="FFFFFF" w:val="clear"/>
              </w:rPr>
              <w:t>3、计划工期：</w:t>
            </w:r>
            <w:r>
              <w:rPr>
                <w:rFonts w:ascii="仿宋_GB2312" w:hAnsi="仿宋_GB2312" w:cs="仿宋_GB2312" w:eastAsia="仿宋_GB2312"/>
                <w:sz w:val="18"/>
                <w:color w:val="000000"/>
                <w:shd w:fill="FFFFFF" w:val="clear"/>
              </w:rPr>
              <w:t>45</w:t>
            </w:r>
            <w:r>
              <w:rPr>
                <w:rFonts w:ascii="仿宋_GB2312" w:hAnsi="仿宋_GB2312" w:cs="仿宋_GB2312" w:eastAsia="仿宋_GB2312"/>
                <w:sz w:val="18"/>
                <w:color w:val="000000"/>
                <w:shd w:fill="FFFFFF" w:val="clear"/>
              </w:rPr>
              <w:t>日历天</w:t>
            </w:r>
          </w:p>
          <w:p>
            <w:pPr>
              <w:pStyle w:val="null3"/>
              <w:spacing w:before="105" w:after="105"/>
              <w:ind w:firstLine="560"/>
              <w:jc w:val="both"/>
            </w:pPr>
            <w:r>
              <w:rPr>
                <w:rFonts w:ascii="仿宋_GB2312" w:hAnsi="仿宋_GB2312" w:cs="仿宋_GB2312" w:eastAsia="仿宋_GB2312"/>
                <w:sz w:val="18"/>
                <w:color w:val="000000"/>
                <w:shd w:fill="FFFFFF" w:val="clear"/>
              </w:rPr>
              <w:t>4、缺陷责任期：自竣工验收之日起1年</w:t>
            </w:r>
          </w:p>
          <w:p>
            <w:pPr>
              <w:pStyle w:val="null3"/>
              <w:spacing w:before="105" w:after="105"/>
              <w:ind w:firstLine="560"/>
              <w:jc w:val="both"/>
            </w:pPr>
            <w:r>
              <w:rPr>
                <w:rFonts w:ascii="仿宋_GB2312" w:hAnsi="仿宋_GB2312" w:cs="仿宋_GB2312" w:eastAsia="仿宋_GB2312"/>
                <w:sz w:val="18"/>
                <w:color w:val="000000"/>
                <w:shd w:fill="FFFFFF" w:val="clear"/>
              </w:rPr>
              <w:t>5、质量保修期：不少于12个月</w:t>
            </w:r>
          </w:p>
          <w:p>
            <w:pPr>
              <w:pStyle w:val="null3"/>
              <w:spacing w:before="105" w:after="105"/>
              <w:ind w:firstLine="560"/>
              <w:jc w:val="both"/>
            </w:pPr>
            <w:r>
              <w:rPr>
                <w:rFonts w:ascii="仿宋_GB2312" w:hAnsi="仿宋_GB2312" w:cs="仿宋_GB2312" w:eastAsia="仿宋_GB2312"/>
                <w:sz w:val="18"/>
                <w:color w:val="000000"/>
                <w:shd w:fill="FFFFFF" w:val="clear"/>
              </w:rPr>
              <w:t>6、付款方式：</w:t>
            </w:r>
          </w:p>
          <w:p>
            <w:pPr>
              <w:pStyle w:val="null3"/>
              <w:spacing w:before="105" w:after="105"/>
              <w:ind w:firstLine="560"/>
              <w:jc w:val="both"/>
            </w:pP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1）合同签订后，甲方向乙方支付合同价款的40%作为预付款。</w:t>
            </w:r>
          </w:p>
          <w:p>
            <w:pPr>
              <w:pStyle w:val="null3"/>
              <w:spacing w:before="105" w:after="105"/>
              <w:ind w:firstLine="560"/>
              <w:jc w:val="both"/>
            </w:pP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2）工程竣工，验收合格后支付合同总价款的85%。</w:t>
            </w:r>
          </w:p>
          <w:p>
            <w:pPr>
              <w:pStyle w:val="null3"/>
              <w:spacing w:before="105" w:after="105"/>
              <w:ind w:firstLine="560"/>
              <w:jc w:val="both"/>
            </w:pP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3）审计部门审计完成后，支付至审计结算价款的97%，剩余3%待缺陷责任期满后一次性无息支付。</w:t>
            </w:r>
          </w:p>
          <w:p>
            <w:pPr>
              <w:pStyle w:val="null3"/>
              <w:spacing w:before="105" w:after="105"/>
              <w:jc w:val="both"/>
            </w:pPr>
            <w:r>
              <w:rPr>
                <w:rFonts w:ascii="仿宋_GB2312" w:hAnsi="仿宋_GB2312" w:cs="仿宋_GB2312" w:eastAsia="仿宋_GB2312"/>
                <w:sz w:val="18"/>
                <w:b/>
                <w:color w:val="000000"/>
                <w:shd w:fill="FFFFFF" w:val="clear"/>
              </w:rPr>
              <w:t>三、工程量清单和计价依据</w:t>
            </w:r>
          </w:p>
          <w:p>
            <w:pPr>
              <w:pStyle w:val="null3"/>
              <w:spacing w:before="105" w:after="105"/>
              <w:ind w:firstLine="560"/>
              <w:jc w:val="both"/>
            </w:pPr>
            <w:r>
              <w:rPr>
                <w:rFonts w:ascii="仿宋_GB2312" w:hAnsi="仿宋_GB2312" w:cs="仿宋_GB2312" w:eastAsia="仿宋_GB2312"/>
                <w:sz w:val="18"/>
                <w:color w:val="000000"/>
                <w:shd w:fill="FFFFFF" w:val="clear"/>
              </w:rPr>
              <w:t>1.洩湖镇黑沟村道路硬化项目施工图纸；</w:t>
            </w:r>
          </w:p>
          <w:p>
            <w:pPr>
              <w:pStyle w:val="null3"/>
              <w:spacing w:before="105" w:after="105"/>
              <w:ind w:firstLine="560"/>
              <w:jc w:val="both"/>
            </w:pPr>
            <w:r>
              <w:rPr>
                <w:rFonts w:ascii="仿宋_GB2312" w:hAnsi="仿宋_GB2312" w:cs="仿宋_GB2312" w:eastAsia="仿宋_GB2312"/>
                <w:sz w:val="18"/>
                <w:color w:val="000000"/>
                <w:shd w:fill="FFFFFF" w:val="clear"/>
              </w:rPr>
              <w:t>2.依据《关于印发2025陕西省建设工程费用规则等计价依据的通知》（陕建管发〔2025〕10号）；</w:t>
            </w:r>
          </w:p>
          <w:p>
            <w:pPr>
              <w:pStyle w:val="null3"/>
              <w:spacing w:before="105" w:after="105"/>
              <w:ind w:firstLine="560"/>
              <w:jc w:val="both"/>
            </w:pPr>
            <w:r>
              <w:rPr>
                <w:rFonts w:ascii="仿宋_GB2312" w:hAnsi="仿宋_GB2312" w:cs="仿宋_GB2312" w:eastAsia="仿宋_GB2312"/>
                <w:sz w:val="18"/>
                <w:color w:val="000000"/>
                <w:shd w:fill="FFFFFF" w:val="clear"/>
              </w:rPr>
              <w:t>3.依据陕西省工程建设标准《建设工程工程量清单计价标准》《市政工程工程量计算标准》、《通用安装工程工程量计算标准》；</w:t>
            </w:r>
          </w:p>
          <w:p>
            <w:pPr>
              <w:pStyle w:val="null3"/>
              <w:spacing w:before="105" w:after="105"/>
              <w:ind w:firstLine="560"/>
              <w:jc w:val="both"/>
            </w:pPr>
            <w:r>
              <w:rPr>
                <w:rFonts w:ascii="仿宋_GB2312" w:hAnsi="仿宋_GB2312" w:cs="仿宋_GB2312" w:eastAsia="仿宋_GB2312"/>
                <w:sz w:val="18"/>
                <w:color w:val="000000"/>
                <w:shd w:fill="FFFFFF" w:val="clear"/>
              </w:rPr>
              <w:t>4.陕西省住房城乡建设主管部门颁发的工程计价文件、建设工程费用规则；</w:t>
            </w:r>
          </w:p>
          <w:p>
            <w:pPr>
              <w:pStyle w:val="null3"/>
              <w:spacing w:before="105" w:after="105"/>
              <w:ind w:firstLine="560"/>
              <w:jc w:val="both"/>
            </w:pPr>
            <w:r>
              <w:rPr>
                <w:rFonts w:ascii="仿宋_GB2312" w:hAnsi="仿宋_GB2312" w:cs="仿宋_GB2312" w:eastAsia="仿宋_GB2312"/>
                <w:sz w:val="18"/>
                <w:color w:val="000000"/>
                <w:shd w:fill="FFFFFF" w:val="clear"/>
              </w:rPr>
              <w:t>5.施工现场情况、地勘水文资料、工程特点及施工方案，现行国家和陕西省有关的标准、规范及技术资料；</w:t>
            </w:r>
          </w:p>
          <w:p>
            <w:pPr>
              <w:pStyle w:val="null3"/>
              <w:spacing w:before="105" w:after="105"/>
              <w:ind w:firstLine="560"/>
              <w:jc w:val="both"/>
            </w:pPr>
            <w:r>
              <w:rPr>
                <w:rFonts w:ascii="仿宋_GB2312" w:hAnsi="仿宋_GB2312" w:cs="仿宋_GB2312" w:eastAsia="仿宋_GB2312"/>
                <w:sz w:val="18"/>
                <w:color w:val="000000"/>
                <w:shd w:fill="FFFFFF" w:val="clear"/>
              </w:rPr>
              <w:t>6.材料价优先参考2025年《蓝田县工程造价信息》最新除税信息价及当期市场价；</w:t>
            </w:r>
          </w:p>
          <w:p>
            <w:pPr>
              <w:pStyle w:val="null3"/>
              <w:spacing w:before="105" w:after="105"/>
              <w:ind w:firstLine="560"/>
              <w:jc w:val="both"/>
            </w:pPr>
            <w:r>
              <w:rPr>
                <w:rFonts w:ascii="仿宋_GB2312" w:hAnsi="仿宋_GB2312" w:cs="仿宋_GB2312" w:eastAsia="仿宋_GB2312"/>
                <w:sz w:val="18"/>
                <w:color w:val="000000"/>
                <w:shd w:fill="FFFFFF" w:val="clear"/>
              </w:rPr>
              <w:t>7.其他相关资料。</w:t>
            </w:r>
          </w:p>
          <w:p>
            <w:pPr>
              <w:pStyle w:val="null3"/>
              <w:spacing w:before="105" w:after="105"/>
              <w:jc w:val="both"/>
            </w:pPr>
            <w:r>
              <w:rPr>
                <w:rFonts w:ascii="仿宋_GB2312" w:hAnsi="仿宋_GB2312" w:cs="仿宋_GB2312" w:eastAsia="仿宋_GB2312"/>
                <w:sz w:val="18"/>
                <w:b/>
                <w:color w:val="000000"/>
                <w:shd w:fill="FFFFFF" w:val="clear"/>
              </w:rPr>
              <w:t>四、编制使用软件</w:t>
            </w:r>
            <w:r>
              <w:rPr>
                <w:rFonts w:ascii="仿宋_GB2312" w:hAnsi="仿宋_GB2312" w:cs="仿宋_GB2312" w:eastAsia="仿宋_GB2312"/>
                <w:sz w:val="18"/>
                <w:b/>
                <w:color w:val="000000"/>
                <w:shd w:fill="FFFFFF" w:val="clear"/>
              </w:rPr>
              <w:t>及其他</w:t>
            </w:r>
          </w:p>
          <w:p>
            <w:pPr>
              <w:pStyle w:val="null3"/>
              <w:ind w:firstLine="560"/>
              <w:jc w:val="both"/>
            </w:pPr>
            <w:r>
              <w:rPr>
                <w:rFonts w:ascii="仿宋_GB2312" w:hAnsi="仿宋_GB2312" w:cs="仿宋_GB2312" w:eastAsia="仿宋_GB2312"/>
                <w:sz w:val="18"/>
                <w:color w:val="000000"/>
                <w:shd w:fill="FFFFFF" w:val="clear"/>
              </w:rPr>
              <w:t>1.广联达云计价平台GCCP7.0版本7.5000.23.1</w:t>
            </w:r>
          </w:p>
          <w:p>
            <w:pPr>
              <w:pStyle w:val="null3"/>
              <w:jc w:val="both"/>
            </w:pPr>
            <w:r>
              <w:rPr>
                <w:rFonts w:ascii="仿宋_GB2312" w:hAnsi="仿宋_GB2312" w:cs="仿宋_GB2312" w:eastAsia="仿宋_GB2312"/>
                <w:sz w:val="18"/>
                <w:color w:val="000000"/>
                <w:shd w:fill="FFFFFF" w:val="clear"/>
              </w:rPr>
              <w:t xml:space="preserve">          2.暂列金：人民币 80000.00元</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(2)提供2024年度经审计的财务报告（成立时间至提交响应文件截止时间不足一年的可提供成立后任意时段的资产负债表），或投标截止时间前6个月内银行出具的资信证明； (3)提供响应文件递交截止日前一年内已缴纳的至少一个月的纳税证明或完税证明，依法免税的单位应提供相关证明材料；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提供2024年度经审计的财务报告（成立时间至提交响应文件截止时间不足一年的可提供成立后任意时段的资产负债表），或投标截止时间前6个月内银行出具的资信证明。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供应商拟派项目经理须具备行业主管部门颁发的市政公用工程专业二级及以上建造师资质及有效的安全生产考核合格证书（建安B证），在本单位注册且无在建工程。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供应商基本信息及项目经理基本信息查询</w:t>
            </w:r>
          </w:p>
        </w:tc>
        <w:tc>
          <w:tcPr>
            <w:tcW w:type="dxa" w:w="3322"/>
          </w:tcPr>
          <w:p>
            <w:pPr>
              <w:pStyle w:val="null3"/>
            </w:pPr>
            <w:r>
              <w:rPr>
                <w:rFonts w:ascii="仿宋_GB2312" w:hAnsi="仿宋_GB2312" w:cs="仿宋_GB2312" w:eastAsia="仿宋_GB2312"/>
              </w:rPr>
              <w:t>供应商基本信息及项目经理基本信息应在“陕西建设网（http://js.shaanxi.gov.cn/）或陕西省建筑市场监管与诚信信息发布平台”可查询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供应商不得在各级诚信信息平台被列为投标受限制的行为人。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施工方案内容至少包括：①施工总平面布置图、施工进度表或施工网络图；②施工准备及进度安排;③施工方法；④重点难点工程分析及解决措施；⑤影响正常施工外在因素分析及对应预案等。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内容至少包括①质量管理流程；②工程质量保障方案；③工程质量控制体系；④材料和构配件的质量控制等；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 内容至少包括①安全生产管理制度；②配置安全组织机构；③安全隐患排查、整改制度；④应急救援方案等。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w:t>
            </w:r>
          </w:p>
        </w:tc>
        <w:tc>
          <w:tcPr>
            <w:tcW w:type="dxa" w:w="2492"/>
          </w:tcPr>
          <w:p>
            <w:pPr>
              <w:pStyle w:val="null3"/>
            </w:pPr>
            <w:r>
              <w:rPr>
                <w:rFonts w:ascii="仿宋_GB2312" w:hAnsi="仿宋_GB2312" w:cs="仿宋_GB2312" w:eastAsia="仿宋_GB2312"/>
              </w:rPr>
              <w:t>一、评审内容： 内容至少包括①文明施工及环境保护管理制度； ②防尘降噪措施；③节能减排措施；④治污减霾措施；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内容至少包括①施工进度安排； ②工期目标控制和保证措施； ③材料供应措施； ④成品、半成品保护监管措施等。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内容至少包括①项目成员配置清单及架构②项目组配备人员的专业素质③人员结构④服务响应时间；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（项目组配备人员须提供相关人员证书等）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一、评审内容： 内容至少包括①施工机械配置计划； ②施工材料投入计划；③施工机械的维护保养和材料的贮存；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一、评审内容： 内容至少包括①劳动力投入计划②劳动力保障措施；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上述2项评审内容全部满足评审标准得4分，每有一个评审内容缺项扣2分，每有一项评审内容存在缺陷，扣1-1.5分，扣完为止。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供应商提供2022年10月1日（以合同签订日期为准）至今的类似项目业绩，每提供一份得1分，最高得5分。(合同复印件加盖公章附在响应文件中，否则不作为评审依据）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