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版本号：ZKXR-2025-120120251210004</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2025年第一批市级农业农村发展专项资金（蓝田县农机现代化新型装备建设项目）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ZKXR-2025-1201</w:t>
      </w:r>
      <w:r>
        <w:br/>
      </w:r>
      <w:r>
        <w:br/>
      </w:r>
      <w:r>
        <w:br/>
      </w:r>
    </w:p>
    <w:p>
      <w:pPr>
        <w:pStyle w:val="null3"/>
        <w:jc w:val="center"/>
        <w:outlineLvl w:val="2"/>
      </w:pPr>
      <w:r>
        <w:rPr>
          <w:rFonts w:ascii="仿宋_GB2312" w:hAnsi="仿宋_GB2312" w:cs="仿宋_GB2312" w:eastAsia="仿宋_GB2312"/>
          <w:sz w:val="28"/>
          <w:b/>
        </w:rPr>
        <w:t>西安市蓝田县农机安全监理站</w:t>
      </w:r>
    </w:p>
    <w:p>
      <w:pPr>
        <w:pStyle w:val="null3"/>
        <w:jc w:val="center"/>
        <w:outlineLvl w:val="2"/>
      </w:pPr>
      <w:r>
        <w:rPr>
          <w:rFonts w:ascii="仿宋_GB2312" w:hAnsi="仿宋_GB2312" w:cs="仿宋_GB2312" w:eastAsia="仿宋_GB2312"/>
          <w:sz w:val="28"/>
          <w:b/>
        </w:rPr>
        <w:t>中科旭日建设集团有限公司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中科旭日建设集团有限公司</w:t>
      </w:r>
      <w:r>
        <w:rPr>
          <w:rFonts w:ascii="仿宋_GB2312" w:hAnsi="仿宋_GB2312" w:cs="仿宋_GB2312" w:eastAsia="仿宋_GB2312"/>
        </w:rPr>
        <w:t>（以下简称“代理机构”）受</w:t>
      </w:r>
      <w:r>
        <w:rPr>
          <w:rFonts w:ascii="仿宋_GB2312" w:hAnsi="仿宋_GB2312" w:cs="仿宋_GB2312" w:eastAsia="仿宋_GB2312"/>
        </w:rPr>
        <w:t>西安市蓝田县农机安全监理站</w:t>
      </w:r>
      <w:r>
        <w:rPr>
          <w:rFonts w:ascii="仿宋_GB2312" w:hAnsi="仿宋_GB2312" w:cs="仿宋_GB2312" w:eastAsia="仿宋_GB2312"/>
        </w:rPr>
        <w:t>委托，拟对</w:t>
      </w:r>
      <w:r>
        <w:rPr>
          <w:rFonts w:ascii="仿宋_GB2312" w:hAnsi="仿宋_GB2312" w:cs="仿宋_GB2312" w:eastAsia="仿宋_GB2312"/>
        </w:rPr>
        <w:t>2025年第一批市级农业农村发展专项资金（蓝田县农机现代化新型装备建设项目）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ZKXR-2025-1201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2025年第一批市级农业农村发展专项资金（蓝田县农机现代化新型装备建设项目）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为进一步加大农机机械装备推进力度，拟采购玉米深松分层施肥精量播种机3台、免耕播种施肥机3台、植保（施肥）无人机4台，进一步提升我县粮食生产水平。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1、法定代表人委托授权书/身份证明：法定代表人参加投标时，提供法定代表人身份证明和本人身份证；授权代表参加投标时，提供法定代表人授权书和被授权人身份证；非法人单位参照执行。</w:t>
      </w:r>
    </w:p>
    <w:p>
      <w:pPr>
        <w:pStyle w:val="null3"/>
      </w:pPr>
      <w:r>
        <w:rPr>
          <w:rFonts w:ascii="仿宋_GB2312" w:hAnsi="仿宋_GB2312" w:cs="仿宋_GB2312" w:eastAsia="仿宋_GB2312"/>
        </w:rPr>
        <w:t>2、信用查询：供应商不得被列入中国执行信息公开网（zxgk.court.gov.cn/shixin）中被列入失信被执行人名单或信用中国(www.creditchina.gov.cn)重大税收违法案件当事人名单或中国政府采购网(www.ccgp.gov.cn)的政府采购严重违法失信行为记录名单。</w:t>
      </w:r>
    </w:p>
    <w:p>
      <w:pPr>
        <w:pStyle w:val="null3"/>
      </w:pPr>
      <w:r>
        <w:rPr>
          <w:rFonts w:ascii="仿宋_GB2312" w:hAnsi="仿宋_GB2312" w:cs="仿宋_GB2312" w:eastAsia="仿宋_GB2312"/>
        </w:rPr>
        <w:t>3、联合体投标：本次招标不接受联合体投标。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西安市蓝田县农机安全监理站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蓝田县长坪路94号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陈高宇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029-82726209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中科旭日建设集团有限公司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四川省成都市武侯区四川省成都市武侯区科西三路2号西物慧鼎8层5号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610041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董秋娥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18392046469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照《国家计委关于印发&lt;招标代理服务收费管理暂行办法&gt;的通知》（计价格【2002】1980号）和《国家发展改革委员会办公厅关于招标代理服务费收费有关问题的通知》（发改办价格[2003]857 号）的规定收取，不足7000元，按7000 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西安市蓝田县农机安全监理站</w:t>
      </w:r>
      <w:r>
        <w:rPr>
          <w:rFonts w:ascii="仿宋_GB2312" w:hAnsi="仿宋_GB2312" w:cs="仿宋_GB2312" w:eastAsia="仿宋_GB2312"/>
        </w:rPr>
        <w:t>和</w:t>
      </w:r>
      <w:r>
        <w:rPr>
          <w:rFonts w:ascii="仿宋_GB2312" w:hAnsi="仿宋_GB2312" w:cs="仿宋_GB2312" w:eastAsia="仿宋_GB2312"/>
        </w:rPr>
        <w:t>中科旭日建设集团有限公司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西安市蓝田县农机安全监理站</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中科旭日建设集团有限公司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西安市蓝田县农机安全监理站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中科旭日建设集团有限公司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中科旭日建设集团有限公司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中科旭日建设集团有限公司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中科旭日建设集团有限公司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联系人：董秋娥</w:t>
      </w:r>
    </w:p>
    <w:p>
      <w:pPr>
        <w:pStyle w:val="null3"/>
      </w:pPr>
      <w:r>
        <w:rPr>
          <w:rFonts w:ascii="仿宋_GB2312" w:hAnsi="仿宋_GB2312" w:cs="仿宋_GB2312" w:eastAsia="仿宋_GB2312"/>
        </w:rPr>
        <w:t>联系电话：18392046469</w:t>
      </w:r>
    </w:p>
    <w:p>
      <w:pPr>
        <w:pStyle w:val="null3"/>
      </w:pPr>
      <w:r>
        <w:rPr>
          <w:rFonts w:ascii="仿宋_GB2312" w:hAnsi="仿宋_GB2312" w:cs="仿宋_GB2312" w:eastAsia="仿宋_GB2312"/>
        </w:rPr>
        <w:t>地址：陕西省西安市灞桥区纺西街华夏世纪广场A座1706室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为进一步加大农机机械装备推进力度，拟采购玉米深松分层施肥精量播种机3台、免耕播种施肥机3台、植保（施肥）无人机4台，进一步提升我县粮食生产水平。</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2025年第一批市级农业农村发展专项资金（蓝田县农机现代化新型装备建设项目）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标的名称：2025年第一批市级农业农村发展专项资金（蓝田县农机现代化新型装备建设项目）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ind w:firstLine="562"/>
              <w:jc w:val="both"/>
            </w:pPr>
            <w:r>
              <w:rPr>
                <w:rFonts w:ascii="仿宋_GB2312" w:hAnsi="仿宋_GB2312" w:cs="仿宋_GB2312" w:eastAsia="仿宋_GB2312"/>
                <w:sz w:val="28"/>
                <w:b/>
              </w:rPr>
              <w:t>一</w:t>
            </w:r>
            <w:r>
              <w:rPr>
                <w:rFonts w:ascii="仿宋_GB2312" w:hAnsi="仿宋_GB2312" w:cs="仿宋_GB2312" w:eastAsia="仿宋_GB2312"/>
                <w:sz w:val="28"/>
                <w:b/>
              </w:rPr>
              <w:t>、项目概况</w:t>
            </w:r>
          </w:p>
          <w:p>
            <w:pPr>
              <w:pStyle w:val="null3"/>
              <w:ind w:firstLine="480"/>
              <w:jc w:val="left"/>
            </w:pPr>
            <w:r>
              <w:rPr>
                <w:rFonts w:ascii="仿宋_GB2312" w:hAnsi="仿宋_GB2312" w:cs="仿宋_GB2312" w:eastAsia="仿宋_GB2312"/>
                <w:sz w:val="28"/>
              </w:rPr>
              <w:t>为进一步加大农机机械装备推进力度，</w:t>
            </w:r>
            <w:r>
              <w:rPr>
                <w:rFonts w:ascii="仿宋_GB2312" w:hAnsi="仿宋_GB2312" w:cs="仿宋_GB2312" w:eastAsia="仿宋_GB2312"/>
                <w:sz w:val="28"/>
              </w:rPr>
              <w:t>拟采购玉米深松分层施肥精量播种机</w:t>
            </w:r>
            <w:r>
              <w:rPr>
                <w:rFonts w:ascii="仿宋_GB2312" w:hAnsi="仿宋_GB2312" w:cs="仿宋_GB2312" w:eastAsia="仿宋_GB2312"/>
                <w:sz w:val="28"/>
              </w:rPr>
              <w:t>3台、免耕播种施肥机3台、植保（施肥）无人机4台，进一步提升我县粮食生产水平。</w:t>
            </w:r>
          </w:p>
          <w:p>
            <w:pPr>
              <w:pStyle w:val="null3"/>
              <w:spacing w:after="120"/>
              <w:ind w:firstLine="480"/>
              <w:jc w:val="both"/>
            </w:pPr>
            <w:r>
              <w:rPr>
                <w:rFonts w:ascii="仿宋_GB2312" w:hAnsi="仿宋_GB2312" w:cs="仿宋_GB2312" w:eastAsia="仿宋_GB2312"/>
                <w:sz w:val="28"/>
                <w:b/>
              </w:rPr>
              <w:t>二、采购内容和交货期、交货地点、质保期</w:t>
            </w:r>
          </w:p>
          <w:p>
            <w:pPr>
              <w:pStyle w:val="null3"/>
              <w:ind w:firstLine="480"/>
              <w:jc w:val="left"/>
            </w:pPr>
            <w:r>
              <w:rPr>
                <w:rFonts w:ascii="仿宋_GB2312" w:hAnsi="仿宋_GB2312" w:cs="仿宋_GB2312" w:eastAsia="仿宋_GB2312"/>
                <w:sz w:val="28"/>
              </w:rPr>
              <w:t>（一）采购内容：</w:t>
            </w:r>
            <w:r>
              <w:rPr>
                <w:rFonts w:ascii="仿宋_GB2312" w:hAnsi="仿宋_GB2312" w:cs="仿宋_GB2312" w:eastAsia="仿宋_GB2312"/>
                <w:sz w:val="28"/>
              </w:rPr>
              <w:t>玉米深松分层施肥精量播种机</w:t>
            </w:r>
            <w:r>
              <w:rPr>
                <w:rFonts w:ascii="仿宋_GB2312" w:hAnsi="仿宋_GB2312" w:cs="仿宋_GB2312" w:eastAsia="仿宋_GB2312"/>
                <w:sz w:val="28"/>
              </w:rPr>
              <w:t>3台、免耕播种施肥机3台、植保（施肥）无人机4台。</w:t>
            </w:r>
          </w:p>
          <w:p>
            <w:pPr>
              <w:pStyle w:val="null3"/>
              <w:ind w:firstLine="480"/>
              <w:jc w:val="left"/>
            </w:pPr>
            <w:r>
              <w:rPr>
                <w:rFonts w:ascii="仿宋_GB2312" w:hAnsi="仿宋_GB2312" w:cs="仿宋_GB2312" w:eastAsia="仿宋_GB2312"/>
                <w:sz w:val="28"/>
              </w:rPr>
              <w:t>（二）交货地点：采购人指定地点。</w:t>
            </w:r>
          </w:p>
          <w:p>
            <w:pPr>
              <w:pStyle w:val="null3"/>
              <w:ind w:firstLine="480"/>
              <w:jc w:val="left"/>
            </w:pPr>
            <w:r>
              <w:rPr>
                <w:rFonts w:ascii="仿宋_GB2312" w:hAnsi="仿宋_GB2312" w:cs="仿宋_GB2312" w:eastAsia="仿宋_GB2312"/>
                <w:sz w:val="28"/>
              </w:rPr>
              <w:t>（三）交货期：自合同签订生效之日起</w:t>
            </w:r>
            <w:r>
              <w:rPr>
                <w:rFonts w:ascii="仿宋_GB2312" w:hAnsi="仿宋_GB2312" w:cs="仿宋_GB2312" w:eastAsia="仿宋_GB2312"/>
                <w:sz w:val="28"/>
              </w:rPr>
              <w:t>60个日历日内供货安装调试完毕。供应商应保证在要求时间内完成全部货物的供货、安装、调试和培训工作,符合国家标准、行业规范和合同等相关文件的要求。</w:t>
            </w:r>
          </w:p>
          <w:p>
            <w:pPr>
              <w:pStyle w:val="null3"/>
              <w:ind w:firstLine="480"/>
              <w:jc w:val="left"/>
            </w:pPr>
            <w:r>
              <w:rPr>
                <w:rFonts w:ascii="仿宋_GB2312" w:hAnsi="仿宋_GB2312" w:cs="仿宋_GB2312" w:eastAsia="仿宋_GB2312"/>
                <w:sz w:val="28"/>
              </w:rPr>
              <w:t>（四）质量保修期：不少于</w:t>
            </w:r>
            <w:r>
              <w:rPr>
                <w:rFonts w:ascii="仿宋_GB2312" w:hAnsi="仿宋_GB2312" w:cs="仿宋_GB2312" w:eastAsia="仿宋_GB2312"/>
                <w:sz w:val="28"/>
              </w:rPr>
              <w:t>12个月。</w:t>
            </w:r>
          </w:p>
          <w:p>
            <w:pPr>
              <w:pStyle w:val="null3"/>
              <w:ind w:firstLine="480"/>
              <w:jc w:val="left"/>
            </w:pPr>
            <w:r>
              <w:rPr>
                <w:rFonts w:ascii="仿宋_GB2312" w:hAnsi="仿宋_GB2312" w:cs="仿宋_GB2312" w:eastAsia="仿宋_GB2312"/>
                <w:sz w:val="28"/>
              </w:rPr>
              <w:t>（五）缺陷责任期：自竣工验收合格之日起</w:t>
            </w:r>
            <w:r>
              <w:rPr>
                <w:rFonts w:ascii="仿宋_GB2312" w:hAnsi="仿宋_GB2312" w:cs="仿宋_GB2312" w:eastAsia="仿宋_GB2312"/>
                <w:sz w:val="28"/>
              </w:rPr>
              <w:t>12个月</w:t>
            </w:r>
          </w:p>
          <w:p>
            <w:pPr>
              <w:pStyle w:val="null3"/>
              <w:spacing w:after="120"/>
              <w:ind w:firstLine="480"/>
              <w:jc w:val="both"/>
            </w:pPr>
            <w:r>
              <w:rPr>
                <w:rFonts w:ascii="仿宋_GB2312" w:hAnsi="仿宋_GB2312" w:cs="仿宋_GB2312" w:eastAsia="仿宋_GB2312"/>
                <w:sz w:val="28"/>
                <w:b/>
              </w:rPr>
              <w:t>三、采购</w:t>
            </w:r>
            <w:r>
              <w:rPr>
                <w:rFonts w:ascii="仿宋_GB2312" w:hAnsi="仿宋_GB2312" w:cs="仿宋_GB2312" w:eastAsia="仿宋_GB2312"/>
                <w:sz w:val="28"/>
                <w:b/>
              </w:rPr>
              <w:t>货物</w:t>
            </w:r>
            <w:r>
              <w:rPr>
                <w:rFonts w:ascii="仿宋_GB2312" w:hAnsi="仿宋_GB2312" w:cs="仿宋_GB2312" w:eastAsia="仿宋_GB2312"/>
                <w:sz w:val="28"/>
                <w:b/>
              </w:rPr>
              <w:t>参数</w:t>
            </w:r>
          </w:p>
          <w:p>
            <w:pPr>
              <w:pStyle w:val="null3"/>
              <w:spacing w:after="120"/>
              <w:jc w:val="both"/>
            </w:pPr>
            <w:r>
              <w:rPr>
                <w:rFonts w:ascii="仿宋_GB2312" w:hAnsi="仿宋_GB2312" w:cs="仿宋_GB2312" w:eastAsia="仿宋_GB2312"/>
                <w:sz w:val="28"/>
                <w:b/>
              </w:rPr>
              <w:t>1）植保（施肥）无人机技术参数：</w:t>
            </w:r>
          </w:p>
          <w:p>
            <w:pPr>
              <w:pStyle w:val="null3"/>
              <w:ind w:firstLine="480"/>
              <w:jc w:val="left"/>
            </w:pPr>
            <w:r>
              <w:rPr>
                <w:rFonts w:ascii="仿宋_GB2312" w:hAnsi="仿宋_GB2312" w:cs="仿宋_GB2312" w:eastAsia="仿宋_GB2312"/>
                <w:sz w:val="28"/>
              </w:rPr>
              <w:t>1.机架构型：折叠式结构；</w:t>
            </w:r>
          </w:p>
          <w:p>
            <w:pPr>
              <w:pStyle w:val="null3"/>
              <w:ind w:firstLine="480"/>
              <w:jc w:val="left"/>
            </w:pPr>
            <w:r>
              <w:rPr>
                <w:rFonts w:ascii="仿宋_GB2312" w:hAnsi="仿宋_GB2312" w:cs="仿宋_GB2312" w:eastAsia="仿宋_GB2312"/>
                <w:sz w:val="28"/>
              </w:rPr>
              <w:t>2.整机重量（含电池）≥52kg；最大起飞重量（2喷头）≥100kg；</w:t>
            </w:r>
          </w:p>
          <w:p>
            <w:pPr>
              <w:pStyle w:val="null3"/>
              <w:ind w:firstLine="480"/>
              <w:jc w:val="left"/>
            </w:pPr>
            <w:r>
              <w:rPr>
                <w:rFonts w:ascii="仿宋_GB2312" w:hAnsi="仿宋_GB2312" w:cs="仿宋_GB2312" w:eastAsia="仿宋_GB2312"/>
                <w:sz w:val="28"/>
              </w:rPr>
              <w:t>3.最大飞行半径≥2km；</w:t>
            </w:r>
          </w:p>
          <w:p>
            <w:pPr>
              <w:pStyle w:val="null3"/>
              <w:ind w:firstLine="480"/>
              <w:jc w:val="left"/>
            </w:pPr>
            <w:r>
              <w:rPr>
                <w:rFonts w:ascii="仿宋_GB2312" w:hAnsi="仿宋_GB2312" w:cs="仿宋_GB2312" w:eastAsia="仿宋_GB2312"/>
                <w:sz w:val="28"/>
              </w:rPr>
              <w:t>4.电机定子尺寸直径≥150mm，高度≥22mm，KV值不小于55RPM/V；</w:t>
            </w:r>
          </w:p>
          <w:p>
            <w:pPr>
              <w:pStyle w:val="null3"/>
              <w:ind w:firstLine="480"/>
              <w:jc w:val="left"/>
            </w:pPr>
            <w:r>
              <w:rPr>
                <w:rFonts w:ascii="仿宋_GB2312" w:hAnsi="仿宋_GB2312" w:cs="仿宋_GB2312" w:eastAsia="仿宋_GB2312"/>
                <w:sz w:val="28"/>
              </w:rPr>
              <w:t>5.螺旋桨直径≥60英寸；旋翼数量≥4对；</w:t>
            </w:r>
          </w:p>
          <w:p>
            <w:pPr>
              <w:pStyle w:val="null3"/>
              <w:ind w:firstLine="480"/>
              <w:jc w:val="left"/>
            </w:pPr>
            <w:r>
              <w:rPr>
                <w:rFonts w:ascii="仿宋_GB2312" w:hAnsi="仿宋_GB2312" w:cs="仿宋_GB2312" w:eastAsia="仿宋_GB2312"/>
                <w:sz w:val="28"/>
              </w:rPr>
              <w:t>6电池容量≥30000mAh，电压≥50V；</w:t>
            </w:r>
          </w:p>
          <w:p>
            <w:pPr>
              <w:pStyle w:val="null3"/>
              <w:ind w:firstLine="480"/>
              <w:jc w:val="left"/>
            </w:pPr>
            <w:r>
              <w:rPr>
                <w:rFonts w:ascii="仿宋_GB2312" w:hAnsi="仿宋_GB2312" w:cs="仿宋_GB2312" w:eastAsia="仿宋_GB2312"/>
                <w:sz w:val="28"/>
              </w:rPr>
              <w:t>7.遥控器显示界面≥7英寸，且分辨率≥1920×1200；亮度≥1400cd/m2；</w:t>
            </w:r>
          </w:p>
          <w:p>
            <w:pPr>
              <w:pStyle w:val="null3"/>
              <w:ind w:firstLine="480"/>
              <w:jc w:val="left"/>
            </w:pPr>
            <w:r>
              <w:rPr>
                <w:rFonts w:ascii="仿宋_GB2312" w:hAnsi="仿宋_GB2312" w:cs="仿宋_GB2312" w:eastAsia="仿宋_GB2312"/>
                <w:sz w:val="28"/>
              </w:rPr>
              <w:t>8.喷洒系统：喷头数量≥2个；作业箱容积≥50L；最大作业载荷≥50kg；雾化粒径至少支持50μm-500μm，最大有效喷幅≥10m；最大流量≥30L/min（2喷头）；水泵类型要求为磁力传动叶轮泵；</w:t>
            </w:r>
          </w:p>
          <w:p>
            <w:pPr>
              <w:pStyle w:val="null3"/>
              <w:ind w:firstLine="480"/>
              <w:jc w:val="left"/>
            </w:pPr>
            <w:r>
              <w:rPr>
                <w:rFonts w:ascii="仿宋_GB2312" w:hAnsi="仿宋_GB2312" w:cs="仿宋_GB2312" w:eastAsia="仿宋_GB2312"/>
                <w:sz w:val="28"/>
              </w:rPr>
              <w:t>9.最大承受风速≥6m/s；</w:t>
            </w:r>
          </w:p>
          <w:p>
            <w:pPr>
              <w:pStyle w:val="null3"/>
              <w:ind w:firstLine="480"/>
              <w:jc w:val="left"/>
            </w:pPr>
            <w:r>
              <w:rPr>
                <w:rFonts w:ascii="仿宋_GB2312" w:hAnsi="仿宋_GB2312" w:cs="仿宋_GB2312" w:eastAsia="仿宋_GB2312"/>
                <w:sz w:val="28"/>
              </w:rPr>
              <w:t>10.避障系统：至少支持360°全向避障，最大测距范围≥60m，有效避障高度≥1.5m；</w:t>
            </w:r>
          </w:p>
          <w:p>
            <w:pPr>
              <w:pStyle w:val="null3"/>
              <w:ind w:firstLine="480"/>
              <w:jc w:val="left"/>
            </w:pPr>
            <w:r>
              <w:rPr>
                <w:rFonts w:ascii="仿宋_GB2312" w:hAnsi="仿宋_GB2312" w:cs="仿宋_GB2312" w:eastAsia="仿宋_GB2312"/>
                <w:sz w:val="28"/>
              </w:rPr>
              <w:t>11.支持AI识别障碍物类型、人/车/障碍物AR显示、自动记忆障碍物位置、智能脱困、免航测仿地作业等功能；</w:t>
            </w:r>
          </w:p>
          <w:p>
            <w:pPr>
              <w:pStyle w:val="null3"/>
              <w:ind w:firstLine="480"/>
              <w:jc w:val="left"/>
            </w:pPr>
            <w:r>
              <w:rPr>
                <w:rFonts w:ascii="仿宋_GB2312" w:hAnsi="仿宋_GB2312" w:cs="仿宋_GB2312" w:eastAsia="仿宋_GB2312"/>
                <w:sz w:val="28"/>
              </w:rPr>
              <w:t>12.具备播撒系统，作业箱容积≥100L。</w:t>
            </w:r>
          </w:p>
          <w:p>
            <w:pPr>
              <w:pStyle w:val="null3"/>
              <w:ind w:firstLine="480"/>
              <w:jc w:val="left"/>
            </w:pPr>
            <w:r>
              <w:rPr>
                <w:rFonts w:ascii="仿宋_GB2312" w:hAnsi="仿宋_GB2312" w:cs="仿宋_GB2312" w:eastAsia="仿宋_GB2312"/>
                <w:sz w:val="28"/>
              </w:rPr>
              <w:t>13.播撒作业箱内部最大载重≥70 kg</w:t>
            </w:r>
          </w:p>
          <w:p>
            <w:pPr>
              <w:pStyle w:val="null3"/>
              <w:ind w:firstLine="480"/>
              <w:jc w:val="left"/>
            </w:pPr>
            <w:r>
              <w:rPr>
                <w:rFonts w:ascii="仿宋_GB2312" w:hAnsi="仿宋_GB2312" w:cs="仿宋_GB2312" w:eastAsia="仿宋_GB2312"/>
                <w:sz w:val="28"/>
              </w:rPr>
              <w:t>14.有效播幅3-10m。</w:t>
            </w:r>
          </w:p>
          <w:p>
            <w:pPr>
              <w:pStyle w:val="null3"/>
              <w:ind w:firstLine="480"/>
              <w:jc w:val="left"/>
            </w:pPr>
            <w:r>
              <w:rPr>
                <w:rFonts w:ascii="仿宋_GB2312" w:hAnsi="仿宋_GB2312" w:cs="仿宋_GB2312" w:eastAsia="仿宋_GB2312"/>
                <w:sz w:val="28"/>
              </w:rPr>
              <w:t>15.具有吊运系统，负载能力≥60kg.</w:t>
            </w:r>
          </w:p>
          <w:p>
            <w:pPr>
              <w:pStyle w:val="null3"/>
              <w:ind w:firstLine="480"/>
              <w:jc w:val="left"/>
            </w:pPr>
            <w:r>
              <w:rPr>
                <w:rFonts w:ascii="仿宋_GB2312" w:hAnsi="仿宋_GB2312" w:cs="仿宋_GB2312" w:eastAsia="仿宋_GB2312"/>
                <w:sz w:val="28"/>
              </w:rPr>
              <w:t>16.吊绳长度≥10 m。</w:t>
            </w:r>
          </w:p>
          <w:p>
            <w:pPr>
              <w:pStyle w:val="null3"/>
              <w:spacing w:after="120"/>
              <w:jc w:val="both"/>
            </w:pPr>
            <w:r>
              <w:rPr>
                <w:rFonts w:ascii="仿宋_GB2312" w:hAnsi="仿宋_GB2312" w:cs="仿宋_GB2312" w:eastAsia="仿宋_GB2312"/>
                <w:sz w:val="28"/>
                <w:b/>
              </w:rPr>
              <w:t>2）免耕播种施肥机技术参数：</w:t>
            </w:r>
          </w:p>
          <w:tbl>
            <w:tblPr>
              <w:tblInd w:type="dxa" w:w="45"/>
              <w:tblBorders>
                <w:top w:val="none" w:color="000000" w:sz="4"/>
                <w:left w:val="none" w:color="000000" w:sz="4"/>
                <w:bottom w:val="none" w:color="000000" w:sz="4"/>
                <w:right w:val="none" w:color="000000" w:sz="4"/>
                <w:insideH w:val="none"/>
                <w:insideV w:val="none"/>
              </w:tblBorders>
            </w:tblPr>
            <w:tblGrid>
              <w:gridCol w:w="460"/>
              <w:gridCol w:w="583"/>
              <w:gridCol w:w="398"/>
              <w:gridCol w:w="1101"/>
            </w:tblGrid>
            <w:tr>
              <w:tc>
                <w:tcPr>
                  <w:tcW w:type="dxa" w:w="1043"/>
                  <w:gridSpan w:val="2"/>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项目</w:t>
                  </w:r>
                </w:p>
              </w:tc>
              <w:tc>
                <w:tcPr>
                  <w:tcW w:type="dxa" w:w="398"/>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单位</w:t>
                  </w:r>
                </w:p>
              </w:tc>
              <w:tc>
                <w:tcPr>
                  <w:tcW w:type="dxa" w:w="1101"/>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规格参数</w:t>
                  </w:r>
                </w:p>
              </w:tc>
            </w:tr>
            <w:tr>
              <w:tc>
                <w:tcPr>
                  <w:tcW w:type="dxa" w:w="1043"/>
                  <w:gridSpan w:val="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工作幅宽</w:t>
                  </w:r>
                </w:p>
              </w:tc>
              <w:tc>
                <w:tcPr>
                  <w:tcW w:type="dxa" w:w="3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mm</w:t>
                  </w:r>
                </w:p>
              </w:tc>
              <w:tc>
                <w:tcPr>
                  <w:tcW w:type="dxa" w:w="110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2000-3000</w:t>
                  </w:r>
                </w:p>
              </w:tc>
            </w:tr>
            <w:tr>
              <w:tc>
                <w:tcPr>
                  <w:tcW w:type="dxa" w:w="1043"/>
                  <w:gridSpan w:val="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配套动力</w:t>
                  </w:r>
                </w:p>
              </w:tc>
              <w:tc>
                <w:tcPr>
                  <w:tcW w:type="dxa" w:w="3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KW</w:t>
                  </w:r>
                </w:p>
              </w:tc>
              <w:tc>
                <w:tcPr>
                  <w:tcW w:type="dxa" w:w="110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73.5-</w:t>
                  </w:r>
                  <w:r>
                    <w:rPr>
                      <w:rFonts w:ascii="仿宋_GB2312" w:hAnsi="仿宋_GB2312" w:cs="仿宋_GB2312" w:eastAsia="仿宋_GB2312"/>
                      <w:sz w:val="24"/>
                      <w:color w:val="000000"/>
                    </w:rPr>
                    <w:t>110.76</w:t>
                  </w:r>
                </w:p>
              </w:tc>
            </w:tr>
            <w:tr>
              <w:tc>
                <w:tcPr>
                  <w:tcW w:type="dxa" w:w="1043"/>
                  <w:gridSpan w:val="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行距</w:t>
                  </w:r>
                </w:p>
              </w:tc>
              <w:tc>
                <w:tcPr>
                  <w:tcW w:type="dxa" w:w="3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mm</w:t>
                  </w:r>
                </w:p>
              </w:tc>
              <w:tc>
                <w:tcPr>
                  <w:tcW w:type="dxa" w:w="110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小麦：窄</w:t>
                  </w:r>
                  <w:r>
                    <w:rPr>
                      <w:rFonts w:ascii="仿宋_GB2312" w:hAnsi="仿宋_GB2312" w:cs="仿宋_GB2312" w:eastAsia="仿宋_GB2312"/>
                      <w:sz w:val="24"/>
                      <w:color w:val="000000"/>
                    </w:rPr>
                    <w:t>80</w:t>
                  </w:r>
                  <w:r>
                    <w:rPr>
                      <w:rFonts w:ascii="仿宋_GB2312" w:hAnsi="仿宋_GB2312" w:cs="仿宋_GB2312" w:eastAsia="仿宋_GB2312"/>
                      <w:sz w:val="24"/>
                      <w:color w:val="000000"/>
                    </w:rPr>
                    <w:t>-100</w:t>
                  </w:r>
                  <w:r>
                    <w:rPr>
                      <w:rFonts w:ascii="仿宋_GB2312" w:hAnsi="仿宋_GB2312" w:cs="仿宋_GB2312" w:eastAsia="仿宋_GB2312"/>
                      <w:sz w:val="24"/>
                      <w:color w:val="000000"/>
                    </w:rPr>
                    <w:t>宽</w:t>
                  </w:r>
                  <w:r>
                    <w:rPr>
                      <w:rFonts w:ascii="仿宋_GB2312" w:hAnsi="仿宋_GB2312" w:cs="仿宋_GB2312" w:eastAsia="仿宋_GB2312"/>
                      <w:sz w:val="24"/>
                      <w:color w:val="000000"/>
                    </w:rPr>
                    <w:t>200-</w:t>
                  </w:r>
                  <w:r>
                    <w:rPr>
                      <w:rFonts w:ascii="仿宋_GB2312" w:hAnsi="仿宋_GB2312" w:cs="仿宋_GB2312" w:eastAsia="仿宋_GB2312"/>
                      <w:sz w:val="24"/>
                      <w:color w:val="000000"/>
                    </w:rPr>
                    <w:t>270</w:t>
                  </w:r>
                </w:p>
              </w:tc>
            </w:tr>
            <w:tr>
              <w:tc>
                <w:tcPr>
                  <w:tcW w:type="dxa" w:w="1043"/>
                  <w:gridSpan w:val="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工作行数</w:t>
                  </w:r>
                </w:p>
              </w:tc>
              <w:tc>
                <w:tcPr>
                  <w:tcW w:type="dxa" w:w="3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行</w:t>
                  </w:r>
                </w:p>
              </w:tc>
              <w:tc>
                <w:tcPr>
                  <w:tcW w:type="dxa" w:w="110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小麦：</w:t>
                  </w:r>
                  <w:r>
                    <w:rPr>
                      <w:rFonts w:ascii="仿宋_GB2312" w:hAnsi="仿宋_GB2312" w:cs="仿宋_GB2312" w:eastAsia="仿宋_GB2312"/>
                      <w:sz w:val="24"/>
                      <w:color w:val="000000"/>
                    </w:rPr>
                    <w:t>≥7</w:t>
                  </w:r>
                </w:p>
              </w:tc>
            </w:tr>
            <w:tr>
              <w:tc>
                <w:tcPr>
                  <w:tcW w:type="dxa" w:w="460"/>
                  <w:vMerge w:val="restart"/>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排种器</w:t>
                  </w:r>
                </w:p>
                <w:p>
                  <w:pPr>
                    <w:pStyle w:val="null3"/>
                    <w:jc w:val="center"/>
                  </w:pPr>
                </w:p>
              </w:tc>
              <w:tc>
                <w:tcPr>
                  <w:tcW w:type="dxa" w:w="583"/>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形式</w:t>
                  </w:r>
                </w:p>
              </w:tc>
              <w:tc>
                <w:tcPr>
                  <w:tcW w:type="dxa" w:w="3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w:t>
                  </w:r>
                </w:p>
              </w:tc>
              <w:tc>
                <w:tcPr>
                  <w:tcW w:type="dxa" w:w="1101"/>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外槽轮式</w:t>
                  </w:r>
                </w:p>
              </w:tc>
            </w:tr>
            <w:tr>
              <w:tc>
                <w:tcPr>
                  <w:tcW w:type="dxa" w:w="460"/>
                  <w:vMerge/>
                  <w:tcBorders>
                    <w:top w:val="none" w:color="000000" w:sz="4"/>
                    <w:left w:val="single" w:color="000000" w:sz="4"/>
                    <w:bottom w:val="single" w:color="000000" w:sz="4"/>
                    <w:right w:val="single" w:color="000000" w:sz="4"/>
                  </w:tcBorders>
                </w:tcPr>
                <w:p/>
              </w:tc>
              <w:tc>
                <w:tcPr>
                  <w:tcW w:type="dxa" w:w="583"/>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数量</w:t>
                  </w:r>
                </w:p>
              </w:tc>
              <w:tc>
                <w:tcPr>
                  <w:tcW w:type="dxa" w:w="3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个</w:t>
                  </w:r>
                </w:p>
              </w:tc>
              <w:tc>
                <w:tcPr>
                  <w:tcW w:type="dxa" w:w="110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与工作行数相同</w:t>
                  </w:r>
                </w:p>
              </w:tc>
            </w:tr>
            <w:tr>
              <w:tc>
                <w:tcPr>
                  <w:tcW w:type="dxa" w:w="460"/>
                  <w:vMerge w:val="restart"/>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排肥器</w:t>
                  </w:r>
                </w:p>
                <w:p>
                  <w:pPr>
                    <w:pStyle w:val="null3"/>
                    <w:jc w:val="center"/>
                  </w:pPr>
                </w:p>
              </w:tc>
              <w:tc>
                <w:tcPr>
                  <w:tcW w:type="dxa" w:w="583"/>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形式</w:t>
                  </w:r>
                </w:p>
              </w:tc>
              <w:tc>
                <w:tcPr>
                  <w:tcW w:type="dxa" w:w="3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w:t>
                  </w:r>
                </w:p>
              </w:tc>
              <w:tc>
                <w:tcPr>
                  <w:tcW w:type="dxa" w:w="110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外槽轮式</w:t>
                  </w:r>
                </w:p>
              </w:tc>
            </w:tr>
            <w:tr>
              <w:tc>
                <w:tcPr>
                  <w:tcW w:type="dxa" w:w="460"/>
                  <w:vMerge/>
                  <w:tcBorders>
                    <w:top w:val="none" w:color="000000" w:sz="4"/>
                    <w:left w:val="single" w:color="000000" w:sz="4"/>
                    <w:bottom w:val="single" w:color="000000" w:sz="4"/>
                    <w:right w:val="single" w:color="000000" w:sz="4"/>
                  </w:tcBorders>
                </w:tcPr>
                <w:p/>
              </w:tc>
              <w:tc>
                <w:tcPr>
                  <w:tcW w:type="dxa" w:w="583"/>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数量</w:t>
                  </w:r>
                </w:p>
              </w:tc>
              <w:tc>
                <w:tcPr>
                  <w:tcW w:type="dxa" w:w="3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个</w:t>
                  </w:r>
                </w:p>
              </w:tc>
              <w:tc>
                <w:tcPr>
                  <w:tcW w:type="dxa" w:w="110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与工作行数相同</w:t>
                  </w:r>
                </w:p>
              </w:tc>
            </w:tr>
            <w:tr>
              <w:tc>
                <w:tcPr>
                  <w:tcW w:type="dxa" w:w="1043"/>
                  <w:gridSpan w:val="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传动机构</w:t>
                  </w:r>
                </w:p>
              </w:tc>
              <w:tc>
                <w:tcPr>
                  <w:tcW w:type="dxa" w:w="3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w:t>
                  </w:r>
                </w:p>
              </w:tc>
              <w:tc>
                <w:tcPr>
                  <w:tcW w:type="dxa" w:w="110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镇压轮链传动</w:t>
                  </w:r>
                </w:p>
              </w:tc>
            </w:tr>
            <w:tr>
              <w:tc>
                <w:tcPr>
                  <w:tcW w:type="dxa" w:w="1043"/>
                  <w:gridSpan w:val="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耕深</w:t>
                  </w:r>
                </w:p>
              </w:tc>
              <w:tc>
                <w:tcPr>
                  <w:tcW w:type="dxa" w:w="3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mm</w:t>
                  </w:r>
                </w:p>
              </w:tc>
              <w:tc>
                <w:tcPr>
                  <w:tcW w:type="dxa" w:w="110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≥250</w:t>
                  </w:r>
                </w:p>
              </w:tc>
            </w:tr>
            <w:tr>
              <w:tc>
                <w:tcPr>
                  <w:tcW w:type="dxa" w:w="1043"/>
                  <w:gridSpan w:val="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播深</w:t>
                  </w:r>
                </w:p>
              </w:tc>
              <w:tc>
                <w:tcPr>
                  <w:tcW w:type="dxa" w:w="3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mm</w:t>
                  </w:r>
                </w:p>
              </w:tc>
              <w:tc>
                <w:tcPr>
                  <w:tcW w:type="dxa" w:w="110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≥30</w:t>
                  </w:r>
                </w:p>
              </w:tc>
            </w:tr>
          </w:tbl>
          <w:p>
            <w:pPr>
              <w:pStyle w:val="null3"/>
              <w:jc w:val="left"/>
            </w:pPr>
            <w:r>
              <w:rPr>
                <w:rFonts w:ascii="仿宋_GB2312" w:hAnsi="仿宋_GB2312" w:cs="仿宋_GB2312" w:eastAsia="仿宋_GB2312"/>
              </w:rPr>
              <w:t xml:space="preserve"> </w:t>
            </w:r>
          </w:p>
          <w:p>
            <w:pPr>
              <w:pStyle w:val="null3"/>
              <w:spacing w:after="120"/>
              <w:jc w:val="both"/>
            </w:pPr>
            <w:r>
              <w:rPr>
                <w:rFonts w:ascii="仿宋_GB2312" w:hAnsi="仿宋_GB2312" w:cs="仿宋_GB2312" w:eastAsia="仿宋_GB2312"/>
                <w:sz w:val="28"/>
                <w:b/>
              </w:rPr>
              <w:t>3）玉米深松分层施肥精量播种机技术参数:</w:t>
            </w:r>
          </w:p>
          <w:tbl>
            <w:tblPr>
              <w:tblInd w:type="dxa" w:w="90"/>
              <w:tblBorders>
                <w:top w:val="none" w:color="000000" w:sz="4"/>
                <w:left w:val="none" w:color="000000" w:sz="4"/>
                <w:bottom w:val="none" w:color="000000" w:sz="4"/>
                <w:right w:val="none" w:color="000000" w:sz="4"/>
                <w:insideH w:val="none"/>
                <w:insideV w:val="none"/>
              </w:tblBorders>
            </w:tblPr>
            <w:tblGrid>
              <w:gridCol w:w="637"/>
              <w:gridCol w:w="637"/>
              <w:gridCol w:w="637"/>
              <w:gridCol w:w="637"/>
            </w:tblGrid>
            <w:tr>
              <w:tc>
                <w:tcPr>
                  <w:tcW w:type="dxa" w:w="127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项目</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单位</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规格参数</w:t>
                  </w:r>
                </w:p>
              </w:tc>
            </w:tr>
            <w:tr>
              <w:tc>
                <w:tcPr>
                  <w:tcW w:type="dxa" w:w="12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结构形式</w:t>
                  </w:r>
                  <w:r>
                    <w:rPr>
                      <w:rFonts w:ascii="仿宋_GB2312" w:hAnsi="仿宋_GB2312" w:cs="仿宋_GB2312" w:eastAsia="仿宋_GB2312"/>
                      <w:sz w:val="28"/>
                      <w:color w:val="000000"/>
                    </w:rPr>
                    <w:t>：</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悬挂</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工作幅宽：</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mm</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2200-2600</w:t>
                  </w:r>
                </w:p>
              </w:tc>
            </w:tr>
            <w:tr>
              <w:tc>
                <w:tcPr>
                  <w:tcW w:type="dxa" w:w="12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配套动力：</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KW</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69.9-110.76</w:t>
                  </w:r>
                </w:p>
              </w:tc>
            </w:tr>
            <w:tr>
              <w:tc>
                <w:tcPr>
                  <w:tcW w:type="dxa" w:w="12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行距：</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mm</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500-650</w:t>
                  </w:r>
                </w:p>
              </w:tc>
            </w:tr>
            <w:tr>
              <w:tc>
                <w:tcPr>
                  <w:tcW w:type="dxa" w:w="12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工作行数：</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行</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4 行</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排种器</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形式：</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指甲式</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7"/>
                  <w:vMerge/>
                  <w:tcBorders>
                    <w:top w:val="none" w:color="000000" w:sz="4"/>
                    <w:left w:val="single" w:color="000000" w:sz="4"/>
                    <w:bottom w:val="single" w:color="000000" w:sz="4"/>
                    <w:right w:val="single" w:color="000000" w:sz="4"/>
                  </w:tcBorders>
                </w:tcP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数量：</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排肥器</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形式：</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外槽轮</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7"/>
                  <w:vMerge/>
                  <w:tcBorders>
                    <w:top w:val="none" w:color="000000" w:sz="4"/>
                    <w:left w:val="single" w:color="000000" w:sz="4"/>
                    <w:bottom w:val="single" w:color="000000" w:sz="4"/>
                    <w:right w:val="single" w:color="000000" w:sz="4"/>
                  </w:tcBorders>
                </w:tcP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数量：</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p>
              </w:tc>
            </w:tr>
            <w:tr>
              <w:tc>
                <w:tcPr>
                  <w:tcW w:type="dxa" w:w="12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排种、排肥传动形式：</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地轮</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耕深：</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mm</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≥250</w:t>
                  </w:r>
                </w:p>
              </w:tc>
            </w:tr>
            <w:tr>
              <w:tc>
                <w:tcPr>
                  <w:tcW w:type="dxa" w:w="12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播深：</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mm</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30-50</w:t>
                  </w:r>
                </w:p>
              </w:tc>
            </w:tr>
          </w:tbl>
          <w:p>
            <w:pPr>
              <w:pStyle w:val="null3"/>
              <w:spacing w:after="120"/>
              <w:ind w:firstLine="480"/>
              <w:jc w:val="both"/>
            </w:pPr>
            <w:r>
              <w:rPr>
                <w:rFonts w:ascii="仿宋_GB2312" w:hAnsi="仿宋_GB2312" w:cs="仿宋_GB2312" w:eastAsia="仿宋_GB2312"/>
                <w:sz w:val="28"/>
                <w:b/>
              </w:rPr>
              <w:t>四、服务要求</w:t>
            </w:r>
          </w:p>
          <w:p>
            <w:pPr>
              <w:pStyle w:val="null3"/>
              <w:spacing w:after="120"/>
              <w:ind w:firstLine="480"/>
              <w:jc w:val="both"/>
            </w:pPr>
            <w:r>
              <w:rPr>
                <w:rFonts w:ascii="仿宋_GB2312" w:hAnsi="仿宋_GB2312" w:cs="仿宋_GB2312" w:eastAsia="仿宋_GB2312"/>
                <w:sz w:val="28"/>
              </w:rPr>
              <w:t>1、供应商根据产品特性，自行选择运输及包装方式，承担一切运输费用，包括从制造厂到采购人指定交货地点所需的装卸、运输（含保险费）及其他一切费用。</w:t>
            </w:r>
          </w:p>
          <w:p>
            <w:pPr>
              <w:pStyle w:val="null3"/>
              <w:spacing w:after="120"/>
              <w:ind w:firstLine="480"/>
              <w:jc w:val="both"/>
            </w:pPr>
            <w:r>
              <w:rPr>
                <w:rFonts w:ascii="仿宋_GB2312" w:hAnsi="仿宋_GB2312" w:cs="仿宋_GB2312" w:eastAsia="仿宋_GB2312"/>
                <w:sz w:val="28"/>
              </w:rPr>
              <w:t>2、由供应商安装、调试及试运行的进度计划表。</w:t>
            </w:r>
          </w:p>
          <w:p>
            <w:pPr>
              <w:pStyle w:val="null3"/>
              <w:spacing w:after="120"/>
              <w:ind w:firstLine="480"/>
              <w:jc w:val="both"/>
            </w:pPr>
            <w:r>
              <w:rPr>
                <w:rFonts w:ascii="仿宋_GB2312" w:hAnsi="仿宋_GB2312" w:cs="仿宋_GB2312" w:eastAsia="仿宋_GB2312"/>
                <w:sz w:val="28"/>
              </w:rPr>
              <w:t>3、供应商应在合同规定的安装调试期内完成该项工作。如因供应商责任而造成延期，每超过一天按合同总价款的（</w:t>
            </w:r>
            <w:r>
              <w:rPr>
                <w:rFonts w:ascii="仿宋_GB2312" w:hAnsi="仿宋_GB2312" w:cs="仿宋_GB2312" w:eastAsia="仿宋_GB2312"/>
                <w:sz w:val="28"/>
              </w:rPr>
              <w:t>0.2%</w:t>
            </w:r>
            <w:r>
              <w:rPr>
                <w:rFonts w:ascii="仿宋_GB2312" w:hAnsi="仿宋_GB2312" w:cs="仿宋_GB2312" w:eastAsia="仿宋_GB2312"/>
                <w:sz w:val="28"/>
              </w:rPr>
              <w:t>）支付采购人误期赔偿金，直至交货或提供服务结束为止，所有因延期而产生的费用由供应商承担。</w:t>
            </w:r>
          </w:p>
          <w:p>
            <w:pPr>
              <w:pStyle w:val="null3"/>
              <w:spacing w:after="120"/>
              <w:ind w:firstLine="480"/>
              <w:jc w:val="both"/>
            </w:pPr>
            <w:r>
              <w:rPr>
                <w:rFonts w:ascii="仿宋_GB2312" w:hAnsi="仿宋_GB2312" w:cs="仿宋_GB2312" w:eastAsia="仿宋_GB2312"/>
                <w:sz w:val="28"/>
              </w:rPr>
              <w:t>4、安装和调试期间所发生的费用均由供应商负责。</w:t>
            </w:r>
          </w:p>
          <w:p>
            <w:pPr>
              <w:pStyle w:val="null3"/>
              <w:spacing w:after="120"/>
              <w:ind w:firstLine="480"/>
              <w:jc w:val="both"/>
            </w:pPr>
            <w:r>
              <w:rPr>
                <w:rFonts w:ascii="仿宋_GB2312" w:hAnsi="仿宋_GB2312" w:cs="仿宋_GB2312" w:eastAsia="仿宋_GB2312"/>
                <w:sz w:val="28"/>
              </w:rPr>
              <w:t>5、供应商应对安装调试、整改等实施过程的安全负责，如发生人身伤亡、财产损失的由供应商负责解决并承担全部责任。</w:t>
            </w:r>
          </w:p>
          <w:p>
            <w:pPr>
              <w:pStyle w:val="null3"/>
              <w:spacing w:after="120"/>
              <w:ind w:firstLine="480"/>
              <w:jc w:val="both"/>
            </w:pPr>
            <w:r>
              <w:rPr>
                <w:rFonts w:ascii="仿宋_GB2312" w:hAnsi="仿宋_GB2312" w:cs="仿宋_GB2312" w:eastAsia="仿宋_GB2312"/>
                <w:sz w:val="28"/>
                <w:b/>
              </w:rPr>
              <w:t>五、商务要求（如合同价款及结算方式等）</w:t>
            </w:r>
          </w:p>
          <w:p>
            <w:pPr>
              <w:pStyle w:val="null3"/>
              <w:ind w:firstLine="480"/>
            </w:pPr>
            <w:r>
              <w:rPr>
                <w:rFonts w:ascii="仿宋_GB2312" w:hAnsi="仿宋_GB2312" w:cs="仿宋_GB2312" w:eastAsia="仿宋_GB2312"/>
                <w:sz w:val="28"/>
              </w:rPr>
              <w:t>1、交货期：自合同签订生效之日起60个日历日内供货安装调试完毕。供应商应保证在要求时间内完成全部货物的供货、安装、调试和培训工作,符合国家标准、行业规范和合同等相关文件的要求。</w:t>
            </w:r>
          </w:p>
          <w:p>
            <w:pPr>
              <w:pStyle w:val="null3"/>
              <w:ind w:firstLine="482"/>
            </w:pPr>
            <w:r>
              <w:rPr>
                <w:rFonts w:ascii="仿宋_GB2312" w:hAnsi="仿宋_GB2312" w:cs="仿宋_GB2312" w:eastAsia="仿宋_GB2312"/>
                <w:sz w:val="28"/>
              </w:rPr>
              <w:t>2、款项结算：</w:t>
            </w:r>
          </w:p>
          <w:p>
            <w:pPr>
              <w:pStyle w:val="null3"/>
              <w:ind w:firstLine="480"/>
            </w:pPr>
            <w:r>
              <w:rPr>
                <w:rFonts w:ascii="仿宋_GB2312" w:hAnsi="仿宋_GB2312" w:cs="仿宋_GB2312" w:eastAsia="仿宋_GB2312"/>
                <w:sz w:val="28"/>
              </w:rPr>
              <w:t>(1)合同签订后付40%作为预付款；</w:t>
            </w:r>
          </w:p>
          <w:p>
            <w:pPr>
              <w:pStyle w:val="null3"/>
              <w:ind w:firstLine="480"/>
            </w:pPr>
            <w:r>
              <w:rPr>
                <w:rFonts w:ascii="仿宋_GB2312" w:hAnsi="仿宋_GB2312" w:cs="仿宋_GB2312" w:eastAsia="仿宋_GB2312"/>
                <w:sz w:val="28"/>
              </w:rPr>
              <w:t>(2)供应商完成全部货物的供货、安装、调试和培训工作,符合国家标准、行业规范和合同等相关文件的要求付至合同金额的100%。</w:t>
            </w:r>
          </w:p>
          <w:p>
            <w:pPr>
              <w:pStyle w:val="null3"/>
              <w:ind w:firstLine="480"/>
            </w:pPr>
            <w:r>
              <w:rPr>
                <w:rFonts w:ascii="仿宋_GB2312" w:hAnsi="仿宋_GB2312" w:cs="仿宋_GB2312" w:eastAsia="仿宋_GB2312"/>
                <w:sz w:val="28"/>
              </w:rPr>
              <w:t>（</w:t>
            </w:r>
            <w:r>
              <w:rPr>
                <w:rFonts w:ascii="仿宋_GB2312" w:hAnsi="仿宋_GB2312" w:cs="仿宋_GB2312" w:eastAsia="仿宋_GB2312"/>
                <w:sz w:val="28"/>
              </w:rPr>
              <w:t>4）支付方式：银行转账。</w:t>
            </w:r>
          </w:p>
          <w:p>
            <w:pPr>
              <w:pStyle w:val="null3"/>
              <w:ind w:firstLine="480"/>
            </w:pPr>
            <w:r>
              <w:rPr>
                <w:rFonts w:ascii="仿宋_GB2312" w:hAnsi="仿宋_GB2312" w:cs="仿宋_GB2312" w:eastAsia="仿宋_GB2312"/>
                <w:sz w:val="28"/>
              </w:rPr>
              <w:t>（</w:t>
            </w:r>
            <w:r>
              <w:rPr>
                <w:rFonts w:ascii="仿宋_GB2312" w:hAnsi="仿宋_GB2312" w:cs="仿宋_GB2312" w:eastAsia="仿宋_GB2312"/>
                <w:sz w:val="28"/>
              </w:rPr>
              <w:t>5）结算方式：乙方在接受付款前开具足额发票给甲方。</w:t>
            </w:r>
          </w:p>
          <w:p>
            <w:pPr>
              <w:pStyle w:val="null3"/>
              <w:ind w:firstLine="560"/>
            </w:pPr>
            <w:r>
              <w:rPr>
                <w:rFonts w:ascii="仿宋_GB2312" w:hAnsi="仿宋_GB2312" w:cs="仿宋_GB2312" w:eastAsia="仿宋_GB2312"/>
                <w:sz w:val="28"/>
              </w:rPr>
              <w:t>3、验收</w:t>
            </w:r>
          </w:p>
          <w:p>
            <w:pPr>
              <w:pStyle w:val="null3"/>
              <w:ind w:firstLine="560"/>
            </w:pPr>
            <w:r>
              <w:rPr>
                <w:rFonts w:ascii="仿宋_GB2312" w:hAnsi="仿宋_GB2312" w:cs="仿宋_GB2312" w:eastAsia="仿宋_GB2312"/>
                <w:sz w:val="28"/>
              </w:rPr>
              <w:t>采购人和供货单位共同对产品进行验收。其内容包括确认产品的准确产地、规格、型号和数量，对其产品技术指标、性能参数进行逐项检查。</w:t>
            </w:r>
          </w:p>
          <w:p>
            <w:pPr>
              <w:pStyle w:val="null3"/>
              <w:ind w:firstLine="560"/>
            </w:pPr>
            <w:r>
              <w:rPr>
                <w:rFonts w:ascii="仿宋_GB2312" w:hAnsi="仿宋_GB2312" w:cs="仿宋_GB2312" w:eastAsia="仿宋_GB2312"/>
                <w:sz w:val="28"/>
              </w:rPr>
              <w:t>1、所验产品的指标、性能参数通过验收达不到招标文件要求和投标文件承诺，或在使用中发现采购方不能容忍的缺陷等，将视为产品验收不合格，中标人应免费更换或退货。</w:t>
            </w:r>
          </w:p>
          <w:p>
            <w:pPr>
              <w:pStyle w:val="null3"/>
              <w:ind w:firstLine="560"/>
            </w:pPr>
            <w:r>
              <w:rPr>
                <w:rFonts w:ascii="仿宋_GB2312" w:hAnsi="仿宋_GB2312" w:cs="仿宋_GB2312" w:eastAsia="仿宋_GB2312"/>
                <w:sz w:val="28"/>
              </w:rPr>
              <w:t>2、若发现中标人有弄虚作假的，故意或随意夸大产品技术性能，采购方除要求退货外，有权要求中标供应商赔偿采购人相应的损失。</w:t>
            </w:r>
          </w:p>
          <w:p>
            <w:pPr>
              <w:pStyle w:val="null3"/>
              <w:ind w:firstLine="560"/>
            </w:pPr>
            <w:r>
              <w:rPr>
                <w:rFonts w:ascii="仿宋_GB2312" w:hAnsi="仿宋_GB2312" w:cs="仿宋_GB2312" w:eastAsia="仿宋_GB2312"/>
                <w:sz w:val="28"/>
              </w:rPr>
              <w:t>3、验收标准：产品按招标文件、投标文件及澄清函等技术指标进行验收。产品质量、设计等各项指标均应符合验收标准及要求。</w:t>
            </w:r>
          </w:p>
          <w:p>
            <w:pPr>
              <w:pStyle w:val="null3"/>
              <w:ind w:firstLine="560"/>
            </w:pPr>
            <w:r>
              <w:rPr>
                <w:rFonts w:ascii="仿宋_GB2312" w:hAnsi="仿宋_GB2312" w:cs="仿宋_GB2312" w:eastAsia="仿宋_GB2312"/>
                <w:sz w:val="28"/>
              </w:rPr>
              <w:t>4、验收合格后，填写验收单，双方签字生效。</w:t>
            </w:r>
          </w:p>
          <w:p>
            <w:pPr>
              <w:pStyle w:val="null3"/>
              <w:ind w:firstLine="560"/>
            </w:pPr>
            <w:r>
              <w:rPr>
                <w:rFonts w:ascii="仿宋_GB2312" w:hAnsi="仿宋_GB2312" w:cs="仿宋_GB2312" w:eastAsia="仿宋_GB2312"/>
                <w:sz w:val="28"/>
              </w:rPr>
              <w:t>5、验收依据：</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1）本合同文本；</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2）招标文件、投标文件及澄清函；</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3）国家和行业制定的相应的标准和规范。</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4）产品验收清单（注明产品的名称、型号、数量、参数和原产地或制造厂商）</w:t>
            </w:r>
          </w:p>
          <w:p>
            <w:pPr>
              <w:pStyle w:val="null3"/>
            </w:pPr>
            <w:r>
              <w:rPr>
                <w:rFonts w:ascii="仿宋_GB2312" w:hAnsi="仿宋_GB2312" w:cs="仿宋_GB2312" w:eastAsia="仿宋_GB2312"/>
                <w:sz w:val="28"/>
              </w:rPr>
              <w:t>5、质量保证</w:t>
            </w:r>
          </w:p>
          <w:p>
            <w:pPr>
              <w:pStyle w:val="null3"/>
              <w:ind w:firstLine="560"/>
              <w:jc w:val="left"/>
            </w:pPr>
            <w:r>
              <w:rPr>
                <w:rFonts w:ascii="仿宋_GB2312" w:hAnsi="仿宋_GB2312" w:cs="仿宋_GB2312" w:eastAsia="仿宋_GB2312"/>
                <w:sz w:val="28"/>
                <w:color w:val="000000"/>
              </w:rPr>
              <w:t>1、供应商提供的产品及材料必须保证质量可靠，故障率低，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w:t>
            </w:r>
          </w:p>
          <w:p>
            <w:pPr>
              <w:pStyle w:val="null3"/>
              <w:ind w:firstLine="560"/>
              <w:jc w:val="left"/>
            </w:pPr>
            <w:r>
              <w:rPr>
                <w:rFonts w:ascii="仿宋_GB2312" w:hAnsi="仿宋_GB2312" w:cs="仿宋_GB2312" w:eastAsia="仿宋_GB2312"/>
                <w:sz w:val="28"/>
                <w:color w:val="000000"/>
              </w:rPr>
              <w:t>2、供应商应保证所有产品的完好无损包括配套包装，如有缺漏、损坏，由供应商负责调换、补齐或赔偿。</w:t>
            </w:r>
          </w:p>
          <w:p>
            <w:pPr>
              <w:pStyle w:val="null3"/>
              <w:ind w:firstLine="560"/>
              <w:jc w:val="left"/>
            </w:pPr>
            <w:r>
              <w:rPr>
                <w:rFonts w:ascii="仿宋_GB2312" w:hAnsi="仿宋_GB2312" w:cs="仿宋_GB2312" w:eastAsia="仿宋_GB2312"/>
                <w:sz w:val="28"/>
                <w:color w:val="000000"/>
              </w:rPr>
              <w:t>3、采购人使用产品过程中因产品质量、产品缺陷及安装质量等造成人身伤亡、财产损失的，由供应商负责解决并承担全部责任。</w:t>
            </w:r>
          </w:p>
          <w:p>
            <w:pPr>
              <w:pStyle w:val="null3"/>
              <w:ind w:left="405"/>
              <w:jc w:val="left"/>
            </w:pPr>
            <w:r>
              <w:rPr>
                <w:rFonts w:ascii="仿宋_GB2312" w:hAnsi="仿宋_GB2312" w:cs="仿宋_GB2312" w:eastAsia="仿宋_GB2312"/>
                <w:sz w:val="28"/>
                <w:b/>
                <w:color w:val="000000"/>
              </w:rPr>
              <w:t>六、其他</w:t>
            </w:r>
          </w:p>
          <w:p>
            <w:pPr>
              <w:pStyle w:val="null3"/>
              <w:ind w:firstLine="480"/>
            </w:pPr>
            <w:r>
              <w:rPr>
                <w:rFonts w:ascii="仿宋_GB2312" w:hAnsi="仿宋_GB2312" w:cs="仿宋_GB2312" w:eastAsia="仿宋_GB2312"/>
                <w:sz w:val="28"/>
              </w:rPr>
              <w:t>（一）对供应商的业绩要求。</w:t>
            </w:r>
          </w:p>
          <w:p>
            <w:pPr>
              <w:pStyle w:val="null3"/>
              <w:ind w:firstLine="480"/>
            </w:pPr>
            <w:r>
              <w:rPr>
                <w:rFonts w:ascii="仿宋_GB2312" w:hAnsi="仿宋_GB2312" w:cs="仿宋_GB2312" w:eastAsia="仿宋_GB2312"/>
                <w:sz w:val="28"/>
              </w:rPr>
              <w:t>投标人提供</w:t>
            </w:r>
            <w:r>
              <w:rPr>
                <w:rFonts w:ascii="仿宋_GB2312" w:hAnsi="仿宋_GB2312" w:cs="仿宋_GB2312" w:eastAsia="仿宋_GB2312"/>
                <w:sz w:val="28"/>
              </w:rPr>
              <w:t>2022年11月至今具有类似项目业绩，以合同电子件或扫描件签订时间为准，并付合同期内任意金额发票，弄虚作假者取消其中标、成交资格。</w:t>
            </w:r>
          </w:p>
          <w:p>
            <w:pPr>
              <w:pStyle w:val="null3"/>
              <w:ind w:firstLine="480"/>
            </w:pPr>
            <w:r>
              <w:rPr>
                <w:rFonts w:ascii="仿宋_GB2312" w:hAnsi="仿宋_GB2312" w:cs="仿宋_GB2312" w:eastAsia="仿宋_GB2312"/>
                <w:sz w:val="28"/>
              </w:rPr>
              <w:t>（二）质量验收标准或规范</w:t>
            </w:r>
          </w:p>
          <w:p>
            <w:pPr>
              <w:pStyle w:val="null3"/>
              <w:ind w:firstLine="480"/>
            </w:pPr>
            <w:r>
              <w:rPr>
                <w:rFonts w:ascii="仿宋_GB2312" w:hAnsi="仿宋_GB2312" w:cs="仿宋_GB2312" w:eastAsia="仿宋_GB2312"/>
                <w:sz w:val="28"/>
              </w:rPr>
              <w:t>现行的国家标准或国家行政部门颁发的法律法规、规章制度等，是项目验收的另一个重要依据。没有国家标准的，可以参考行业标准。</w:t>
            </w:r>
          </w:p>
          <w:p>
            <w:pPr>
              <w:pStyle w:val="null3"/>
              <w:ind w:firstLine="480"/>
            </w:pPr>
            <w:r>
              <w:rPr>
                <w:rFonts w:ascii="仿宋_GB2312" w:hAnsi="仿宋_GB2312" w:cs="仿宋_GB2312" w:eastAsia="仿宋_GB2312"/>
                <w:sz w:val="28"/>
              </w:rPr>
              <w:t>（三）违约责任</w:t>
            </w:r>
          </w:p>
          <w:p>
            <w:pPr>
              <w:pStyle w:val="null3"/>
              <w:ind w:firstLine="480"/>
            </w:pPr>
            <w:r>
              <w:rPr>
                <w:rFonts w:ascii="仿宋_GB2312" w:hAnsi="仿宋_GB2312" w:cs="仿宋_GB2312" w:eastAsia="仿宋_GB2312"/>
                <w:sz w:val="28"/>
              </w:rPr>
              <w:t>（</w:t>
            </w:r>
            <w:r>
              <w:rPr>
                <w:rFonts w:ascii="仿宋_GB2312" w:hAnsi="仿宋_GB2312" w:cs="仿宋_GB2312" w:eastAsia="仿宋_GB2312"/>
                <w:sz w:val="28"/>
              </w:rPr>
              <w:t>1）按《民法典》中的相关条款执行。</w:t>
            </w:r>
          </w:p>
          <w:p>
            <w:pPr>
              <w:pStyle w:val="null3"/>
              <w:ind w:firstLine="480"/>
            </w:pPr>
            <w:r>
              <w:rPr>
                <w:rFonts w:ascii="仿宋_GB2312" w:hAnsi="仿宋_GB2312" w:cs="仿宋_GB2312" w:eastAsia="仿宋_GB2312"/>
                <w:sz w:val="28"/>
              </w:rPr>
              <w:t>（</w:t>
            </w:r>
            <w:r>
              <w:rPr>
                <w:rFonts w:ascii="仿宋_GB2312" w:hAnsi="仿宋_GB2312" w:cs="仿宋_GB2312" w:eastAsia="仿宋_GB2312"/>
                <w:sz w:val="28"/>
              </w:rPr>
              <w:t>2）乙方工期每超过一天，扣除乙方合同总价款的0.2%，迟交产品超过5天，甲方有权拒收产品。</w:t>
            </w:r>
          </w:p>
          <w:p>
            <w:pPr>
              <w:pStyle w:val="null3"/>
              <w:ind w:firstLine="480"/>
            </w:pPr>
            <w:r>
              <w:rPr>
                <w:rFonts w:ascii="仿宋_GB2312" w:hAnsi="仿宋_GB2312" w:cs="仿宋_GB2312" w:eastAsia="仿宋_GB2312"/>
                <w:sz w:val="28"/>
              </w:rPr>
              <w:t>（</w:t>
            </w:r>
            <w:r>
              <w:rPr>
                <w:rFonts w:ascii="仿宋_GB2312" w:hAnsi="仿宋_GB2312" w:cs="仿宋_GB2312" w:eastAsia="仿宋_GB2312"/>
                <w:sz w:val="28"/>
              </w:rPr>
              <w:t>3）按合同要求提供产品或产品质量不能满足采购技术要求，供应商必须无条件更换产品，提高技术，完善质量，否则，采购人会同监督机构、采购代理机构有权终止合同并对中标人违约行为进行追究，同时按政府采购投标人管理办法进行相应的处罚。</w:t>
            </w:r>
          </w:p>
          <w:p>
            <w:pPr>
              <w:pStyle w:val="null3"/>
              <w:ind w:firstLine="480"/>
            </w:pPr>
            <w:r>
              <w:rPr>
                <w:rFonts w:ascii="仿宋_GB2312" w:hAnsi="仿宋_GB2312" w:cs="仿宋_GB2312" w:eastAsia="仿宋_GB2312"/>
                <w:sz w:val="28"/>
              </w:rPr>
              <w:t>（</w:t>
            </w:r>
            <w:r>
              <w:rPr>
                <w:rFonts w:ascii="仿宋_GB2312" w:hAnsi="仿宋_GB2312" w:cs="仿宋_GB2312" w:eastAsia="仿宋_GB2312"/>
                <w:sz w:val="28"/>
              </w:rPr>
              <w:t>4）任何一方因不可抗力原因不能履行协议时，应尽快通知对方，双方均设法补偿。如仍无法履约协议，可协商延缓或撤销协议，双方责任免除。</w:t>
            </w:r>
          </w:p>
          <w:p>
            <w:pPr>
              <w:pStyle w:val="null3"/>
              <w:ind w:firstLine="480"/>
            </w:pPr>
            <w:r>
              <w:rPr>
                <w:rFonts w:ascii="仿宋_GB2312" w:hAnsi="仿宋_GB2312" w:cs="仿宋_GB2312" w:eastAsia="仿宋_GB2312"/>
                <w:sz w:val="28"/>
              </w:rPr>
              <w:t>（四）合同</w:t>
            </w:r>
          </w:p>
          <w:p>
            <w:pPr>
              <w:pStyle w:val="null3"/>
              <w:ind w:firstLine="480"/>
            </w:pPr>
            <w:r>
              <w:rPr>
                <w:rFonts w:ascii="仿宋_GB2312" w:hAnsi="仿宋_GB2312" w:cs="仿宋_GB2312" w:eastAsia="仿宋_GB2312"/>
                <w:sz w:val="28"/>
              </w:rPr>
              <w:t>（一）采购人应当自中标通知书发出之日起</w:t>
            </w:r>
            <w:r>
              <w:rPr>
                <w:rFonts w:ascii="仿宋_GB2312" w:hAnsi="仿宋_GB2312" w:cs="仿宋_GB2312" w:eastAsia="仿宋_GB2312"/>
                <w:sz w:val="28"/>
              </w:rPr>
              <w:t>30日内，按照招标文件和中标人投标文件（包括评标中形成的澄清文件）的规定，与中标人签订书面合同。所签订的合同不得对招标文件确定的事项和中标人投标文件作实质性修改。</w:t>
            </w:r>
          </w:p>
          <w:p>
            <w:pPr>
              <w:pStyle w:val="null3"/>
              <w:ind w:firstLine="480"/>
            </w:pPr>
            <w:r>
              <w:rPr>
                <w:rFonts w:ascii="仿宋_GB2312" w:hAnsi="仿宋_GB2312" w:cs="仿宋_GB2312" w:eastAsia="仿宋_GB2312"/>
                <w:sz w:val="28"/>
              </w:rPr>
              <w:t>（二）定标后，中标人无正当理由拖延或拒绝与采购人签订合同的，采购人可以按照评审报告推荐的中标候选人名单排序，确定下一候选人为中标人，也可以重新开展政府采购活动。同时报请监督机构通报，取消其进入政府采购市场的资格，按规定予以处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自合同签订生效之日起60个日历日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供应商完成全部货物的供货、安装、调试和培训工作,符合国家标准、行业规范和合同等相关文件的要求</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1、验收标准：产品按招标文件、投标文件及澄清函等技术指标进行验收。产品质量、设计等各项指标均应符合验收标准及要求。 4、验收合格后，填写验收单，双方签字生效。 2、验收依据： （1）本合同文本； （2）招标文件、投标文件及澄清函； （3）国家和行业制定的相应的标准和规范。 （4）产品验收清单（注明产品的名称、型号、数量、参数和原产地或制造厂商）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范围：1、供应商提供的产品及材料必须保证质量可靠，故障率低，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 2、供应商应保证所有产品的完好无损包括配套包装，如有缺漏、损坏，由供应商负责调换、补齐或赔偿。 3、采购人使用产品过程中因产品质量、产品缺陷及安装质量等造成人身伤亡、财产损失的，由供应商负责解决并承担全部责任。 质量保修期：不少于12个月。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（2）乙方工期每超过一天，扣除乙方合同总价款的0.2%，迟交产品超过5天，甲方有权拒收产品。 （3）按合同要求提供产品或产品质量不能满足采购技术要求，供应商必须无条件更换产品，提高技术，完善质量，否则，采购人会同监督机构、采购代理机构有权终止合同并对中标人违约行为进行追究，同时按政府采购投标人管理办法进行相应的处罚。 （4）任何一方因不可抗力原因不能履行协议时，应尽快通知对方，双方均设法补偿。如仍无法履约协议，可协商延缓或撤销协议，双方责任免除。</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税收缴纳证明：提供投标文件递交时间前一年内至少一个月已缴纳的纳税证明或完税证明凭据；其他组织和自然人提供响应文件递交时间前一年内至少一个月缴纳税收的凭据；依法免税的供应商应提供相关文件证明； 3)社会保障资金缴纳证明：提供投标文件递交时间前一年内至少一个月已缴纳的社会保障资金的凭据（专用收据或社会保险缴纳清单）；依法不需要缴纳社会保障资金的供应商应提供相关文件证明； 4)具备履行合同所必需的设备和专业技术能力的证明材料(由供应商根据项目需求提供说明材料或者承诺)； 5)提供参加政府采购活动前三年内在经营活动中没有重大违法记录的书面声明； 6）供应商需在项目电子化交易系统中按要求填写《响应函》完成承诺并进行电子签章。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须提供2024年度的经审计的财务报告（至少包括三表一注，成立时间至提交投标文件截止时间不足一年的可提供成立后任意时段的资产负债表），或招标前三个月内开户银行出具的资信证明（附开户许可证或开户银行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法定代表人参加投标时，提供法定代表人身份证明和本人身份证；授权代表参加投标时，提供法定代表人授权书和被授权人身份证；非法人单位参照执行。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列入中国执行信息公开网（zxgk.court.gov.cn/shixin）中被列入失信被执行人名单或信用中国(www.creditchina.gov.cn)重大税收违法案件当事人名单或中国政府采购网(www.ccgp.gov.cn)的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本次招标不接受联合体投标。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谈判响应文件的签署、盖章满足谈判文件要求(合格)； 谈判响应文件的签署、盖章不满足谈判文件要求(不合格)。</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谈判报价未超过最高限价(合格)；谈判报价超过最高限价(不合格 ) 。</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竞争性谈判响应文件有效期</w:t>
            </w:r>
          </w:p>
        </w:tc>
        <w:tc>
          <w:tcPr>
            <w:tcW w:type="dxa" w:w="3322"/>
          </w:tcPr>
          <w:p>
            <w:pPr>
              <w:pStyle w:val="null3"/>
            </w:pPr>
            <w:r>
              <w:rPr>
                <w:rFonts w:ascii="仿宋_GB2312" w:hAnsi="仿宋_GB2312" w:cs="仿宋_GB2312" w:eastAsia="仿宋_GB2312"/>
              </w:rPr>
              <w:t>竞争性谈判响应文件有效期满足谈判文件要求(合格)； 竞争性谈判响应文件无有效期或有效期不满足谈判文件要求(不合格)。</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详见附件：合同协议书.docx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