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zh-CN"/>
        </w:rPr>
        <w:t>合同协议书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（合同模板仅供参考，具体以实际签订合同为准）</w:t>
      </w:r>
    </w:p>
    <w:p>
      <w:pPr>
        <w:pStyle w:val="9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Toc497206183"/>
      <w:bookmarkStart w:id="1" w:name="_Toc497206293"/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采购人（甲方）：                              </w:t>
      </w:r>
    </w:p>
    <w:p>
      <w:pPr>
        <w:pStyle w:val="9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供应商（乙方）：                              </w:t>
      </w:r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2" w:name="_Toc30788"/>
      <w:bookmarkStart w:id="3" w:name="_Toc28531"/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根据《中华人民共和国政府采购法》及实施条例、《中华人民共和国民法典》和甲方采购项目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（采购项目编号：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）的竞争性谈判文件、成交供应商的谈判响应文件，为保证甲方采购项目的顺利实施，甲、乙双方同意签订本合同，并共同遵守如下条款：</w:t>
      </w:r>
      <w:bookmarkEnd w:id="2"/>
      <w:bookmarkEnd w:id="3"/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4" w:name="_Toc26352"/>
      <w:bookmarkStart w:id="5" w:name="_Toc30653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一、合同标的</w:t>
      </w:r>
      <w:bookmarkEnd w:id="0"/>
      <w:bookmarkEnd w:id="1"/>
      <w:bookmarkEnd w:id="4"/>
      <w:bookmarkEnd w:id="5"/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向甲方提供下列货物（产品）：</w:t>
      </w:r>
    </w:p>
    <w:tbl>
      <w:tblPr>
        <w:tblStyle w:val="6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183"/>
        <w:gridCol w:w="711"/>
        <w:gridCol w:w="1308"/>
        <w:gridCol w:w="935"/>
        <w:gridCol w:w="992"/>
        <w:gridCol w:w="1045"/>
        <w:gridCol w:w="1032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3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118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型号规格</w:t>
            </w:r>
          </w:p>
        </w:tc>
        <w:tc>
          <w:tcPr>
            <w:tcW w:w="711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308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生产厂家</w:t>
            </w:r>
          </w:p>
        </w:tc>
        <w:tc>
          <w:tcPr>
            <w:tcW w:w="93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045" w:type="dxa"/>
            <w:vAlign w:val="bottom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03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金额（元）</w:t>
            </w:r>
          </w:p>
        </w:tc>
        <w:tc>
          <w:tcPr>
            <w:tcW w:w="106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3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33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60" w:lineRule="exac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333" w:type="dxa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4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合计（元）</w:t>
            </w:r>
          </w:p>
        </w:tc>
        <w:tc>
          <w:tcPr>
            <w:tcW w:w="8271" w:type="dxa"/>
            <w:gridSpan w:val="8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小写：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460" w:lineRule="exact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大写：</w:t>
            </w:r>
          </w:p>
        </w:tc>
      </w:tr>
    </w:tbl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6" w:name="_Toc27848"/>
      <w:bookmarkStart w:id="7" w:name="_Toc497206184"/>
      <w:bookmarkStart w:id="8" w:name="_Toc13114"/>
      <w:bookmarkStart w:id="9" w:name="_Toc497206294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二、合同价款</w:t>
      </w:r>
      <w:bookmarkEnd w:id="6"/>
      <w:bookmarkEnd w:id="7"/>
      <w:bookmarkEnd w:id="8"/>
      <w:bookmarkEnd w:id="9"/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lang w:val="en-US" w:eastAsia="zh-CN"/>
        </w:rPr>
        <w:t>合同总价款为人民币（大写）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u w:val="none"/>
          <w:lang w:val="en-US" w:eastAsia="zh-CN"/>
        </w:rPr>
        <w:t>（￥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2、合同总价包括：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货物总价、货物运达指定地点的运杂费（含运输费、保险费）、安装调试费、检测验收费、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lang w:val="en-US" w:eastAsia="zh-CN"/>
        </w:rPr>
        <w:t>税金及其它费用等一切有关各项的含税费用。</w:t>
      </w:r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</w:t>
      </w:r>
      <w:r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12"/>
          <w:kern w:val="0"/>
          <w:sz w:val="24"/>
          <w:szCs w:val="24"/>
          <w:highlight w:val="none"/>
          <w:lang w:val="en-US" w:eastAsia="zh-CN"/>
        </w:rPr>
        <w:t>合同总价一次包死，不因市场因素、政府政策调整、费率调整和税收变化等而作任何调整。</w:t>
      </w:r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三、款项结算</w:t>
      </w:r>
      <w:bookmarkStart w:id="60" w:name="_GoBack"/>
      <w:bookmarkEnd w:id="60"/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1、付款方式：货物交付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使用并验收合格后无任何质量问题无争议索赔的情况下，达到付款条件起30日内，支付合同总金额的100.00%。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bookmarkStart w:id="10" w:name="_Toc497206297"/>
      <w:bookmarkStart w:id="11" w:name="_Toc14025"/>
      <w:bookmarkStart w:id="12" w:name="_Toc497206187"/>
      <w:bookmarkStart w:id="13" w:name="_Toc18747"/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2、结算方式：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甲方与乙方直接结算，发票直开甲方。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3、支付方式：银行转账。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四、交货条件</w:t>
      </w:r>
      <w:bookmarkEnd w:id="10"/>
      <w:bookmarkEnd w:id="11"/>
      <w:bookmarkEnd w:id="12"/>
      <w:bookmarkEnd w:id="13"/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1、交货地点：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</w:t>
      </w:r>
    </w:p>
    <w:p>
      <w:pPr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2、交货期：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bookmarkStart w:id="14" w:name="_Toc497206298"/>
      <w:bookmarkStart w:id="15" w:name="_Toc2878"/>
      <w:bookmarkStart w:id="16" w:name="_Toc497206188"/>
      <w:bookmarkStart w:id="17" w:name="_Toc9437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五、运输</w:t>
      </w:r>
      <w:bookmarkEnd w:id="14"/>
      <w:bookmarkEnd w:id="15"/>
      <w:bookmarkEnd w:id="16"/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1、乙方负责所有货物的运输。确保货物安全、完整到达使用地点，运杂费用包含在总价内，包括货物从供货地点到使用地点的运输费、保险费、搬运费、安装调试费等。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2、运输方式由乙方自行选择，但必须保证按期交货。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bookmarkStart w:id="18" w:name="_Toc24786"/>
      <w:bookmarkStart w:id="19" w:name="_Toc497206299"/>
      <w:bookmarkStart w:id="20" w:name="_Toc6728"/>
      <w:bookmarkStart w:id="21" w:name="_Toc497206189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六、质量保证</w:t>
      </w:r>
      <w:bookmarkEnd w:id="18"/>
      <w:bookmarkEnd w:id="19"/>
      <w:bookmarkEnd w:id="20"/>
      <w:bookmarkEnd w:id="21"/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</w:pPr>
      <w:bookmarkStart w:id="22" w:name="_Toc497206190"/>
      <w:bookmarkStart w:id="23" w:name="_Toc20290"/>
      <w:bookmarkStart w:id="24" w:name="_Toc22060"/>
      <w:bookmarkStart w:id="25" w:name="_Toc497206300"/>
      <w:r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  <w:t>1、乙方提供货物必须是原品牌制造厂制造的最新工艺、生产的最新产品。</w:t>
      </w:r>
      <w:bookmarkEnd w:id="22"/>
      <w:bookmarkEnd w:id="23"/>
      <w:bookmarkEnd w:id="24"/>
      <w:bookmarkEnd w:id="25"/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</w:pPr>
      <w:bookmarkStart w:id="26" w:name="_Toc13332"/>
      <w:bookmarkStart w:id="27" w:name="_Toc30985"/>
      <w:bookmarkStart w:id="28" w:name="_Toc497206301"/>
      <w:bookmarkStart w:id="29" w:name="_Toc497206191"/>
      <w:r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  <w:t>2、所提供货物必须是经过办理正常手续的全新产品。</w:t>
      </w:r>
      <w:bookmarkEnd w:id="26"/>
      <w:bookmarkEnd w:id="27"/>
      <w:bookmarkEnd w:id="28"/>
      <w:bookmarkEnd w:id="29"/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</w:pPr>
      <w:bookmarkStart w:id="30" w:name="_Toc6183"/>
      <w:bookmarkStart w:id="31" w:name="_Toc497206302"/>
      <w:bookmarkStart w:id="32" w:name="_Toc497206192"/>
      <w:bookmarkStart w:id="33" w:name="_Toc28683"/>
      <w:r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  <w:t>3、所供货物是经过国家法定检验、注册、准许市场销售的合法产品。</w:t>
      </w:r>
      <w:bookmarkEnd w:id="30"/>
      <w:bookmarkEnd w:id="31"/>
      <w:bookmarkEnd w:id="32"/>
      <w:bookmarkEnd w:id="33"/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</w:pPr>
      <w:bookmarkStart w:id="34" w:name="_Toc497206303"/>
      <w:bookmarkStart w:id="35" w:name="_Toc497206193"/>
      <w:bookmarkStart w:id="36" w:name="_Toc12897"/>
      <w:bookmarkStart w:id="37" w:name="_Toc23508"/>
      <w:r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  <w:t>4、货物性能稳定、具有较好的使用效果，质量保证措施完善，符合国家相应标准。</w:t>
      </w:r>
      <w:bookmarkEnd w:id="34"/>
      <w:bookmarkEnd w:id="35"/>
      <w:bookmarkEnd w:id="36"/>
      <w:bookmarkEnd w:id="37"/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、包装要求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-1、除合同另有规定外，乙方提供的全部货物，均应确保安全无损运抵甲方指定地点。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-2、提供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 w:eastAsia="zh-CN"/>
        </w:rPr>
        <w:t>设备质保凭证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。</w:t>
      </w:r>
      <w:bookmarkStart w:id="38" w:name="_Toc4326"/>
      <w:bookmarkStart w:id="39" w:name="_Toc497206304"/>
      <w:bookmarkStart w:id="40" w:name="_Toc497206194"/>
      <w:bookmarkStart w:id="41" w:name="_Toc23707"/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、安装要求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由乙方负责派技术人员到现场进行安装、调试至验收合格。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乙方应在合同签订后一周内，向甲方提供安装、调试及试运行的进度计划表。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乙方在合同规定的安装调试期内完成该项工作。如因乙方责任而造成延期，每超过一天按合同总价款的5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%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支付甲方误期赔偿金，直至交货或提供服务结束为止，所有因延期而产生的费用由乙方承担。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安装和调试期间所发生的费用均由乙方负责。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安装和调试期间若发生安全问题均由乙方负责。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、技术培训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应包括设备(产品)使用操作、保养、维修等培训内容。乙方需为甲方免费培训相关技术人员，培训服务以受培训人员熟练掌握相应技能为原则。在设备(产品)投入使用初期进行必要的跟踪指导，保障设备(产品)的稳定运行。设备(产品)需在培训基地培训的，乙方应按要求履行，培训产生的交通费、食宿费、培训费等均由乙方承担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乙方应当提供甲方相关主管人员的培训，应使其可以完成对整体系统的正常运行的宏观管理。此项培训必须包括原厂商相关项目的标准培训。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培训内容应当包括设备(产品)检修、系统操作、系统维护等方面的培训。</w:t>
      </w:r>
    </w:p>
    <w:p>
      <w:pPr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、验收</w:t>
      </w:r>
      <w:bookmarkEnd w:id="38"/>
      <w:bookmarkEnd w:id="39"/>
      <w:bookmarkEnd w:id="40"/>
      <w:bookmarkEnd w:id="41"/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1、到货验收：货物到货后，由甲方与乙方共同进行验收，验收内容包括，外观、规格、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产品构件材质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等与合同要求的一致性。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所验产品的指标通过验收达不到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文件要求和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响应文件承诺的，或在使用中发现甲方不能容忍的缺陷等，将视为产品验收不合格，乙方应无条件免费更换或退货。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若发现乙方有弄虚作假的，在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阶段故意或随意夸大产品性能，乙方应无条件退货，并赔偿甲方相应的损失。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、货物运行验收：乙方安装调试合格后，向甲方提出验收申请，甲方接到乙方验收申请后组织验收（必要时可聘请相应专家或委托相应部门验收），验收合格后，出具使用验收合格证明。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、最终验收：最终验收结果作为付款依据，乙方填写验收单，并向甲方提交实施过程中的所有资料，以便甲方日后管理和维护。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、验收依据：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-1、合同文本、合同附件、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竞争性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、响应文件。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60" w:lineRule="exact"/>
        <w:ind w:right="893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-2、国内相应的标准、规范。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bookmarkStart w:id="42" w:name="_Toc25680"/>
      <w:bookmarkStart w:id="43" w:name="_Toc29166"/>
      <w:bookmarkStart w:id="44" w:name="_Toc497206305"/>
      <w:bookmarkStart w:id="45" w:name="_Toc497206195"/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权利与义务</w:t>
      </w:r>
      <w:bookmarkStart w:id="46" w:name="_Toc466270652"/>
      <w:bookmarkStart w:id="47" w:name="_Toc465511163"/>
      <w:bookmarkStart w:id="48" w:name="_Toc468550424"/>
      <w:bookmarkStart w:id="49" w:name="_Toc465511118"/>
      <w:bookmarkStart w:id="50" w:name="_Toc476761655"/>
      <w:bookmarkStart w:id="51" w:name="_Toc465510860"/>
    </w:p>
    <w:bookmarkEnd w:id="46"/>
    <w:bookmarkEnd w:id="47"/>
    <w:bookmarkEnd w:id="48"/>
    <w:bookmarkEnd w:id="49"/>
    <w:bookmarkEnd w:id="50"/>
    <w:bookmarkEnd w:id="51"/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甲方的权利与义务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甲方在收到货物通知后，应按竞争性谈判文件的需求进行核实，如发现不符合合同规定或短缺，及时提出，甲方在收到货后，组织人员按提供的技术参数指标进行验收。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乙方的权利与义务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2-1、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乙方负责产品安装与调试在合同约定的时间完工。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2-2、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乙方所提供的产品必须是采购需求产品。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十一、知识产权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0" w:firstLineChars="200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 w:eastAsia="zh-CN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违约责任</w:t>
      </w:r>
      <w:bookmarkEnd w:id="42"/>
      <w:bookmarkEnd w:id="43"/>
      <w:bookmarkEnd w:id="44"/>
      <w:bookmarkEnd w:id="4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bookmarkStart w:id="52" w:name="_Toc497206196"/>
      <w:bookmarkStart w:id="53" w:name="_Toc497206306"/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1、按《中华人民共和国民法典》中的相关条款执行。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2、未按合同及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文件要求提供产品或产品质量不能满足合同要求，甲方有权依据《民法典》有关条款及合同约定解除合同，合同自书面解除通知到达乙方之日起解除，并按以下两种方式追究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违约责任：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2-1、乙方赔偿甲方解除合同的全部损失（包括但不限于重新采购产生的费用）；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2-2、乙方支付甲方违约金，违约金计算方法：乙方支付甲方5万元违约金。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、合同的变更和终止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除《政府采购法》第49条、第50条第二款规定的情形外，本合同一经签订，甲乙双方不得擅自变更、中止或终止合同。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、争议的解决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1、因货物（产品）的质量问题发生争议，由质量技术监督部门或其指定的质量鉴定机构进行质量鉴定。货物符合标准的，鉴定费由甲方承担；货物（产品）不符合质量标准的，鉴定费由乙方承担。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2、因履行本合同引起的或与本合同有关的争议，甲、乙双方应首先通过友好协商解决，如果协商不能解决争议，则采取以下第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种方式解决争议：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2-1、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向甲方所在地有管辖权的人民法院提起诉讼；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2-2、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向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仲裁委员会按其仲裁规则申请仲裁。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3、在诉讼或仲裁期间，本合同应继续履行。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bookmarkStart w:id="54" w:name="_Toc27594"/>
      <w:bookmarkStart w:id="55" w:name="_Toc3203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十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、合同组成</w:t>
      </w:r>
      <w:bookmarkEnd w:id="52"/>
      <w:bookmarkEnd w:id="53"/>
      <w:bookmarkEnd w:id="54"/>
      <w:bookmarkEnd w:id="55"/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1、成交通知书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2、合同文件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3、国家相关规范及标准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4、供货技术规格及参数表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5、竞争性谈判文件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6、响应文件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56" w:name="_Toc893"/>
      <w:bookmarkStart w:id="57" w:name="_Toc497206197"/>
      <w:bookmarkStart w:id="58" w:name="_Toc497206307"/>
      <w:bookmarkStart w:id="59" w:name="_Toc1060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十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、合同生效及其它</w:t>
      </w:r>
      <w:bookmarkEnd w:id="56"/>
      <w:bookmarkEnd w:id="57"/>
      <w:bookmarkEnd w:id="58"/>
      <w:bookmarkEnd w:id="59"/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1、合同未尽事宜、由甲、乙双方协商，作为合同补充，与原合同具有同等法律效力。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2、本合同正本一式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份，甲方、乙方双方分别执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份，备案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3、合同经甲乙双方盖章、签字后生效，合同签订地点为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4、生效时间：    年   月  日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tbl>
      <w:tblPr>
        <w:tblStyle w:val="5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甲方名称（盖章）: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地址：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代表人（签字）：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电话：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开户银行：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643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乙方名称（盖章）: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地址：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代表人（签字）：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电话：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开户银行：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帐号：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OGJiNzBjZWM5ZjIwNDllYmI2N2VjYjA4M2YzOTAifQ=="/>
  </w:docVars>
  <w:rsids>
    <w:rsidRoot w:val="75C61E26"/>
    <w:rsid w:val="04496FBA"/>
    <w:rsid w:val="079F4812"/>
    <w:rsid w:val="152A6B07"/>
    <w:rsid w:val="1C1D4808"/>
    <w:rsid w:val="27D843EB"/>
    <w:rsid w:val="30163B78"/>
    <w:rsid w:val="31772B98"/>
    <w:rsid w:val="39875765"/>
    <w:rsid w:val="422538A1"/>
    <w:rsid w:val="433C5D1E"/>
    <w:rsid w:val="48551120"/>
    <w:rsid w:val="5AC869AB"/>
    <w:rsid w:val="5C067E5E"/>
    <w:rsid w:val="6D054790"/>
    <w:rsid w:val="6FD43D91"/>
    <w:rsid w:val="75423EE8"/>
    <w:rsid w:val="75C61E26"/>
    <w:rsid w:val="7B15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2024-01-29T07:48:00Z</dcterms:created>
  <dc:creator>Solitude</dc:creator>
  <cp:lastModifiedBy>Solitude</cp:lastModifiedBy>
  <dcterms:modified xsi:type="dcterms:W3CDTF">2024-03-14T03:57:28Z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394D8AB02853407E83C9E47A8B22B01C_11</vt:lpwstr>
  </property>
</Properties>
</file>