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版本号：DZDL-2025-073Z20251212002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蓝田县环山路绿化修整项目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DZDL-2025-073Z</w:t>
      </w:r>
      <w:r>
        <w:br/>
      </w:r>
      <w:r>
        <w:br/>
      </w:r>
      <w:r>
        <w:br/>
      </w:r>
    </w:p>
    <w:p>
      <w:pPr>
        <w:pStyle w:val="null3"/>
        <w:jc w:val="center"/>
        <w:outlineLvl w:val="2"/>
      </w:pPr>
      <w:r>
        <w:rPr>
          <w:rFonts w:ascii="仿宋_GB2312" w:hAnsi="仿宋_GB2312" w:cs="仿宋_GB2312" w:eastAsia="仿宋_GB2312"/>
          <w:sz w:val="28"/>
          <w:b/>
        </w:rPr>
        <w:t>西安市蓝田县林业局（本级）</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西安市蓝田县林业局（本级）</w:t>
      </w:r>
      <w:r>
        <w:rPr>
          <w:rFonts w:ascii="仿宋_GB2312" w:hAnsi="仿宋_GB2312" w:cs="仿宋_GB2312" w:eastAsia="仿宋_GB2312"/>
        </w:rPr>
        <w:t>委托，拟对</w:t>
      </w:r>
      <w:r>
        <w:rPr>
          <w:rFonts w:ascii="仿宋_GB2312" w:hAnsi="仿宋_GB2312" w:cs="仿宋_GB2312" w:eastAsia="仿宋_GB2312"/>
        </w:rPr>
        <w:t>蓝田县环山路绿化修整项目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DZDL-2025-073Z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蓝田县环山路绿化修整项目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环山路绿化修整项目内容对道路两侧各30米的绿化带内的枯死乔木及灌木进行清除及处置，对绿化带内的杂草采用高效低毒除草剂和人工机械结合方式进行抑制和割除，对绿化带内的灌木及景观造型绿篱进行修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采购包1（蓝田县环山路绿化修整项目）：属于专门面向中小企业采购。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1、企业主体：具有独立承担民事责任能力的法人、其他组织或自然人，并出具合法有效的营业执照或事业单位法人证书等国家规定的相关证明资料，自然人参与的提供其身份证明</w:t>
      </w:r>
    </w:p>
    <w:p>
      <w:pPr>
        <w:pStyle w:val="null3"/>
      </w:pPr>
      <w:r>
        <w:rPr>
          <w:rFonts w:ascii="仿宋_GB2312" w:hAnsi="仿宋_GB2312" w:cs="仿宋_GB2312" w:eastAsia="仿宋_GB2312"/>
        </w:rPr>
        <w:t>2、授权委托：法定代表人授权委托书（附法定代表人身份证复印件及被授权人身份证复印件）；法定代表人直接参加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提供会计师事务所出具的完整的2024年度财务审计报告（成立时间至提交响应文件截止时间不足一年的可提供成立后任意时段的资产负债表），或提交响应文件截止时间前一年内银行出具的资信证明，或信用担保机构出具的担保函，（以上三种形式的资料提供任何一种即可）；其他组织提供银行出具的资信证明或财务报表</w:t>
      </w:r>
    </w:p>
    <w:p>
      <w:pPr>
        <w:pStyle w:val="null3"/>
      </w:pPr>
      <w:r>
        <w:rPr>
          <w:rFonts w:ascii="仿宋_GB2312" w:hAnsi="仿宋_GB2312" w:cs="仿宋_GB2312" w:eastAsia="仿宋_GB2312"/>
        </w:rPr>
        <w:t>4、税收缴纳证明：提供2024年11月1日至今已缴纳的任意1个月的纳税证明或完税证明（纳税证明或完税证明上应有代收机构或税务机关的公章或业务章），依法免税的单位应提供相关证明材料</w:t>
      </w:r>
    </w:p>
    <w:p>
      <w:pPr>
        <w:pStyle w:val="null3"/>
      </w:pPr>
      <w:r>
        <w:rPr>
          <w:rFonts w:ascii="仿宋_GB2312" w:hAnsi="仿宋_GB2312" w:cs="仿宋_GB2312" w:eastAsia="仿宋_GB2312"/>
        </w:rPr>
        <w:t>5、社会保障资金缴纳证明：提供2024年11月1日至今已缴存的任意1个月的社会保障资金缴存单据或社保机构开具的社会保险参保缴费情况证明，依法不需要缴纳社会保障资金的应提供相关证明材料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6、书面声明：参加本次政府采购活动前三年内在经营活动中没有重大违法记录的书面声明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7、具有履行合同所必需的设备和专业技术能力：具有履行本合同所必需的设备和专业技术能力的承诺书</w:t>
      </w:r>
    </w:p>
    <w:p>
      <w:pPr>
        <w:pStyle w:val="null3"/>
      </w:pPr>
      <w:r>
        <w:rPr>
          <w:rFonts w:ascii="仿宋_GB2312" w:hAnsi="仿宋_GB2312" w:cs="仿宋_GB2312" w:eastAsia="仿宋_GB2312"/>
        </w:rPr>
        <w:t>8、本项目专门面向中小企业采购：本项目专门面向中小企业采购，投标人应为中小型企业、微型企业或监狱企业或残疾人福利性单位。投标人应提供中小企业声明函（注：若投标人为残疾人福利性单位的，提供《残疾人福利性单位声明函》；若投标人为监狱企业的，提供由省级以上监狱管理局、戒毒管理局（含新疆生产建设兵团）出具的属于监狱企业的证明文件）</w:t>
      </w:r>
    </w:p>
    <w:p>
      <w:pPr>
        <w:pStyle w:val="null3"/>
      </w:pPr>
      <w:r>
        <w:rPr>
          <w:rFonts w:ascii="仿宋_GB2312" w:hAnsi="仿宋_GB2312" w:cs="仿宋_GB2312" w:eastAsia="仿宋_GB2312"/>
        </w:rPr>
        <w:t>9、信用查询：未被列入信用中国网站(www.creditchina.gov.cn)“失信被执行人、重大税收违法失信主体”；不处于中国政府采购网(www.ccgp.gov.cn)“政府采购严重违法失信行为信息记录”中的禁止参加政府采购活动期间；(代理机构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西安市蓝田县林业局（本级）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蓝田县向阳路12号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程佳佳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13474068122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19802988926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采购包1：1,671,300.00元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[2002]1980号）和国家发展改革委员会办公厅颁发的《关于招标代理服务收费有关问题的通知》（发改办价格[2003]857号）的有关规定执行。 中标单位在领取中标通知书前，须向采购代理机构一次性支付代理服务费。 银行户名：鼎正众创建设集团有限公司 开户行名称：中国建设银行股份有限公司西安高新科技支行 账 号：61001925700052502502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西安市蓝田县林业局（本级）</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西安市蓝田县林业局（本级）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西安市蓝田县林业局（本级）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达到合同约定的验收标准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w:t>
      </w:r>
    </w:p>
    <w:p>
      <w:pPr>
        <w:pStyle w:val="null3"/>
      </w:pPr>
      <w:r>
        <w:rPr>
          <w:rFonts w:ascii="仿宋_GB2312" w:hAnsi="仿宋_GB2312" w:cs="仿宋_GB2312" w:eastAsia="仿宋_GB2312"/>
        </w:rPr>
        <w:t>地址：西安市高新区科技路48号创业广场B座1506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环山路绿化修整项目内容对道路两侧各30米的绿化带内的枯死乔木及灌木进行清除及处置，对绿化带内的杂草采用高效低毒除草剂和人工机械结合方式进行抑制和割除，对绿化带内的灌木及景观造型绿篱进行修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1,671,300.00</w:t>
      </w:r>
    </w:p>
    <w:p>
      <w:pPr>
        <w:pStyle w:val="null3"/>
      </w:pPr>
      <w:r>
        <w:rPr>
          <w:rFonts w:ascii="仿宋_GB2312" w:hAnsi="仿宋_GB2312" w:cs="仿宋_GB2312" w:eastAsia="仿宋_GB2312"/>
        </w:rPr>
        <w:t>采购包最高限价（元）: 1,671,300.00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1,671,300.00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一</w:t>
            </w:r>
            <w:r>
              <w:rPr>
                <w:rFonts w:ascii="仿宋_GB2312" w:hAnsi="仿宋_GB2312" w:cs="仿宋_GB2312" w:eastAsia="仿宋_GB2312"/>
                <w:sz w:val="28"/>
                <w:color w:val="000000"/>
              </w:rPr>
              <w:t>、</w:t>
            </w:r>
            <w:r>
              <w:rPr>
                <w:rFonts w:ascii="仿宋_GB2312" w:hAnsi="仿宋_GB2312" w:cs="仿宋_GB2312" w:eastAsia="仿宋_GB2312"/>
                <w:sz w:val="28"/>
                <w:b/>
                <w:color w:val="000000"/>
              </w:rPr>
              <w:t>项目概况</w:t>
            </w:r>
          </w:p>
          <w:p>
            <w:pPr>
              <w:pStyle w:val="null3"/>
              <w:ind w:firstLine="480"/>
              <w:jc w:val="both"/>
            </w:pPr>
            <w:r>
              <w:rPr>
                <w:rFonts w:ascii="仿宋_GB2312" w:hAnsi="仿宋_GB2312" w:cs="仿宋_GB2312" w:eastAsia="仿宋_GB2312"/>
                <w:sz w:val="24"/>
              </w:rPr>
              <w:t>蓝田县环山路绿化修整项目内容对道路两侧各</w:t>
            </w:r>
            <w:r>
              <w:rPr>
                <w:rFonts w:ascii="仿宋_GB2312" w:hAnsi="仿宋_GB2312" w:cs="仿宋_GB2312" w:eastAsia="仿宋_GB2312"/>
                <w:sz w:val="24"/>
              </w:rPr>
              <w:t>30米的绿化带内的枯死乔木及灌木进行清除及处置，对绿化带内的杂草采用高效低毒除草剂和人工机械结合方式进行抑制和割除，对绿化带内的灌木及景观造型绿篱进行修剪。</w:t>
            </w:r>
          </w:p>
          <w:p>
            <w:pPr>
              <w:pStyle w:val="null3"/>
              <w:jc w:val="both"/>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内容</w:t>
            </w:r>
            <w:r>
              <w:rPr>
                <w:rFonts w:ascii="仿宋_GB2312" w:hAnsi="仿宋_GB2312" w:cs="仿宋_GB2312" w:eastAsia="仿宋_GB2312"/>
                <w:sz w:val="28"/>
                <w:b/>
                <w:color w:val="000000"/>
              </w:rPr>
              <w:t>（包括工作区域、工作内容等）</w:t>
            </w:r>
          </w:p>
          <w:p>
            <w:pPr>
              <w:pStyle w:val="null3"/>
              <w:ind w:firstLine="480"/>
              <w:jc w:val="both"/>
            </w:pPr>
            <w:r>
              <w:rPr>
                <w:rFonts w:ascii="仿宋_GB2312" w:hAnsi="仿宋_GB2312" w:cs="仿宋_GB2312" w:eastAsia="仿宋_GB2312"/>
                <w:sz w:val="24"/>
              </w:rPr>
              <w:t>本次服务范围为：第一段起点蓝田县与长安区库峪河大桥至汤峪镇洪寨十字长度为</w:t>
            </w:r>
            <w:r>
              <w:rPr>
                <w:rFonts w:ascii="仿宋_GB2312" w:hAnsi="仿宋_GB2312" w:cs="仿宋_GB2312" w:eastAsia="仿宋_GB2312"/>
                <w:sz w:val="24"/>
              </w:rPr>
              <w:t>5.5千米，第二段大寨村丁字路口至乐寨村口长度为3.99千米，第三段乐寨村口至君刘家村口长度为2.6千米，第四段君刘家村口至胭粉台村口长度为5.75千米，第五段胭粉台村口至玉山镇沪陕高速路桥下长度为5.75千米。全段长度约为24千米。（其中清除枯死乔木6028棵，枯死灌木2530平方米，使用高效低毒除草剂和人工机械结合方式适时进行抑制和割除杂草700531平方米，修剪灌木及景观造型绿篱22500平方米。</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要求</w:t>
            </w:r>
            <w:r>
              <w:rPr>
                <w:rFonts w:ascii="仿宋_GB2312" w:hAnsi="仿宋_GB2312" w:cs="仿宋_GB2312" w:eastAsia="仿宋_GB2312"/>
                <w:sz w:val="28"/>
                <w:b/>
                <w:color w:val="000000"/>
              </w:rPr>
              <w:t>（如对人员配置、专业设备、服务标准等）</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清除枯死乔木</w:t>
            </w:r>
          </w:p>
          <w:p>
            <w:pPr>
              <w:pStyle w:val="null3"/>
              <w:ind w:firstLine="480"/>
              <w:jc w:val="both"/>
            </w:pPr>
            <w:r>
              <w:rPr>
                <w:rFonts w:ascii="仿宋_GB2312" w:hAnsi="仿宋_GB2312" w:cs="仿宋_GB2312" w:eastAsia="仿宋_GB2312"/>
                <w:sz w:val="24"/>
              </w:rPr>
              <w:t>1.清除枯死乔木；2.设置警示区；3.联系相关管理部门（如市政、城管），确认是否需要办理砍伐/清理许可。4.必须由经验丰富的持证园林绿化养护工或持证树木修剪工带队操作；5.操作人员必须穿戴安全帽、护目镜、防割手套、劳保鞋及耳塞</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6. 对清理下来的木材和枝叶进行分类处理。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）清除枯死灌木</w:t>
            </w:r>
          </w:p>
          <w:p>
            <w:pPr>
              <w:pStyle w:val="null3"/>
              <w:ind w:firstLine="480"/>
              <w:jc w:val="both"/>
            </w:pPr>
            <w:r>
              <w:rPr>
                <w:rFonts w:ascii="仿宋_GB2312" w:hAnsi="仿宋_GB2312" w:cs="仿宋_GB2312" w:eastAsia="仿宋_GB2312"/>
                <w:sz w:val="24"/>
              </w:rPr>
              <w:t>1.清除枯死灌木、绿篱；2.设置警示区；3.联系相关管理部门（如市政、城管），确认是否需要办理砍伐/清理许可。4.必须由经验丰富的持证园林绿化养护工或持证树木修剪工带队操作；5.操作人员必须穿戴安全帽、护目镜、防割手套、劳保鞋及耳塞</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6. 对清理下来的木材和枝叶进行分类处理。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）除草剂及人工除杂草</w:t>
            </w:r>
          </w:p>
          <w:p>
            <w:pPr>
              <w:pStyle w:val="null3"/>
              <w:ind w:firstLine="480"/>
              <w:jc w:val="both"/>
            </w:pPr>
            <w:r>
              <w:rPr>
                <w:rFonts w:ascii="仿宋_GB2312" w:hAnsi="仿宋_GB2312" w:cs="仿宋_GB2312" w:eastAsia="仿宋_GB2312"/>
                <w:sz w:val="24"/>
              </w:rPr>
              <w:t>1.定期割除道路两侧30米范围内杂草，控制杂草丛生，对环山路绿化带大面积杂草选用低毒环保除草剂定向喷洒除杂；2.生长旺季（春末至初秋）： 每6周进行一次全面割除。可根据降雨量和杂草长势微调。生长缓慢期（晚秋、初春）： 每2个月进行一次，在入冬前进行一次彻底割除，以消除防火隐患；3.设置警示区；4.联系相关管理部门（如市政、园林、物业），确认是否需要办理砍伐/清理许可。5.必须由经验丰富的持证园林绿化养护工或持证树木修剪工带队操作，采取措施防止药剂飘移和流入下水道，保护周边生态环境。6.操作人员必须穿戴安全帽、护目镜、防割手套、劳保鞋及耳塞</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7. 对清理下来的木材和枝叶进行分类处理。</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）修剪灌木及景观造型绿篱</w:t>
            </w:r>
          </w:p>
          <w:p>
            <w:pPr>
              <w:pStyle w:val="null3"/>
              <w:ind w:firstLine="480"/>
              <w:jc w:val="left"/>
            </w:pPr>
            <w:r>
              <w:rPr>
                <w:rFonts w:ascii="仿宋_GB2312" w:hAnsi="仿宋_GB2312" w:cs="仿宋_GB2312" w:eastAsia="仿宋_GB2312"/>
                <w:sz w:val="24"/>
              </w:rPr>
              <w:t>1.修剪过密枝条，扶正歪斜苗木，定期修剪绿篱保持形态；2.根据植物的生物学特性和景观要求进行修剪，保持其自然形态，维持绿化带整齐划一或艺术化的景观效果；3.设置警示区：在作业区域外围设置明显的警示标志；4.联系相关管理部门（如市政、城管），确认是否需要办理砍伐/清理许可。5.必须由经验丰富的持证园林绿化养护工或持证树木修剪工带队操作；6.操作人员必须穿戴安全帽、护目镜、防割手套、劳保鞋及耳塞</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7. 对清理下来的木材和枝叶进行分类处理。</w:t>
            </w:r>
          </w:p>
          <w:p>
            <w:pPr>
              <w:pStyle w:val="null3"/>
              <w:jc w:val="left"/>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、商务要求</w:t>
            </w:r>
          </w:p>
          <w:p>
            <w:pPr>
              <w:pStyle w:val="null3"/>
              <w:ind w:firstLine="480"/>
              <w:jc w:val="both"/>
            </w:pPr>
            <w:r>
              <w:rPr>
                <w:rFonts w:ascii="仿宋_GB2312" w:hAnsi="仿宋_GB2312" w:cs="仿宋_GB2312" w:eastAsia="仿宋_GB2312"/>
                <w:sz w:val="24"/>
              </w:rPr>
              <w:t>（一）服务期限：自合同签订之日</w:t>
            </w:r>
            <w:r>
              <w:rPr>
                <w:rFonts w:ascii="仿宋_GB2312" w:hAnsi="仿宋_GB2312" w:cs="仿宋_GB2312" w:eastAsia="仿宋_GB2312"/>
                <w:sz w:val="24"/>
              </w:rPr>
              <w:t>1年</w:t>
            </w:r>
          </w:p>
          <w:p>
            <w:pPr>
              <w:pStyle w:val="null3"/>
              <w:ind w:firstLine="480"/>
              <w:jc w:val="both"/>
            </w:pPr>
            <w:r>
              <w:rPr>
                <w:rFonts w:ascii="仿宋_GB2312" w:hAnsi="仿宋_GB2312" w:cs="仿宋_GB2312" w:eastAsia="仿宋_GB2312"/>
                <w:sz w:val="24"/>
              </w:rPr>
              <w:t>（二）项目实施地点：蓝田县环山路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详见采购技术要求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蓝田县环山路</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养护修整结束后，乙方进行自查并申请验收，甲方组织技术人员按照项目内容和技术要求进行现场踏查和查看相关资料，对乙方实施的项目进行检查验收，并根据实地验收情况出据验收意见。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按季度支付，每季度支付合同总价款的20%，第四季度完成项目，经验收合格并提供完整项目资料，且审计完成后支付总工程款的40%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乙方未全面履行合同义务或者发生违约，甲方有权终止合同,依法向乙方要求经济索赔。甲方违约的，应当赔偿给乙方造成的经济损失。 争议解决：合同执行中发生争议的，当事人双方应协商解决，协商达不成一致时，可向甲方所在地人民法院提请诉讼。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具有独立承担民事责任能力的法人、其他组织或自然人，并出具合法有效的营业执照或事业单位法人证书等国家规定的相关证明资料，自然人参与的提供其身份证明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法定代表人证明书及法定代表人授权书（4）.docx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完整的2024年度财务审计报告（成立时间至提交响应文件截止时间不足一年的可提供成立后任意时段的资产负债表），或提交响应文件截止时间前一年内银行出具的资信证明，或信用担保机构出具的担保函，（以上三种形式的资料提供任何一种即可）；其他组织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提供2024年11月1日至今已缴纳的任意1个月的纳税证明或完税证明（纳税证明或完税证明上应有代收机构或税务机关的公章或业务章），依法免税的单位应提供相关证明材料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提供2024年11月1日至今已缴存的任意1个月的社会保障资金缴存单据或社保机构开具的社会保险参保缴费情况证明，依法不需要缴纳社会保障资金的应提供相关证明材料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相关承诺书（4）.docx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具有履行本合同所必需的设备和专业技术能力的承诺书</w:t>
            </w:r>
          </w:p>
        </w:tc>
        <w:tc>
          <w:tcPr>
            <w:tcW w:type="dxa" w:w="1661"/>
          </w:tcPr>
          <w:p>
            <w:pPr>
              <w:pStyle w:val="null3"/>
            </w:pPr>
            <w:r>
              <w:rPr>
                <w:rFonts w:ascii="仿宋_GB2312" w:hAnsi="仿宋_GB2312" w:cs="仿宋_GB2312" w:eastAsia="仿宋_GB2312"/>
              </w:rPr>
              <w:t>相关承诺书（4）.docx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投标人应为中小型企业、微型企业或监狱企业或残疾人福利性单位。投标人应提供中小企业声明函（注：若投标人为残疾人福利性单位的，提供《残疾人福利性单位声明函》；若投标人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代理机构现场查询）</w:t>
            </w:r>
          </w:p>
        </w:tc>
        <w:tc>
          <w:tcPr>
            <w:tcW w:type="dxa" w:w="1661"/>
          </w:tcPr>
          <w:p>
            <w:pPr>
              <w:pStyle w:val="null3"/>
            </w:pPr>
            <w:r>
              <w:rPr>
                <w:rFonts w:ascii="仿宋_GB2312" w:hAnsi="仿宋_GB2312" w:cs="仿宋_GB2312" w:eastAsia="仿宋_GB2312"/>
              </w:rPr>
              <w:t>相关承诺书（4）.docx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相关承诺书（4）.docx 中小企业声明函 商务应答表 供应商应提交的相关资格证明材料 报价表 响应文件封面 分项报价表.docx 残疾人福利性单位声明函 标的清单 响应函 类似业绩的有关证明材料（1）.docx 监狱企业的证明文件 法定代表人证明书及法定代表人授权书（4）.docx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不存在磋商文件规定的其他做无效磋商处理的情况</w:t>
            </w:r>
          </w:p>
        </w:tc>
        <w:tc>
          <w:tcPr>
            <w:tcW w:type="dxa" w:w="1661"/>
          </w:tcPr>
          <w:p>
            <w:pPr>
              <w:pStyle w:val="null3"/>
            </w:pPr>
            <w:r>
              <w:rPr>
                <w:rFonts w:ascii="仿宋_GB2312" w:hAnsi="仿宋_GB2312" w:cs="仿宋_GB2312" w:eastAsia="仿宋_GB2312"/>
              </w:rPr>
              <w:t>响应文件封面 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项目分析（8 分）</w:t>
            </w:r>
          </w:p>
        </w:tc>
        <w:tc>
          <w:tcPr>
            <w:tcW w:type="dxa" w:w="2492"/>
          </w:tcPr>
          <w:p>
            <w:pPr>
              <w:pStyle w:val="null3"/>
            </w:pPr>
            <w:r>
              <w:rPr>
                <w:rFonts w:ascii="仿宋_GB2312" w:hAnsi="仿宋_GB2312" w:cs="仿宋_GB2312" w:eastAsia="仿宋_GB2312"/>
              </w:rPr>
              <w:t>评审内容包含：①项目理解；②针对本项目重点难点分析及解决方案； 赋分标准（8 分）：每项评审内容不存在缺陷得 4 分，满分 8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总体方案（12分）</w:t>
            </w:r>
          </w:p>
        </w:tc>
        <w:tc>
          <w:tcPr>
            <w:tcW w:type="dxa" w:w="2492"/>
          </w:tcPr>
          <w:p>
            <w:pPr>
              <w:pStyle w:val="null3"/>
            </w:pPr>
            <w:r>
              <w:rPr>
                <w:rFonts w:ascii="仿宋_GB2312" w:hAnsi="仿宋_GB2312" w:cs="仿宋_GB2312" w:eastAsia="仿宋_GB2312"/>
              </w:rPr>
              <w:t>评审内容包含：①服务目标；②服务计划；③抚育/修整技术方案（包括疏伐、修枝、割灌、补植、施肥、病虫害防治、垃圾清运等各环节）；赋分标准（12分）：每项评审内容不存在缺陷得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 （12 分）</w:t>
            </w:r>
          </w:p>
        </w:tc>
        <w:tc>
          <w:tcPr>
            <w:tcW w:type="dxa" w:w="2492"/>
          </w:tcPr>
          <w:p>
            <w:pPr>
              <w:pStyle w:val="null3"/>
            </w:pPr>
            <w:r>
              <w:rPr>
                <w:rFonts w:ascii="仿宋_GB2312" w:hAnsi="仿宋_GB2312" w:cs="仿宋_GB2312" w:eastAsia="仿宋_GB2312"/>
              </w:rPr>
              <w:t>评审内容包含：①服务质量保障措施；②服务质量标准； ③保证人员按时到岗措施。赋分标准（12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 计划及保 证措施 （12 分）</w:t>
            </w:r>
          </w:p>
        </w:tc>
        <w:tc>
          <w:tcPr>
            <w:tcW w:type="dxa" w:w="2492"/>
          </w:tcPr>
          <w:p>
            <w:pPr>
              <w:pStyle w:val="null3"/>
            </w:pPr>
            <w:r>
              <w:rPr>
                <w:rFonts w:ascii="仿宋_GB2312" w:hAnsi="仿宋_GB2312" w:cs="仿宋_GB2312" w:eastAsia="仿宋_GB2312"/>
              </w:rPr>
              <w:t>评审内容包含：①各阶段进度控制措施；②进度控制保证措施。③安全作业及森林防火保证措施; 赋分标准（12 分）：每项评审内容不存在缺陷得4分，满分12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应急方案（12 分）</w:t>
            </w:r>
          </w:p>
        </w:tc>
        <w:tc>
          <w:tcPr>
            <w:tcW w:type="dxa" w:w="2492"/>
          </w:tcPr>
          <w:p>
            <w:pPr>
              <w:pStyle w:val="null3"/>
            </w:pPr>
            <w:r>
              <w:rPr>
                <w:rFonts w:ascii="仿宋_GB2312" w:hAnsi="仿宋_GB2312" w:cs="仿宋_GB2312" w:eastAsia="仿宋_GB2312"/>
              </w:rPr>
              <w:t>评审内容包含：①突发事件识别；②应急情况处理措施； ③突发事件应急人员安排。 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人员培训计划 （8 分）</w:t>
            </w:r>
          </w:p>
        </w:tc>
        <w:tc>
          <w:tcPr>
            <w:tcW w:type="dxa" w:w="2492"/>
          </w:tcPr>
          <w:p>
            <w:pPr>
              <w:pStyle w:val="null3"/>
            </w:pPr>
            <w:r>
              <w:rPr>
                <w:rFonts w:ascii="仿宋_GB2312" w:hAnsi="仿宋_GB2312" w:cs="仿宋_GB2312" w:eastAsia="仿宋_GB2312"/>
              </w:rPr>
              <w:t>评审内容包含：①培训计划制定；②专业技能培训； 赋分标准（8 分）：每项评审内容不存在缺陷得 4 分，满分8分；每项评审内容每存在一处缺陷扣 1 分，扣完为止；未提供不得分。（说明：存在下列情形之一的属于内容缺陷： ①内容与项目需求不吻合、层次未细化的；②阐述未从实际出发，不切合项目背景、项目需求的；③存在抄袭或套用其他地区内容或与本项目无关的；④前后逻辑错误的； ⑤无具体详细的阐述、实施性不强的；⑥科学原理或常识 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服务承诺（5 分）</w:t>
            </w:r>
          </w:p>
        </w:tc>
        <w:tc>
          <w:tcPr>
            <w:tcW w:type="dxa" w:w="2492"/>
          </w:tcPr>
          <w:p>
            <w:pPr>
              <w:pStyle w:val="null3"/>
            </w:pPr>
            <w:r>
              <w:rPr>
                <w:rFonts w:ascii="仿宋_GB2312" w:hAnsi="仿宋_GB2312" w:cs="仿宋_GB2312" w:eastAsia="仿宋_GB2312"/>
              </w:rPr>
              <w:t>有针对本项目的有利于采购人的合理化建设性意见及后续服务措施承诺，每提出一项得 1 分，最高得 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人员配备（10 分）</w:t>
            </w:r>
          </w:p>
        </w:tc>
        <w:tc>
          <w:tcPr>
            <w:tcW w:type="dxa" w:w="2492"/>
          </w:tcPr>
          <w:p>
            <w:pPr>
              <w:pStyle w:val="null3"/>
            </w:pPr>
            <w:r>
              <w:rPr>
                <w:rFonts w:ascii="仿宋_GB2312" w:hAnsi="仿宋_GB2312" w:cs="仿宋_GB2312" w:eastAsia="仿宋_GB2312"/>
              </w:rPr>
              <w:t>1、服务团队：①实施团队人员配备 7 人及以上得 6 分；②实施团队人员配备 4-6 人得 4 分； ③实施团队人员配备1-3 人得 2 分。 需提供佐证材料，包括但不限于身份证、毕业证、岗位证等，本项最高得 6 分，未提供不得分。 2、服务团队人员（不包含项目负责人）每具有一个中级职称得 1 分，高级职称得 2 分，本项最多得 4 分，需提供佐证材料，未提供不得分。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业绩（6 分）</w:t>
            </w:r>
          </w:p>
        </w:tc>
        <w:tc>
          <w:tcPr>
            <w:tcW w:type="dxa" w:w="2492"/>
          </w:tcPr>
          <w:p>
            <w:pPr>
              <w:pStyle w:val="null3"/>
            </w:pPr>
            <w:r>
              <w:rPr>
                <w:rFonts w:ascii="仿宋_GB2312" w:hAnsi="仿宋_GB2312" w:cs="仿宋_GB2312" w:eastAsia="仿宋_GB2312"/>
              </w:rPr>
              <w:t>供应商具有近三年（2022 年11 月1日至今）的类似业绩（按合同签订时间计算）每个计 2分，最多计 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 15分，其他各供应商的最后报价得分按下列公式计算：磋商报价得分=（磋商基准价/最后磋商报价）×15%×100。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详见附件：法定代表人证明书及法定代表人授权书（4）.docx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详见附件：类似业绩的有关证明材料（1）.docx</w:t>
      </w:r>
    </w:p>
    <w:p>
      <w:pPr>
        <w:pStyle w:val="null3"/>
        <w:ind w:firstLine="960"/>
      </w:pPr>
      <w:r>
        <w:rPr>
          <w:rFonts w:ascii="仿宋_GB2312" w:hAnsi="仿宋_GB2312" w:cs="仿宋_GB2312" w:eastAsia="仿宋_GB2312"/>
        </w:rPr>
        <w:t>详见附件：相关承诺书（4）.docx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 同 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