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24B5DEA5">
      <w:pPr>
        <w:spacing w:line="360" w:lineRule="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(1)根据投标供应商类别进行提供：</w:t>
      </w:r>
    </w:p>
    <w:p w14:paraId="3C090130">
      <w:pPr>
        <w:spacing w:line="360" w:lineRule="auto"/>
        <w:ind w:firstLine="480" w:firstLineChars="200"/>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①如供应商是企业（包括合伙企业），应提供在工商部门注册的有效“企业法人营业执照”或“营业执照”；</w:t>
      </w:r>
    </w:p>
    <w:p w14:paraId="7361777C">
      <w:pPr>
        <w:spacing w:line="360" w:lineRule="auto"/>
        <w:ind w:firstLine="480" w:firstLineChars="200"/>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②如供应商是事业单位，应提供有效的“事业单位法人证书”；</w:t>
      </w:r>
    </w:p>
    <w:p w14:paraId="4EAB2698">
      <w:pPr>
        <w:spacing w:line="360" w:lineRule="auto"/>
        <w:ind w:firstLine="480" w:firstLineChars="200"/>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③如供应商是为企业专业服务机构的，应提供执业许可证等证明文件；</w:t>
      </w:r>
    </w:p>
    <w:p w14:paraId="62C4BB9C">
      <w:pPr>
        <w:spacing w:line="360" w:lineRule="auto"/>
        <w:ind w:firstLine="480" w:firstLineChars="200"/>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④如供应商是个体工商户，应提供有效的“个体工商户营业执照”；</w:t>
      </w:r>
    </w:p>
    <w:p w14:paraId="69FA0A38">
      <w:pPr>
        <w:spacing w:line="360" w:lineRule="auto"/>
        <w:ind w:firstLine="480" w:firstLineChars="200"/>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⑤如供应商为自然人，应提供有效的自然人身份证明。</w:t>
      </w:r>
    </w:p>
    <w:p w14:paraId="469FAE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(2)提供</w:t>
      </w:r>
      <w:r>
        <w:rPr>
          <w:rFonts w:hint="eastAsia" w:ascii="宋体" w:hAnsi="宋体" w:cs="宋体"/>
          <w:color w:val="000000"/>
          <w:kern w:val="0"/>
          <w:sz w:val="24"/>
          <w:szCs w:val="24"/>
          <w:u w:val="none"/>
          <w:lang w:val="en-US" w:eastAsia="zh-CN" w:bidi="ar"/>
        </w:rPr>
        <w:t>2024年</w:t>
      </w:r>
      <w:r>
        <w:rPr>
          <w:rFonts w:hint="eastAsia" w:ascii="宋体" w:hAnsi="宋体" w:cs="宋体"/>
          <w:color w:val="000000"/>
          <w:kern w:val="0"/>
          <w:sz w:val="24"/>
          <w:szCs w:val="24"/>
          <w:u w:val="none"/>
          <w:lang w:bidi="ar"/>
        </w:rPr>
        <w:t>度经审计的财务报告（成立时间至提交</w:t>
      </w:r>
      <w:r>
        <w:rPr>
          <w:rFonts w:hint="eastAsia" w:ascii="宋体" w:hAnsi="宋体" w:cs="宋体"/>
          <w:color w:val="000000"/>
          <w:kern w:val="0"/>
          <w:sz w:val="24"/>
          <w:szCs w:val="24"/>
          <w:u w:val="none"/>
          <w:lang w:eastAsia="zh-CN" w:bidi="ar"/>
        </w:rPr>
        <w:t>响应文件</w:t>
      </w:r>
      <w:r>
        <w:rPr>
          <w:rFonts w:hint="eastAsia" w:ascii="宋体" w:hAnsi="宋体" w:cs="宋体"/>
          <w:color w:val="000000"/>
          <w:kern w:val="0"/>
          <w:sz w:val="24"/>
          <w:szCs w:val="24"/>
          <w:u w:val="none"/>
          <w:lang w:bidi="ar"/>
        </w:rPr>
        <w:t>截止时间不足一年的可提供成立后任意时段的资产负债表），或投标截止时间前6个月内银行出具的资信证明；</w:t>
      </w:r>
    </w:p>
    <w:p w14:paraId="393743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(3)提供</w:t>
      </w:r>
      <w:r>
        <w:rPr>
          <w:rFonts w:hint="eastAsia" w:ascii="宋体" w:hAnsi="宋体" w:cs="宋体"/>
          <w:color w:val="000000"/>
          <w:kern w:val="0"/>
          <w:sz w:val="24"/>
          <w:szCs w:val="24"/>
          <w:u w:val="none"/>
          <w:lang w:eastAsia="zh-CN" w:bidi="ar"/>
        </w:rPr>
        <w:t>响应文件</w:t>
      </w:r>
      <w:r>
        <w:rPr>
          <w:rFonts w:hint="eastAsia" w:ascii="宋体" w:hAnsi="宋体" w:cs="宋体"/>
          <w:color w:val="000000"/>
          <w:kern w:val="0"/>
          <w:sz w:val="24"/>
          <w:szCs w:val="24"/>
          <w:u w:val="none"/>
          <w:lang w:bidi="ar"/>
        </w:rPr>
        <w:t>递交截止日前一年内已缴纳的至少一个月的纳税证明或完税证明，依法免税的单位应提供相关证明材料；</w:t>
      </w:r>
    </w:p>
    <w:p w14:paraId="51A247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(4)提供</w:t>
      </w:r>
      <w:r>
        <w:rPr>
          <w:rFonts w:hint="eastAsia" w:ascii="宋体" w:hAnsi="宋体" w:cs="宋体"/>
          <w:color w:val="000000"/>
          <w:kern w:val="0"/>
          <w:sz w:val="24"/>
          <w:szCs w:val="24"/>
          <w:u w:val="none"/>
          <w:lang w:eastAsia="zh-CN" w:bidi="ar"/>
        </w:rPr>
        <w:t>响应文件</w:t>
      </w:r>
      <w:r>
        <w:rPr>
          <w:rFonts w:hint="eastAsia" w:ascii="宋体" w:hAnsi="宋体" w:cs="宋体"/>
          <w:color w:val="000000"/>
          <w:kern w:val="0"/>
          <w:sz w:val="24"/>
          <w:szCs w:val="24"/>
          <w:u w:val="none"/>
          <w:lang w:bidi="ar"/>
        </w:rPr>
        <w:t>递交截止日前一年内已缴存的至少一个月的社会保障资金缴存单据或社保机构开具的社会保险参保缴费情况证明，依法不需要缴纳社会保障资金的单位应提供相关证明材料；</w:t>
      </w:r>
    </w:p>
    <w:p w14:paraId="39F3CD84">
      <w:pPr>
        <w:spacing w:line="360" w:lineRule="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(5)提供具有履行合同所必需的设备和专业技术能力的承诺；</w:t>
      </w:r>
    </w:p>
    <w:p w14:paraId="48FA028D">
      <w:pPr>
        <w:spacing w:line="360" w:lineRule="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(6)参加政府采购活动前3年内，在经营活动中没有重大违法记录的书面声明。</w:t>
      </w:r>
    </w:p>
    <w:p w14:paraId="64E98EFA">
      <w:pPr>
        <w:pStyle w:val="4"/>
        <w:numPr>
          <w:ilvl w:val="0"/>
          <w:numId w:val="0"/>
        </w:numPr>
        <w:spacing w:line="360" w:lineRule="auto"/>
        <w:rPr>
          <w:rFonts w:hint="eastAsia" w:ascii="宋体" w:hAnsi="宋体" w:eastAsia="宋体" w:cs="宋体"/>
          <w:b/>
          <w:bCs/>
          <w:sz w:val="24"/>
          <w:szCs w:val="24"/>
        </w:rPr>
      </w:pPr>
    </w:p>
    <w:p w14:paraId="46C9B402">
      <w:pPr>
        <w:rPr>
          <w:rFonts w:hint="eastAsia" w:ascii="宋体" w:hAnsi="宋体" w:eastAsia="宋体" w:cs="宋体"/>
          <w:b/>
          <w:bCs/>
          <w:sz w:val="24"/>
          <w:szCs w:val="24"/>
        </w:rPr>
      </w:pPr>
    </w:p>
    <w:p w14:paraId="0CBEE20C">
      <w:pPr>
        <w:pStyle w:val="9"/>
        <w:rPr>
          <w:rFonts w:hint="eastAsia" w:ascii="宋体" w:hAnsi="宋体" w:eastAsia="宋体" w:cs="宋体"/>
          <w:b/>
          <w:bCs/>
          <w:sz w:val="24"/>
          <w:szCs w:val="24"/>
        </w:rPr>
      </w:pPr>
    </w:p>
    <w:p w14:paraId="683FD1C7">
      <w:pPr>
        <w:pStyle w:val="9"/>
        <w:rPr>
          <w:rFonts w:hint="eastAsia" w:ascii="宋体" w:hAnsi="宋体" w:eastAsia="宋体" w:cs="宋体"/>
          <w:b/>
          <w:bCs/>
          <w:sz w:val="24"/>
          <w:szCs w:val="24"/>
        </w:rPr>
      </w:pPr>
    </w:p>
    <w:p w14:paraId="6245E861">
      <w:pPr>
        <w:pStyle w:val="9"/>
        <w:rPr>
          <w:rFonts w:hint="eastAsia" w:ascii="宋体" w:hAnsi="宋体" w:eastAsia="宋体" w:cs="宋体"/>
          <w:b/>
          <w:bCs/>
          <w:sz w:val="24"/>
          <w:szCs w:val="24"/>
        </w:rPr>
      </w:pPr>
    </w:p>
    <w:p w14:paraId="3758129F">
      <w:pPr>
        <w:pStyle w:val="9"/>
        <w:rPr>
          <w:rFonts w:hint="eastAsia" w:ascii="宋体" w:hAnsi="宋体" w:eastAsia="宋体" w:cs="宋体"/>
          <w:b/>
          <w:bCs/>
          <w:sz w:val="24"/>
          <w:szCs w:val="24"/>
        </w:rPr>
      </w:pPr>
    </w:p>
    <w:p w14:paraId="7E455A63">
      <w:pPr>
        <w:pStyle w:val="9"/>
        <w:rPr>
          <w:rFonts w:hint="eastAsia" w:ascii="宋体" w:hAnsi="宋体" w:eastAsia="宋体" w:cs="宋体"/>
          <w:b/>
          <w:bCs/>
          <w:sz w:val="24"/>
          <w:szCs w:val="24"/>
        </w:rPr>
      </w:pPr>
    </w:p>
    <w:p w14:paraId="2EC0A0C8">
      <w:pPr>
        <w:pStyle w:val="9"/>
        <w:rPr>
          <w:rFonts w:hint="eastAsia" w:ascii="宋体" w:hAnsi="宋体" w:eastAsia="宋体" w:cs="宋体"/>
          <w:b/>
          <w:bCs/>
          <w:sz w:val="24"/>
          <w:szCs w:val="24"/>
        </w:rPr>
      </w:pPr>
    </w:p>
    <w:p w14:paraId="013BA156">
      <w:pPr>
        <w:pStyle w:val="9"/>
        <w:rPr>
          <w:rFonts w:hint="eastAsia" w:ascii="宋体" w:hAnsi="宋体" w:eastAsia="宋体" w:cs="宋体"/>
          <w:b/>
          <w:bCs/>
          <w:sz w:val="24"/>
          <w:szCs w:val="24"/>
        </w:rPr>
      </w:pPr>
    </w:p>
    <w:p w14:paraId="77423655">
      <w:pPr>
        <w:pStyle w:val="9"/>
        <w:rPr>
          <w:rFonts w:hint="eastAsia" w:ascii="宋体" w:hAnsi="宋体" w:eastAsia="宋体" w:cs="宋体"/>
          <w:b/>
          <w:bCs/>
          <w:sz w:val="24"/>
          <w:szCs w:val="24"/>
        </w:rPr>
      </w:pPr>
    </w:p>
    <w:p w14:paraId="0D11E6EA">
      <w:pPr>
        <w:pStyle w:val="9"/>
        <w:rPr>
          <w:rFonts w:hint="eastAsia" w:ascii="宋体" w:hAnsi="宋体" w:eastAsia="宋体" w:cs="宋体"/>
          <w:b/>
          <w:bCs/>
          <w:sz w:val="24"/>
          <w:szCs w:val="24"/>
        </w:rPr>
      </w:pPr>
    </w:p>
    <w:p w14:paraId="28B508B7">
      <w:pPr>
        <w:pStyle w:val="9"/>
        <w:rPr>
          <w:rFonts w:hint="eastAsia" w:ascii="宋体" w:hAnsi="宋体" w:eastAsia="宋体" w:cs="宋体"/>
          <w:b/>
          <w:bCs/>
          <w:sz w:val="24"/>
          <w:szCs w:val="24"/>
        </w:rPr>
      </w:pP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bookmarkStart w:id="24" w:name="_GoBack"/>
      <w:bookmarkEnd w:id="24"/>
    </w:p>
    <w:p w14:paraId="3441DB04">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w:t>
      </w:r>
      <w:r>
        <w:rPr>
          <w:rFonts w:hint="eastAsia" w:eastAsia="宋体"/>
          <w:sz w:val="24"/>
          <w:szCs w:val="24"/>
          <w:lang w:val="en-US" w:eastAsia="zh-CN"/>
        </w:rPr>
        <w:t>磋商</w:t>
      </w:r>
      <w:r>
        <w:rPr>
          <w:rFonts w:hint="eastAsia" w:eastAsia="宋体"/>
          <w:sz w:val="24"/>
          <w:szCs w:val="24"/>
          <w:lang w:eastAsia="zh-CN"/>
        </w:rPr>
        <w:t>，须提供法定代表人身份证明）；</w:t>
      </w:r>
    </w:p>
    <w:p w14:paraId="318C0DC0">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投标供应商；</w:t>
      </w:r>
    </w:p>
    <w:p w14:paraId="5DE1E923">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（3）供应商须具备水利水电工程施工总承包三级及以上资质，并具有有效的安全生产许可证；</w:t>
      </w:r>
    </w:p>
    <w:p w14:paraId="75E98315">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（4）供应商拟派项目经理须具备水利水电工程专业二级及以上注册建造师执业资格，具有有效的安全生产考核合格证书(水安B证)，在本单位注册且无在建工程；</w:t>
      </w:r>
    </w:p>
    <w:p w14:paraId="04C8FF5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（5）供应商基本信息及项目负责人的基本信息在“陕西省水利建设市场主体信用信息管理平台”可查询；</w:t>
      </w:r>
    </w:p>
    <w:p w14:paraId="05AB2FF1">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6</w:t>
      </w:r>
      <w:r>
        <w:rPr>
          <w:rFonts w:hint="eastAsia" w:eastAsia="宋体"/>
          <w:sz w:val="24"/>
          <w:szCs w:val="24"/>
          <w:lang w:eastAsia="zh-CN"/>
        </w:rPr>
        <w:t>）供应商不得在各级诚信信息平台被列为投标受限制的行为人；</w:t>
      </w:r>
    </w:p>
    <w:p w14:paraId="5D9B7341">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7</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66C4729C">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8</w:t>
      </w:r>
      <w:r>
        <w:rPr>
          <w:rFonts w:hint="eastAsia" w:eastAsia="宋体"/>
          <w:sz w:val="24"/>
          <w:szCs w:val="24"/>
          <w:lang w:eastAsia="zh-CN"/>
        </w:rPr>
        <w:t>）本项目专门面向中小企业采购，仅限符合《政府采购促进中小企业发展管理办法》的通知(财库〔2020〕46号)条件的中小企业参与，并提供中小企业声明函。</w:t>
      </w:r>
    </w:p>
    <w:p w14:paraId="386AFE4C">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521FC08C">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011BACE">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003A5C6C">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18867F8">
      <w:pPr>
        <w:pStyle w:val="4"/>
        <w:rPr>
          <w:rFonts w:hint="eastAsia"/>
          <w:lang w:eastAsia="zh-CN"/>
        </w:rPr>
      </w:pPr>
    </w:p>
    <w:p w14:paraId="47BD1E21">
      <w:pPr>
        <w:pStyle w:val="4"/>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3"/>
          <w:rFonts w:hint="eastAsia" w:ascii="宋体" w:hAnsi="宋体" w:eastAsia="宋体" w:cs="宋体"/>
          <w:color w:val="auto"/>
          <w:sz w:val="32"/>
          <w:szCs w:val="32"/>
          <w:highlight w:val="none"/>
          <w:lang w:val="en-US" w:eastAsia="zh-CN"/>
        </w:rPr>
      </w:pPr>
      <w:r>
        <w:rPr>
          <w:rStyle w:val="13"/>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pStyle w:val="6"/>
        <w:spacing w:line="360" w:lineRule="auto"/>
        <w:jc w:val="left"/>
        <w:outlineLvl w:val="9"/>
        <w:rPr>
          <w:rFonts w:hint="eastAsia" w:ascii="宋体" w:hAnsi="宋体" w:eastAsia="宋体" w:cs="宋体"/>
          <w:b/>
          <w:bCs/>
          <w:color w:val="auto"/>
          <w:sz w:val="24"/>
          <w:szCs w:val="24"/>
          <w:highlight w:val="none"/>
        </w:rPr>
      </w:pPr>
      <w:r>
        <w:rPr>
          <w:rFonts w:hint="eastAsia" w:hAnsi="宋体" w:eastAsia="宋体" w:cs="宋体"/>
          <w:color w:val="auto"/>
          <w:sz w:val="24"/>
          <w:szCs w:val="24"/>
          <w:highlight w:val="none"/>
          <w:lang w:eastAsia="zh-CN"/>
        </w:rPr>
        <w:t>陕西长城工程造价师事务所有限责任公司</w:t>
      </w:r>
      <w:r>
        <w:rPr>
          <w:rFonts w:hint="eastAsia" w:ascii="宋体" w:hAnsi="宋体" w:eastAsia="宋体" w:cs="宋体"/>
          <w:color w:val="auto"/>
          <w:sz w:val="24"/>
          <w:szCs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14090947"/>
      <w:bookmarkStart w:id="1" w:name="_Toc201637979"/>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01637986"/>
            <w:bookmarkStart w:id="15" w:name="_Toc21409095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14090958"/>
            <w:bookmarkStart w:id="23" w:name="_Toc201637990"/>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5C492565">
      <w:pPr>
        <w:spacing w:line="500" w:lineRule="exac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hAnsi="宋体" w:eastAsia="宋体" w:cs="宋体"/>
          <w:color w:val="auto"/>
          <w:sz w:val="24"/>
          <w:szCs w:val="24"/>
          <w:highlight w:val="none"/>
          <w:lang w:eastAsia="zh-CN"/>
        </w:rPr>
        <w:t>陕西长城工程造价师事务所有限责任公司</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1A4E79DB"/>
    <w:rsid w:val="2667445E"/>
    <w:rsid w:val="2F4564DC"/>
    <w:rsid w:val="310B651C"/>
    <w:rsid w:val="32456B21"/>
    <w:rsid w:val="36C0076C"/>
    <w:rsid w:val="48490237"/>
    <w:rsid w:val="4D6D4B1A"/>
    <w:rsid w:val="5E5A0781"/>
    <w:rsid w:val="667153F8"/>
    <w:rsid w:val="6863073B"/>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paragraph" w:customStyle="1" w:styleId="12">
    <w:name w:val="列表段落1"/>
    <w:basedOn w:val="1"/>
    <w:autoRedefine/>
    <w:qFormat/>
    <w:uiPriority w:val="99"/>
    <w:pPr>
      <w:ind w:firstLine="420" w:firstLineChars="200"/>
    </w:pPr>
  </w:style>
  <w:style w:type="character" w:customStyle="1" w:styleId="13">
    <w:name w:val="标题 2 Char"/>
    <w:link w:val="2"/>
    <w:autoRedefine/>
    <w:qFormat/>
    <w:locked/>
    <w:uiPriority w:val="99"/>
    <w:rPr>
      <w:rFonts w:ascii="Cambria" w:hAnsi="Cambria"/>
      <w:b/>
      <w:bCs/>
      <w:kern w:val="0"/>
      <w:sz w:val="32"/>
      <w:szCs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2159</Words>
  <Characters>2291</Characters>
  <Lines>1</Lines>
  <Paragraphs>1</Paragraphs>
  <TotalTime>0</TotalTime>
  <ScaleCrop>false</ScaleCrop>
  <LinksUpToDate>false</LinksUpToDate>
  <CharactersWithSpaces>2852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Turn?_?</cp:lastModifiedBy>
  <dcterms:modified xsi:type="dcterms:W3CDTF">2025-12-14T14:03:27Z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EEBA9763AF0C45E0930B394D13DC143D_13</vt:lpwstr>
  </property>
  <property fmtid="{D5CDD505-2E9C-101B-9397-08002B2CF9AE}" pid="4" name="KSOTemplateDocerSaveRecord">
    <vt:lpwstr>eyJoZGlkIjoiM2Q5NTAyNGUxNjFlNDMxYjUzN2Q0OTNjZjVkNTBkOTUiLCJ1c2VySWQiOiIyOTIyNTgxOTMifQ==</vt:lpwstr>
  </property>
</Properties>
</file>