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版本号：SXCC–[2025]–DL10020251226003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农村环卫基础设施维修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SXCC–[2025]–DL100</w:t>
      </w:r>
      <w:r>
        <w:br/>
      </w:r>
      <w:r>
        <w:br/>
      </w:r>
      <w:r>
        <w:br/>
      </w:r>
    </w:p>
    <w:p>
      <w:pPr>
        <w:pStyle w:val="null3"/>
        <w:jc w:val="center"/>
        <w:outlineLvl w:val="2"/>
      </w:pPr>
      <w:r>
        <w:rPr>
          <w:rFonts w:ascii="仿宋_GB2312" w:hAnsi="仿宋_GB2312" w:cs="仿宋_GB2312" w:eastAsia="仿宋_GB2312"/>
          <w:sz w:val="28"/>
          <w:b/>
        </w:rPr>
        <w:t>西安市蓝田县城市管理和综合执法局局（本级）</w:t>
      </w:r>
    </w:p>
    <w:p>
      <w:pPr>
        <w:pStyle w:val="null3"/>
        <w:jc w:val="center"/>
        <w:outlineLvl w:val="2"/>
      </w:pPr>
      <w:r>
        <w:rPr>
          <w:rFonts w:ascii="仿宋_GB2312" w:hAnsi="仿宋_GB2312" w:cs="仿宋_GB2312" w:eastAsia="仿宋_GB2312"/>
          <w:sz w:val="28"/>
          <w:b/>
        </w:rPr>
        <w:t>陕西长城工程造价师事务所有限责任公司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陕西长城工程造价师事务所有限责任公司</w:t>
      </w:r>
      <w:r>
        <w:rPr>
          <w:rFonts w:ascii="仿宋_GB2312" w:hAnsi="仿宋_GB2312" w:cs="仿宋_GB2312" w:eastAsia="仿宋_GB2312"/>
        </w:rPr>
        <w:t>（以下简称“代理机构”）受</w:t>
      </w:r>
      <w:r>
        <w:rPr>
          <w:rFonts w:ascii="仿宋_GB2312" w:hAnsi="仿宋_GB2312" w:cs="仿宋_GB2312" w:eastAsia="仿宋_GB2312"/>
        </w:rPr>
        <w:t>西安市蓝田县城市管理和综合执法局局（本级）</w:t>
      </w:r>
      <w:r>
        <w:rPr>
          <w:rFonts w:ascii="仿宋_GB2312" w:hAnsi="仿宋_GB2312" w:cs="仿宋_GB2312" w:eastAsia="仿宋_GB2312"/>
        </w:rPr>
        <w:t>委托，拟对</w:t>
      </w:r>
      <w:r>
        <w:rPr>
          <w:rFonts w:ascii="仿宋_GB2312" w:hAnsi="仿宋_GB2312" w:cs="仿宋_GB2312" w:eastAsia="仿宋_GB2312"/>
        </w:rPr>
        <w:t>农村环卫基础设施维修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SXCC–[2025]–DL100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农村环卫基础设施维修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本项目农村环卫基础设施维修，实施内容为对6个乡镇73座公厕进行维修改造。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采购包1（农村环卫基础设施维修）：属于专门面向中小企业采购。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1、法定代表人身份证明书/法定代表人授权委托书：法定代表人授权书（法定代表人直接参加磋商，须提供法定代表人身份证明）。</w:t>
      </w:r>
    </w:p>
    <w:p>
      <w:pPr>
        <w:pStyle w:val="null3"/>
      </w:pPr>
      <w:r>
        <w:rPr>
          <w:rFonts w:ascii="仿宋_GB2312" w:hAnsi="仿宋_GB2312" w:cs="仿宋_GB2312" w:eastAsia="仿宋_GB2312"/>
        </w:rPr>
        <w:t>2、资质要求：供应商须具备行业主管部门颁发的建筑工程施工总承包三级及以上资质并具有有效的安全生产许可证。</w:t>
      </w:r>
    </w:p>
    <w:p>
      <w:pPr>
        <w:pStyle w:val="null3"/>
      </w:pPr>
      <w:r>
        <w:rPr>
          <w:rFonts w:ascii="仿宋_GB2312" w:hAnsi="仿宋_GB2312" w:cs="仿宋_GB2312" w:eastAsia="仿宋_GB2312"/>
        </w:rPr>
        <w:t>3、项目经理资质要求：供应商拟派项目经理须具备行业主管部门颁发的建筑工程专业二级及以上建造师资质及有效的安全生产考核合格证书（建安B证），在本单位注册且无在建工程。</w:t>
      </w:r>
    </w:p>
    <w:p>
      <w:pPr>
        <w:pStyle w:val="null3"/>
      </w:pPr>
      <w:r>
        <w:rPr>
          <w:rFonts w:ascii="仿宋_GB2312" w:hAnsi="仿宋_GB2312" w:cs="仿宋_GB2312" w:eastAsia="仿宋_GB2312"/>
        </w:rPr>
        <w:t>4、信用信息查询：供应商不得为“信用中国”网站（www.creditchina.gov.cn）中列入失信被执行人和重大税收违法案件当事人名单的供应商，不得为中国政府采购网（www.ccgp.gov.cn）政府采购严重违法失信行为记录名单中被财政部门禁止参加政府采购活动的投标供应商。</w:t>
      </w:r>
    </w:p>
    <w:p>
      <w:pPr>
        <w:pStyle w:val="null3"/>
      </w:pPr>
      <w:r>
        <w:rPr>
          <w:rFonts w:ascii="仿宋_GB2312" w:hAnsi="仿宋_GB2312" w:cs="仿宋_GB2312" w:eastAsia="仿宋_GB2312"/>
        </w:rPr>
        <w:t>5、供应商基本信息及项目经理基本信息查询：供应商及项目经理基本信息应在“陕西建设网（http://js.shaanxi.gov.cn/）或陕西省建筑市场监管与诚信信息发布平台”可查询。</w:t>
      </w:r>
    </w:p>
    <w:p>
      <w:pPr>
        <w:pStyle w:val="null3"/>
      </w:pPr>
      <w:r>
        <w:rPr>
          <w:rFonts w:ascii="仿宋_GB2312" w:hAnsi="仿宋_GB2312" w:cs="仿宋_GB2312" w:eastAsia="仿宋_GB2312"/>
        </w:rPr>
        <w:t>6、声明书：供应商不得在各级诚信信息平台被列为投标受限制的行为人。</w:t>
      </w:r>
    </w:p>
    <w:p>
      <w:pPr>
        <w:pStyle w:val="null3"/>
      </w:pPr>
      <w:r>
        <w:rPr>
          <w:rFonts w:ascii="仿宋_GB2312" w:hAnsi="仿宋_GB2312" w:cs="仿宋_GB2312" w:eastAsia="仿宋_GB2312"/>
        </w:rPr>
        <w:t>7、承诺书：本项目不接受联合体投标，单位负责人为同一人或者存在直接控股、管理关系的不同供应商，不得参加同一合同项下的政府采购活动。</w:t>
      </w:r>
    </w:p>
    <w:p>
      <w:pPr>
        <w:pStyle w:val="null3"/>
      </w:pPr>
      <w:r>
        <w:rPr>
          <w:rFonts w:ascii="仿宋_GB2312" w:hAnsi="仿宋_GB2312" w:cs="仿宋_GB2312" w:eastAsia="仿宋_GB2312"/>
        </w:rPr>
        <w:t>8、中小企业声明函：本项目专门面向中小企业采购，仅限符合《政府采购促进中小企业发展管理办法》的通知(财库〔2020〕46号)条件的中小企业参与，并提供中小企业声明函。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西安市蓝田县城市管理和综合执法局局（本级）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蓝田县体育路50号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白佳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029-82752276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陕西长城工程造价师事务所有限责任公司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蓝田县青灞路白鹿原管委会对面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谢毅潇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029-82722200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李晓东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代理服务费收费标准：1.以成交金额为基数，参照国家计委颁布《招标代理服务收费管理暂行办法》（计价格[2002]1980号）、（发改办价格[2003]857号）文件规定执行； 2.招标代理服务费由成交供应商支付，在领取《成交通知书》前，由成交供应商一次性支付给陕西长城工程造价师事务所有限责任公司。 招标代理服务费缴纳账户： 开户名称：陕西长城工程造价师事务所有限责任公司 开户银行：建行西安凤城二路支行 账 号：6105 0110 2637 0000 0190 注：成交公示结束后，成交供应商须提供纸质磋商响应文件 3 套及电子版 U 盘 1 个（内容与系统上传保持一致）交由采购代理机构。成交供应商对所提供资料的真实性、合法性、准确性、完整性负责，无需密封。</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西安市蓝田县城市管理和综合执法局局（本级）</w:t>
      </w:r>
      <w:r>
        <w:rPr>
          <w:rFonts w:ascii="仿宋_GB2312" w:hAnsi="仿宋_GB2312" w:cs="仿宋_GB2312" w:eastAsia="仿宋_GB2312"/>
        </w:rPr>
        <w:t>和</w:t>
      </w:r>
      <w:r>
        <w:rPr>
          <w:rFonts w:ascii="仿宋_GB2312" w:hAnsi="仿宋_GB2312" w:cs="仿宋_GB2312" w:eastAsia="仿宋_GB2312"/>
        </w:rPr>
        <w:t>陕西长城工程造价师事务所有限责任公司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西安市蓝田县城市管理和综合执法局局（本级）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陕西长城工程造价师事务所有限责任公司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西安市蓝田县城市管理和综合执法局局（本级）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陕西长城工程造价师事务所有限责任公司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陕西长城工程造价师事务所有限责任公司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陕西长城工程造价师事务所有限责任公司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陕西长城工程造价师事务所有限责任公司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联系人：谢毅潇</w:t>
      </w:r>
    </w:p>
    <w:p>
      <w:pPr>
        <w:pStyle w:val="null3"/>
      </w:pPr>
      <w:r>
        <w:rPr>
          <w:rFonts w:ascii="仿宋_GB2312" w:hAnsi="仿宋_GB2312" w:cs="仿宋_GB2312" w:eastAsia="仿宋_GB2312"/>
        </w:rPr>
        <w:t>联系电话：029-82722200</w:t>
      </w:r>
    </w:p>
    <w:p>
      <w:pPr>
        <w:pStyle w:val="null3"/>
      </w:pPr>
      <w:r>
        <w:rPr>
          <w:rFonts w:ascii="仿宋_GB2312" w:hAnsi="仿宋_GB2312" w:cs="仿宋_GB2312" w:eastAsia="仿宋_GB2312"/>
        </w:rPr>
        <w:t>地址：蓝田县青灞路白鹿原管委会对面</w:t>
      </w:r>
    </w:p>
    <w:p>
      <w:pPr>
        <w:pStyle w:val="null3"/>
      </w:pPr>
      <w:r>
        <w:rPr>
          <w:rFonts w:ascii="仿宋_GB2312" w:hAnsi="仿宋_GB2312" w:cs="仿宋_GB2312" w:eastAsia="仿宋_GB2312"/>
        </w:rPr>
        <w:t>邮编：710500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999,893.53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1</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1,000,000.00</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after="105"/>
              <w:jc w:val="both"/>
            </w:pPr>
            <w:r>
              <w:rPr>
                <w:rFonts w:ascii="仿宋_GB2312" w:hAnsi="仿宋_GB2312" w:cs="仿宋_GB2312" w:eastAsia="仿宋_GB2312"/>
                <w:sz w:val="28"/>
                <w:b/>
                <w:color w:val="000000"/>
                <w:shd w:fill="FFFFFF" w:val="clear"/>
              </w:rPr>
              <w:t>一、项目概况</w:t>
            </w:r>
          </w:p>
          <w:p>
            <w:pPr>
              <w:pStyle w:val="null3"/>
              <w:ind w:firstLine="560"/>
              <w:jc w:val="both"/>
            </w:pPr>
            <w:r>
              <w:rPr>
                <w:rFonts w:ascii="仿宋_GB2312" w:hAnsi="仿宋_GB2312" w:cs="仿宋_GB2312" w:eastAsia="仿宋_GB2312"/>
                <w:sz w:val="28"/>
                <w:color w:val="000000"/>
                <w:shd w:fill="FFFFFF" w:val="clear"/>
              </w:rPr>
              <w:t>本项目农村环卫基础设施维修，实施内容为对6个乡镇73座公厕进行维修改造。</w:t>
            </w:r>
          </w:p>
          <w:p>
            <w:pPr>
              <w:pStyle w:val="null3"/>
              <w:spacing w:before="105" w:after="105"/>
              <w:jc w:val="both"/>
            </w:pPr>
            <w:r>
              <w:rPr>
                <w:rFonts w:ascii="仿宋_GB2312" w:hAnsi="仿宋_GB2312" w:cs="仿宋_GB2312" w:eastAsia="仿宋_GB2312"/>
                <w:sz w:val="28"/>
                <w:b/>
                <w:color w:val="000000"/>
                <w:shd w:fill="FFFFFF" w:val="clear"/>
              </w:rPr>
              <w:t>二、项目情况</w:t>
            </w:r>
          </w:p>
          <w:p>
            <w:pPr>
              <w:pStyle w:val="null3"/>
              <w:spacing w:before="105" w:after="105"/>
              <w:ind w:firstLine="560"/>
              <w:jc w:val="both"/>
            </w:pPr>
            <w:r>
              <w:rPr>
                <w:rFonts w:ascii="仿宋_GB2312" w:hAnsi="仿宋_GB2312" w:cs="仿宋_GB2312" w:eastAsia="仿宋_GB2312"/>
                <w:sz w:val="28"/>
                <w:color w:val="000000"/>
                <w:shd w:fill="FFFFFF" w:val="clear"/>
              </w:rPr>
              <w:t>1</w:t>
            </w:r>
            <w:r>
              <w:rPr>
                <w:rFonts w:ascii="仿宋_GB2312" w:hAnsi="仿宋_GB2312" w:cs="仿宋_GB2312" w:eastAsia="仿宋_GB2312"/>
                <w:sz w:val="28"/>
                <w:color w:val="000000"/>
                <w:shd w:fill="FFFFFF" w:val="clear"/>
              </w:rPr>
              <w:t>、工程内容：详见</w:t>
            </w:r>
            <w:r>
              <w:rPr>
                <w:rFonts w:ascii="仿宋_GB2312" w:hAnsi="仿宋_GB2312" w:cs="仿宋_GB2312" w:eastAsia="仿宋_GB2312"/>
                <w:sz w:val="28"/>
                <w:color w:val="000000"/>
                <w:shd w:fill="FFFFFF" w:val="clear"/>
              </w:rPr>
              <w:t>采购</w:t>
            </w:r>
            <w:r>
              <w:rPr>
                <w:rFonts w:ascii="仿宋_GB2312" w:hAnsi="仿宋_GB2312" w:cs="仿宋_GB2312" w:eastAsia="仿宋_GB2312"/>
                <w:sz w:val="28"/>
                <w:color w:val="000000"/>
                <w:shd w:fill="FFFFFF" w:val="clear"/>
              </w:rPr>
              <w:t>文件工程量清单及图纸全部内容</w:t>
            </w:r>
          </w:p>
          <w:p>
            <w:pPr>
              <w:pStyle w:val="null3"/>
              <w:spacing w:before="105" w:after="105"/>
              <w:ind w:firstLine="560"/>
              <w:jc w:val="both"/>
            </w:pPr>
            <w:r>
              <w:rPr>
                <w:rFonts w:ascii="仿宋_GB2312" w:hAnsi="仿宋_GB2312" w:cs="仿宋_GB2312" w:eastAsia="仿宋_GB2312"/>
                <w:sz w:val="28"/>
                <w:color w:val="000000"/>
                <w:shd w:fill="FFFFFF" w:val="clear"/>
              </w:rPr>
              <w:t>2</w:t>
            </w:r>
            <w:r>
              <w:rPr>
                <w:rFonts w:ascii="仿宋_GB2312" w:hAnsi="仿宋_GB2312" w:cs="仿宋_GB2312" w:eastAsia="仿宋_GB2312"/>
                <w:sz w:val="28"/>
                <w:color w:val="000000"/>
                <w:shd w:fill="FFFFFF" w:val="clear"/>
              </w:rPr>
              <w:t>、工程地点：</w:t>
            </w:r>
            <w:r>
              <w:rPr>
                <w:rFonts w:ascii="仿宋_GB2312" w:hAnsi="仿宋_GB2312" w:cs="仿宋_GB2312" w:eastAsia="仿宋_GB2312"/>
                <w:sz w:val="28"/>
                <w:color w:val="000000"/>
                <w:shd w:fill="FFFFFF" w:val="clear"/>
              </w:rPr>
              <w:t>蓝田县</w:t>
            </w:r>
          </w:p>
          <w:p>
            <w:pPr>
              <w:pStyle w:val="null3"/>
              <w:spacing w:before="105" w:after="105"/>
              <w:ind w:firstLine="560"/>
              <w:jc w:val="both"/>
            </w:pPr>
            <w:r>
              <w:rPr>
                <w:rFonts w:ascii="仿宋_GB2312" w:hAnsi="仿宋_GB2312" w:cs="仿宋_GB2312" w:eastAsia="仿宋_GB2312"/>
                <w:sz w:val="28"/>
                <w:color w:val="000000"/>
                <w:shd w:fill="FFFFFF" w:val="clear"/>
              </w:rPr>
              <w:t>3</w:t>
            </w:r>
            <w:r>
              <w:rPr>
                <w:rFonts w:ascii="仿宋_GB2312" w:hAnsi="仿宋_GB2312" w:cs="仿宋_GB2312" w:eastAsia="仿宋_GB2312"/>
                <w:sz w:val="28"/>
                <w:color w:val="000000"/>
                <w:shd w:fill="FFFFFF" w:val="clear"/>
              </w:rPr>
              <w:t>、计划工期：</w:t>
            </w:r>
            <w:r>
              <w:rPr>
                <w:rFonts w:ascii="仿宋_GB2312" w:hAnsi="仿宋_GB2312" w:cs="仿宋_GB2312" w:eastAsia="仿宋_GB2312"/>
                <w:sz w:val="28"/>
                <w:color w:val="000000"/>
                <w:shd w:fill="FFFFFF" w:val="clear"/>
              </w:rPr>
              <w:t>60</w:t>
            </w:r>
            <w:r>
              <w:rPr>
                <w:rFonts w:ascii="仿宋_GB2312" w:hAnsi="仿宋_GB2312" w:cs="仿宋_GB2312" w:eastAsia="仿宋_GB2312"/>
                <w:sz w:val="28"/>
                <w:color w:val="000000"/>
                <w:shd w:fill="FFFFFF" w:val="clear"/>
              </w:rPr>
              <w:t>日历天</w:t>
            </w:r>
          </w:p>
          <w:p>
            <w:pPr>
              <w:pStyle w:val="null3"/>
              <w:spacing w:before="105" w:after="105"/>
              <w:ind w:firstLine="560"/>
              <w:jc w:val="both"/>
            </w:pPr>
            <w:r>
              <w:rPr>
                <w:rFonts w:ascii="仿宋_GB2312" w:hAnsi="仿宋_GB2312" w:cs="仿宋_GB2312" w:eastAsia="仿宋_GB2312"/>
                <w:sz w:val="28"/>
                <w:color w:val="000000"/>
                <w:shd w:fill="FFFFFF" w:val="clear"/>
              </w:rPr>
              <w:t>4</w:t>
            </w:r>
            <w:r>
              <w:rPr>
                <w:rFonts w:ascii="仿宋_GB2312" w:hAnsi="仿宋_GB2312" w:cs="仿宋_GB2312" w:eastAsia="仿宋_GB2312"/>
                <w:sz w:val="28"/>
                <w:color w:val="000000"/>
                <w:shd w:fill="FFFFFF" w:val="clear"/>
              </w:rPr>
              <w:t>、缺陷责任期：自竣工验收之日起</w:t>
            </w:r>
            <w:r>
              <w:rPr>
                <w:rFonts w:ascii="仿宋_GB2312" w:hAnsi="仿宋_GB2312" w:cs="仿宋_GB2312" w:eastAsia="仿宋_GB2312"/>
                <w:sz w:val="28"/>
                <w:color w:val="000000"/>
                <w:shd w:fill="FFFFFF" w:val="clear"/>
              </w:rPr>
              <w:t>1</w:t>
            </w:r>
            <w:r>
              <w:rPr>
                <w:rFonts w:ascii="仿宋_GB2312" w:hAnsi="仿宋_GB2312" w:cs="仿宋_GB2312" w:eastAsia="仿宋_GB2312"/>
                <w:sz w:val="28"/>
                <w:color w:val="000000"/>
                <w:shd w:fill="FFFFFF" w:val="clear"/>
              </w:rPr>
              <w:t>年</w:t>
            </w:r>
          </w:p>
          <w:p>
            <w:pPr>
              <w:pStyle w:val="null3"/>
              <w:spacing w:before="105" w:after="105"/>
              <w:ind w:firstLine="560"/>
              <w:jc w:val="both"/>
            </w:pPr>
            <w:r>
              <w:rPr>
                <w:rFonts w:ascii="仿宋_GB2312" w:hAnsi="仿宋_GB2312" w:cs="仿宋_GB2312" w:eastAsia="仿宋_GB2312"/>
                <w:sz w:val="28"/>
                <w:color w:val="000000"/>
                <w:shd w:fill="FFFFFF" w:val="clear"/>
              </w:rPr>
              <w:t>5</w:t>
            </w:r>
            <w:r>
              <w:rPr>
                <w:rFonts w:ascii="仿宋_GB2312" w:hAnsi="仿宋_GB2312" w:cs="仿宋_GB2312" w:eastAsia="仿宋_GB2312"/>
                <w:sz w:val="28"/>
                <w:color w:val="000000"/>
                <w:shd w:fill="FFFFFF" w:val="clear"/>
              </w:rPr>
              <w:t>、质量保修期：不少于</w:t>
            </w:r>
            <w:r>
              <w:rPr>
                <w:rFonts w:ascii="仿宋_GB2312" w:hAnsi="仿宋_GB2312" w:cs="仿宋_GB2312" w:eastAsia="仿宋_GB2312"/>
                <w:sz w:val="28"/>
                <w:color w:val="000000"/>
                <w:shd w:fill="FFFFFF" w:val="clear"/>
              </w:rPr>
              <w:t>12</w:t>
            </w:r>
            <w:r>
              <w:rPr>
                <w:rFonts w:ascii="仿宋_GB2312" w:hAnsi="仿宋_GB2312" w:cs="仿宋_GB2312" w:eastAsia="仿宋_GB2312"/>
                <w:sz w:val="28"/>
                <w:color w:val="000000"/>
                <w:shd w:fill="FFFFFF" w:val="clear"/>
              </w:rPr>
              <w:t>个月</w:t>
            </w:r>
          </w:p>
          <w:p>
            <w:pPr>
              <w:pStyle w:val="null3"/>
              <w:spacing w:before="105" w:after="105"/>
              <w:ind w:firstLine="560"/>
              <w:jc w:val="both"/>
            </w:pPr>
            <w:r>
              <w:rPr>
                <w:rFonts w:ascii="仿宋_GB2312" w:hAnsi="仿宋_GB2312" w:cs="仿宋_GB2312" w:eastAsia="仿宋_GB2312"/>
                <w:sz w:val="28"/>
                <w:color w:val="000000"/>
                <w:shd w:fill="FFFFFF" w:val="clear"/>
              </w:rPr>
              <w:t>6</w:t>
            </w:r>
            <w:r>
              <w:rPr>
                <w:rFonts w:ascii="仿宋_GB2312" w:hAnsi="仿宋_GB2312" w:cs="仿宋_GB2312" w:eastAsia="仿宋_GB2312"/>
                <w:sz w:val="28"/>
                <w:color w:val="000000"/>
                <w:shd w:fill="FFFFFF" w:val="clear"/>
              </w:rPr>
              <w:t>、质量标准：符合国家现行有关施工质量验收规范“合格”要求</w:t>
            </w:r>
          </w:p>
          <w:p>
            <w:pPr>
              <w:pStyle w:val="null3"/>
              <w:spacing w:before="105" w:after="105"/>
              <w:ind w:firstLine="560"/>
              <w:jc w:val="both"/>
            </w:pPr>
            <w:r>
              <w:rPr>
                <w:rFonts w:ascii="仿宋_GB2312" w:hAnsi="仿宋_GB2312" w:cs="仿宋_GB2312" w:eastAsia="仿宋_GB2312"/>
                <w:sz w:val="28"/>
                <w:color w:val="000000"/>
                <w:shd w:fill="FFFFFF" w:val="clear"/>
              </w:rPr>
              <w:t>7</w:t>
            </w:r>
            <w:r>
              <w:rPr>
                <w:rFonts w:ascii="仿宋_GB2312" w:hAnsi="仿宋_GB2312" w:cs="仿宋_GB2312" w:eastAsia="仿宋_GB2312"/>
                <w:sz w:val="28"/>
                <w:color w:val="000000"/>
                <w:shd w:fill="FFFFFF" w:val="clear"/>
              </w:rPr>
              <w:t>、</w:t>
            </w:r>
            <w:r>
              <w:rPr>
                <w:rFonts w:ascii="仿宋_GB2312" w:hAnsi="仿宋_GB2312" w:cs="仿宋_GB2312" w:eastAsia="仿宋_GB2312"/>
                <w:sz w:val="28"/>
                <w:color w:val="000000"/>
                <w:shd w:fill="FFFFFF" w:val="clear"/>
              </w:rPr>
              <w:t>付款方式：</w:t>
            </w:r>
          </w:p>
          <w:p>
            <w:pPr>
              <w:pStyle w:val="null3"/>
              <w:spacing w:before="105" w:after="105"/>
              <w:ind w:firstLine="560"/>
              <w:jc w:val="both"/>
            </w:pPr>
            <w:r>
              <w:rPr>
                <w:rFonts w:ascii="仿宋_GB2312" w:hAnsi="仿宋_GB2312" w:cs="仿宋_GB2312" w:eastAsia="仿宋_GB2312"/>
                <w:sz w:val="28"/>
                <w:color w:val="000000"/>
                <w:shd w:fill="FFFFFF" w:val="clear"/>
              </w:rPr>
              <w:t>（</w:t>
            </w:r>
            <w:r>
              <w:rPr>
                <w:rFonts w:ascii="仿宋_GB2312" w:hAnsi="仿宋_GB2312" w:cs="仿宋_GB2312" w:eastAsia="仿宋_GB2312"/>
                <w:sz w:val="28"/>
                <w:color w:val="000000"/>
                <w:shd w:fill="FFFFFF" w:val="clear"/>
              </w:rPr>
              <w:t>1</w:t>
            </w:r>
            <w:r>
              <w:rPr>
                <w:rFonts w:ascii="仿宋_GB2312" w:hAnsi="仿宋_GB2312" w:cs="仿宋_GB2312" w:eastAsia="仿宋_GB2312"/>
                <w:sz w:val="28"/>
                <w:color w:val="000000"/>
                <w:shd w:fill="FFFFFF" w:val="clear"/>
              </w:rPr>
              <w:t>）合同签订后，甲方向乙方支付合同价款的</w:t>
            </w:r>
            <w:r>
              <w:rPr>
                <w:rFonts w:ascii="仿宋_GB2312" w:hAnsi="仿宋_GB2312" w:cs="仿宋_GB2312" w:eastAsia="仿宋_GB2312"/>
                <w:sz w:val="28"/>
                <w:color w:val="000000"/>
                <w:shd w:fill="FFFFFF" w:val="clear"/>
              </w:rPr>
              <w:t>40%</w:t>
            </w:r>
            <w:r>
              <w:rPr>
                <w:rFonts w:ascii="仿宋_GB2312" w:hAnsi="仿宋_GB2312" w:cs="仿宋_GB2312" w:eastAsia="仿宋_GB2312"/>
                <w:sz w:val="28"/>
                <w:color w:val="000000"/>
                <w:shd w:fill="FFFFFF" w:val="clear"/>
              </w:rPr>
              <w:t>作为预付款。</w:t>
            </w:r>
          </w:p>
          <w:p>
            <w:pPr>
              <w:pStyle w:val="null3"/>
              <w:spacing w:before="105" w:after="105"/>
              <w:ind w:firstLine="560"/>
              <w:jc w:val="both"/>
            </w:pPr>
            <w:r>
              <w:rPr>
                <w:rFonts w:ascii="仿宋_GB2312" w:hAnsi="仿宋_GB2312" w:cs="仿宋_GB2312" w:eastAsia="仿宋_GB2312"/>
                <w:sz w:val="28"/>
                <w:color w:val="000000"/>
                <w:shd w:fill="FFFFFF" w:val="clear"/>
              </w:rPr>
              <w:t>（</w:t>
            </w:r>
            <w:r>
              <w:rPr>
                <w:rFonts w:ascii="仿宋_GB2312" w:hAnsi="仿宋_GB2312" w:cs="仿宋_GB2312" w:eastAsia="仿宋_GB2312"/>
                <w:sz w:val="28"/>
                <w:color w:val="000000"/>
                <w:shd w:fill="FFFFFF" w:val="clear"/>
              </w:rPr>
              <w:t>2</w:t>
            </w:r>
            <w:r>
              <w:rPr>
                <w:rFonts w:ascii="仿宋_GB2312" w:hAnsi="仿宋_GB2312" w:cs="仿宋_GB2312" w:eastAsia="仿宋_GB2312"/>
                <w:sz w:val="28"/>
                <w:color w:val="000000"/>
                <w:shd w:fill="FFFFFF" w:val="clear"/>
              </w:rPr>
              <w:t>）工程竣工，验收合格后支付合同总价款的</w:t>
            </w:r>
            <w:r>
              <w:rPr>
                <w:rFonts w:ascii="仿宋_GB2312" w:hAnsi="仿宋_GB2312" w:cs="仿宋_GB2312" w:eastAsia="仿宋_GB2312"/>
                <w:sz w:val="28"/>
                <w:color w:val="000000"/>
                <w:shd w:fill="FFFFFF" w:val="clear"/>
              </w:rPr>
              <w:t>85%</w:t>
            </w:r>
            <w:r>
              <w:rPr>
                <w:rFonts w:ascii="仿宋_GB2312" w:hAnsi="仿宋_GB2312" w:cs="仿宋_GB2312" w:eastAsia="仿宋_GB2312"/>
                <w:sz w:val="28"/>
                <w:color w:val="000000"/>
                <w:shd w:fill="FFFFFF" w:val="clear"/>
              </w:rPr>
              <w:t>。</w:t>
            </w:r>
          </w:p>
          <w:p>
            <w:pPr>
              <w:pStyle w:val="null3"/>
              <w:spacing w:before="105" w:after="105"/>
              <w:ind w:firstLine="560"/>
              <w:jc w:val="both"/>
            </w:pPr>
            <w:r>
              <w:rPr>
                <w:rFonts w:ascii="仿宋_GB2312" w:hAnsi="仿宋_GB2312" w:cs="仿宋_GB2312" w:eastAsia="仿宋_GB2312"/>
                <w:sz w:val="28"/>
                <w:color w:val="000000"/>
                <w:shd w:fill="FFFFFF" w:val="clear"/>
              </w:rPr>
              <w:t>（</w:t>
            </w:r>
            <w:r>
              <w:rPr>
                <w:rFonts w:ascii="仿宋_GB2312" w:hAnsi="仿宋_GB2312" w:cs="仿宋_GB2312" w:eastAsia="仿宋_GB2312"/>
                <w:sz w:val="28"/>
                <w:color w:val="000000"/>
                <w:shd w:fill="FFFFFF" w:val="clear"/>
              </w:rPr>
              <w:t>3</w:t>
            </w:r>
            <w:r>
              <w:rPr>
                <w:rFonts w:ascii="仿宋_GB2312" w:hAnsi="仿宋_GB2312" w:cs="仿宋_GB2312" w:eastAsia="仿宋_GB2312"/>
                <w:sz w:val="28"/>
                <w:color w:val="000000"/>
                <w:shd w:fill="FFFFFF" w:val="clear"/>
              </w:rPr>
              <w:t>）审计部门审计完成后，支付至审计结算价款的</w:t>
            </w:r>
            <w:r>
              <w:rPr>
                <w:rFonts w:ascii="仿宋_GB2312" w:hAnsi="仿宋_GB2312" w:cs="仿宋_GB2312" w:eastAsia="仿宋_GB2312"/>
                <w:sz w:val="28"/>
                <w:color w:val="000000"/>
                <w:shd w:fill="FFFFFF" w:val="clear"/>
              </w:rPr>
              <w:t>97%</w:t>
            </w:r>
            <w:r>
              <w:rPr>
                <w:rFonts w:ascii="仿宋_GB2312" w:hAnsi="仿宋_GB2312" w:cs="仿宋_GB2312" w:eastAsia="仿宋_GB2312"/>
                <w:sz w:val="28"/>
                <w:color w:val="000000"/>
                <w:shd w:fill="FFFFFF" w:val="clear"/>
              </w:rPr>
              <w:t>，剩余</w:t>
            </w:r>
            <w:r>
              <w:rPr>
                <w:rFonts w:ascii="仿宋_GB2312" w:hAnsi="仿宋_GB2312" w:cs="仿宋_GB2312" w:eastAsia="仿宋_GB2312"/>
                <w:sz w:val="28"/>
                <w:color w:val="000000"/>
                <w:shd w:fill="FFFFFF" w:val="clear"/>
              </w:rPr>
              <w:t>3%</w:t>
            </w:r>
            <w:r>
              <w:rPr>
                <w:rFonts w:ascii="仿宋_GB2312" w:hAnsi="仿宋_GB2312" w:cs="仿宋_GB2312" w:eastAsia="仿宋_GB2312"/>
                <w:sz w:val="28"/>
                <w:color w:val="000000"/>
                <w:shd w:fill="FFFFFF" w:val="clear"/>
              </w:rPr>
              <w:t>待缺陷责任期满后一次性无息支付。</w:t>
            </w:r>
          </w:p>
          <w:p>
            <w:pPr>
              <w:pStyle w:val="null3"/>
              <w:spacing w:before="105" w:after="105"/>
              <w:jc w:val="both"/>
            </w:pPr>
            <w:r>
              <w:rPr>
                <w:rFonts w:ascii="仿宋_GB2312" w:hAnsi="仿宋_GB2312" w:cs="仿宋_GB2312" w:eastAsia="仿宋_GB2312"/>
                <w:sz w:val="28"/>
                <w:b/>
                <w:color w:val="000000"/>
                <w:shd w:fill="FFFFFF" w:val="clear"/>
              </w:rPr>
              <w:t>三、工程量清单和计价依据</w:t>
            </w:r>
          </w:p>
          <w:p>
            <w:pPr>
              <w:pStyle w:val="null3"/>
              <w:spacing w:before="105" w:after="105"/>
              <w:ind w:firstLine="560"/>
            </w:pPr>
            <w:r>
              <w:rPr>
                <w:rFonts w:ascii="仿宋_GB2312" w:hAnsi="仿宋_GB2312" w:cs="仿宋_GB2312" w:eastAsia="仿宋_GB2312"/>
                <w:sz w:val="28"/>
                <w:color w:val="000000"/>
                <w:shd w:fill="FFFFFF" w:val="clear"/>
              </w:rPr>
              <w:t>1.</w:t>
            </w:r>
            <w:r>
              <w:rPr>
                <w:rFonts w:ascii="仿宋_GB2312" w:hAnsi="仿宋_GB2312" w:cs="仿宋_GB2312" w:eastAsia="仿宋_GB2312"/>
                <w:sz w:val="28"/>
                <w:color w:val="000000"/>
                <w:shd w:fill="FFFFFF" w:val="clear"/>
              </w:rPr>
              <w:t>《农村环卫基础设施维修》施工图设计及答疑全部内容；</w:t>
            </w:r>
          </w:p>
          <w:p>
            <w:pPr>
              <w:pStyle w:val="null3"/>
              <w:spacing w:before="105" w:after="105"/>
              <w:ind w:firstLine="560"/>
            </w:pPr>
            <w:r>
              <w:rPr>
                <w:rFonts w:ascii="仿宋_GB2312" w:hAnsi="仿宋_GB2312" w:cs="仿宋_GB2312" w:eastAsia="仿宋_GB2312"/>
                <w:sz w:val="28"/>
                <w:color w:val="000000"/>
                <w:shd w:fill="FFFFFF" w:val="clear"/>
              </w:rPr>
              <w:t>2.</w:t>
            </w:r>
            <w:r>
              <w:rPr>
                <w:rFonts w:ascii="仿宋_GB2312" w:hAnsi="仿宋_GB2312" w:cs="仿宋_GB2312" w:eastAsia="仿宋_GB2312"/>
                <w:sz w:val="28"/>
                <w:color w:val="000000"/>
                <w:shd w:fill="FFFFFF" w:val="clear"/>
              </w:rPr>
              <w:t>依据《关于印发2025陕西省建设工程费用规则等计价依据的通知》（陕建管发〔2025〕10号）；</w:t>
            </w:r>
          </w:p>
          <w:p>
            <w:pPr>
              <w:pStyle w:val="null3"/>
              <w:spacing w:before="105" w:after="105"/>
              <w:ind w:firstLine="560"/>
            </w:pPr>
            <w:r>
              <w:rPr>
                <w:rFonts w:ascii="仿宋_GB2312" w:hAnsi="仿宋_GB2312" w:cs="仿宋_GB2312" w:eastAsia="仿宋_GB2312"/>
                <w:sz w:val="28"/>
                <w:color w:val="000000"/>
                <w:shd w:fill="FFFFFF" w:val="clear"/>
              </w:rPr>
              <w:t>3.</w:t>
            </w:r>
            <w:r>
              <w:rPr>
                <w:rFonts w:ascii="仿宋_GB2312" w:hAnsi="仿宋_GB2312" w:cs="仿宋_GB2312" w:eastAsia="仿宋_GB2312"/>
                <w:sz w:val="28"/>
                <w:color w:val="000000"/>
                <w:shd w:fill="FFFFFF" w:val="clear"/>
              </w:rPr>
              <w:t>依据陕西省工程建设标准《建设工程工程量清单计价标准》、《市政工程工程量计算标准》、《通用安装工程工程量计算标准》、《园林绿化工程工程量计算标准》（2025）；</w:t>
            </w:r>
          </w:p>
          <w:p>
            <w:pPr>
              <w:pStyle w:val="null3"/>
              <w:spacing w:before="105" w:after="105"/>
              <w:ind w:firstLine="560"/>
            </w:pPr>
            <w:r>
              <w:rPr>
                <w:rFonts w:ascii="仿宋_GB2312" w:hAnsi="仿宋_GB2312" w:cs="仿宋_GB2312" w:eastAsia="仿宋_GB2312"/>
                <w:sz w:val="28"/>
                <w:color w:val="000000"/>
                <w:shd w:fill="FFFFFF" w:val="clear"/>
              </w:rPr>
              <w:t>4.</w:t>
            </w:r>
            <w:r>
              <w:rPr>
                <w:rFonts w:ascii="仿宋_GB2312" w:hAnsi="仿宋_GB2312" w:cs="仿宋_GB2312" w:eastAsia="仿宋_GB2312"/>
                <w:sz w:val="28"/>
                <w:color w:val="000000"/>
                <w:shd w:fill="FFFFFF" w:val="clear"/>
              </w:rPr>
              <w:t>陕西省消耗量定额（2025），陕西省基价表2025，陕西省建设工程施工机械台班费用定额（2025），陕西省建设工程施工仪器仪表台班费用定额；</w:t>
            </w:r>
          </w:p>
          <w:p>
            <w:pPr>
              <w:pStyle w:val="null3"/>
              <w:spacing w:before="105" w:after="105"/>
              <w:ind w:firstLine="560"/>
            </w:pPr>
            <w:r>
              <w:rPr>
                <w:rFonts w:ascii="仿宋_GB2312" w:hAnsi="仿宋_GB2312" w:cs="仿宋_GB2312" w:eastAsia="仿宋_GB2312"/>
                <w:sz w:val="28"/>
                <w:color w:val="000000"/>
                <w:shd w:fill="FFFFFF" w:val="clear"/>
              </w:rPr>
              <w:t>5.</w:t>
            </w:r>
            <w:r>
              <w:rPr>
                <w:rFonts w:ascii="仿宋_GB2312" w:hAnsi="仿宋_GB2312" w:cs="仿宋_GB2312" w:eastAsia="仿宋_GB2312"/>
                <w:sz w:val="28"/>
                <w:color w:val="000000"/>
                <w:shd w:fill="FFFFFF" w:val="clear"/>
              </w:rPr>
              <w:t>陕西省住房城乡建设主管部门颁发的工程计价文件、建设工程费用规则；</w:t>
            </w:r>
          </w:p>
          <w:p>
            <w:pPr>
              <w:pStyle w:val="null3"/>
              <w:spacing w:before="105" w:after="105"/>
              <w:ind w:firstLine="560"/>
            </w:pPr>
            <w:r>
              <w:rPr>
                <w:rFonts w:ascii="仿宋_GB2312" w:hAnsi="仿宋_GB2312" w:cs="仿宋_GB2312" w:eastAsia="仿宋_GB2312"/>
                <w:sz w:val="28"/>
                <w:color w:val="000000"/>
                <w:shd w:fill="FFFFFF" w:val="clear"/>
              </w:rPr>
              <w:t>6.</w:t>
            </w:r>
            <w:r>
              <w:rPr>
                <w:rFonts w:ascii="仿宋_GB2312" w:hAnsi="仿宋_GB2312" w:cs="仿宋_GB2312" w:eastAsia="仿宋_GB2312"/>
                <w:sz w:val="28"/>
                <w:color w:val="000000"/>
                <w:shd w:fill="FFFFFF" w:val="clear"/>
              </w:rPr>
              <w:t>施工现场情况、工程特点及施工方案，现行国家和陕西省有关的标准、规范及技术资料；</w:t>
            </w:r>
          </w:p>
          <w:p>
            <w:pPr>
              <w:pStyle w:val="null3"/>
              <w:spacing w:before="105" w:after="105"/>
              <w:ind w:firstLine="560"/>
            </w:pPr>
            <w:r>
              <w:rPr>
                <w:rFonts w:ascii="仿宋_GB2312" w:hAnsi="仿宋_GB2312" w:cs="仿宋_GB2312" w:eastAsia="仿宋_GB2312"/>
                <w:sz w:val="28"/>
                <w:color w:val="000000"/>
                <w:shd w:fill="FFFFFF" w:val="clear"/>
              </w:rPr>
              <w:t>7.</w:t>
            </w:r>
            <w:r>
              <w:rPr>
                <w:rFonts w:ascii="仿宋_GB2312" w:hAnsi="仿宋_GB2312" w:cs="仿宋_GB2312" w:eastAsia="仿宋_GB2312"/>
                <w:sz w:val="28"/>
                <w:color w:val="000000"/>
                <w:shd w:fill="FFFFFF" w:val="clear"/>
              </w:rPr>
              <w:t>材料价参考蓝田县信息价2025年及当期市场价计入；</w:t>
            </w:r>
          </w:p>
          <w:p>
            <w:pPr>
              <w:pStyle w:val="null3"/>
              <w:spacing w:before="105" w:after="105"/>
              <w:ind w:firstLine="560"/>
            </w:pPr>
            <w:r>
              <w:rPr>
                <w:rFonts w:ascii="仿宋_GB2312" w:hAnsi="仿宋_GB2312" w:cs="仿宋_GB2312" w:eastAsia="仿宋_GB2312"/>
                <w:sz w:val="28"/>
                <w:color w:val="000000"/>
                <w:shd w:fill="FFFFFF" w:val="clear"/>
              </w:rPr>
              <w:t>8.</w:t>
            </w:r>
            <w:r>
              <w:rPr>
                <w:rFonts w:ascii="仿宋_GB2312" w:hAnsi="仿宋_GB2312" w:cs="仿宋_GB2312" w:eastAsia="仿宋_GB2312"/>
                <w:sz w:val="28"/>
                <w:color w:val="000000"/>
                <w:shd w:fill="FFFFFF" w:val="clear"/>
              </w:rPr>
              <w:t>其他相关资料。</w:t>
            </w:r>
          </w:p>
          <w:p>
            <w:pPr>
              <w:pStyle w:val="null3"/>
              <w:spacing w:before="105" w:after="105"/>
              <w:jc w:val="both"/>
            </w:pPr>
            <w:r>
              <w:rPr>
                <w:rFonts w:ascii="仿宋_GB2312" w:hAnsi="仿宋_GB2312" w:cs="仿宋_GB2312" w:eastAsia="仿宋_GB2312"/>
                <w:sz w:val="28"/>
                <w:b/>
                <w:color w:val="000000"/>
                <w:shd w:fill="FFFFFF" w:val="clear"/>
              </w:rPr>
              <w:t>四、编制使用软件</w:t>
            </w:r>
            <w:r>
              <w:rPr>
                <w:rFonts w:ascii="仿宋_GB2312" w:hAnsi="仿宋_GB2312" w:cs="仿宋_GB2312" w:eastAsia="仿宋_GB2312"/>
                <w:sz w:val="28"/>
                <w:b/>
                <w:color w:val="000000"/>
                <w:shd w:fill="FFFFFF" w:val="clear"/>
              </w:rPr>
              <w:t>及其他</w:t>
            </w:r>
          </w:p>
          <w:p>
            <w:pPr>
              <w:pStyle w:val="null3"/>
              <w:ind w:firstLine="560"/>
              <w:jc w:val="both"/>
            </w:pPr>
            <w:r>
              <w:rPr>
                <w:rFonts w:ascii="仿宋_GB2312" w:hAnsi="仿宋_GB2312" w:cs="仿宋_GB2312" w:eastAsia="仿宋_GB2312"/>
                <w:sz w:val="28"/>
                <w:color w:val="000000"/>
                <w:shd w:fill="FFFFFF" w:val="clear"/>
              </w:rPr>
              <w:t>1.</w:t>
            </w:r>
            <w:r>
              <w:rPr>
                <w:rFonts w:ascii="仿宋_GB2312" w:hAnsi="仿宋_GB2312" w:cs="仿宋_GB2312" w:eastAsia="仿宋_GB2312"/>
                <w:sz w:val="28"/>
                <w:color w:val="000000"/>
                <w:shd w:fill="FFFFFF" w:val="clear"/>
              </w:rPr>
              <w:t>广联达云计价平台GCCP7.0版本7.5000.23.2</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在施工期间，成交供应商必须注意人员安全，加强安全措施，并对施工人员进行安全教育。施工人员必须持证上岗。</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（1）根据供应商类别进行提供： ①如供应商是企业（包括合伙企业），应提供在工商部门注册的有效“企业法人营业执照”或“营业执照”； ②如供应商是事业单位，应提供有效的“事业单位法人证书”； ③如供应商是为企业专业服务机构的，应提供执业许可证等证明文件； ④如供应商是个体工商户，应提供有效的“个体工商户营业执照”； ⑤如供应商为自然人，应提供有效的自然人身份证明。 (2)提供2024年度经审计的财务报告（成立时间至提交响应文件截止时间不足一年的可提供成立后任意时段的资产负债表），或递交截止时间前6个月内银行出具的资信证明； (3)提供响应文件递交截止日前一年内已缴纳的至少一个月的纳税证明或完税证明，依法免税的单位应提供相关证明材料； (4)提供响应文件递交截止日前一年内已缴存的至少一个月的社会保障资金缴存单据或社保机构开具的社会保险参保缴费情况证明，依法不需要缴纳社会保障资金的单位应提供相关证明材料； (5)提供具有履行合同所必需的设备和专业技术能力的承诺； (6)参加政府采购活动前3年内，在经营活动中没有重大违法记录的书面声明。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提供2024年度经审计的财务报告（成立时间至提交响应文件截止时间不足一年的可提供成立后任意时段的资产负债表），或递交截止时间前6个月内银行出具的资信证明。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法定代表人身份证明书/法定代表人授权委托书</w:t>
            </w:r>
          </w:p>
        </w:tc>
        <w:tc>
          <w:tcPr>
            <w:tcW w:type="dxa" w:w="3322"/>
          </w:tcPr>
          <w:p>
            <w:pPr>
              <w:pStyle w:val="null3"/>
            </w:pPr>
            <w:r>
              <w:rPr>
                <w:rFonts w:ascii="仿宋_GB2312" w:hAnsi="仿宋_GB2312" w:cs="仿宋_GB2312" w:eastAsia="仿宋_GB2312"/>
              </w:rPr>
              <w:t>法定代表人授权书（法定代表人直接参加磋商，须提供法定代表人身份证明）。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供应商须具备行业主管部门颁发的建筑工程施工总承包三级及以上资质并具有有效的安全生产许可证。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项目经理资质要求</w:t>
            </w:r>
          </w:p>
        </w:tc>
        <w:tc>
          <w:tcPr>
            <w:tcW w:type="dxa" w:w="3322"/>
          </w:tcPr>
          <w:p>
            <w:pPr>
              <w:pStyle w:val="null3"/>
            </w:pPr>
            <w:r>
              <w:rPr>
                <w:rFonts w:ascii="仿宋_GB2312" w:hAnsi="仿宋_GB2312" w:cs="仿宋_GB2312" w:eastAsia="仿宋_GB2312"/>
              </w:rPr>
              <w:t>供应商拟派项目经理须具备行业主管部门颁发的建筑工程专业二级及以上建造师资质及有效的安全生产考核合格证书（建安B证），在本单位注册且无在建工程。</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信用信息查询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投标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供应商基本信息及项目经理基本信息查询</w:t>
            </w:r>
          </w:p>
        </w:tc>
        <w:tc>
          <w:tcPr>
            <w:tcW w:type="dxa" w:w="3322"/>
          </w:tcPr>
          <w:p>
            <w:pPr>
              <w:pStyle w:val="null3"/>
            </w:pPr>
            <w:r>
              <w:rPr>
                <w:rFonts w:ascii="仿宋_GB2312" w:hAnsi="仿宋_GB2312" w:cs="仿宋_GB2312" w:eastAsia="仿宋_GB2312"/>
              </w:rPr>
              <w:t>供应商及项目经理基本信息应在“陕西建设网（http://js.shaanxi.gov.cn/）或陕西省建筑市场监管与诚信信息发布平台”可查询。</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声明书</w:t>
            </w:r>
          </w:p>
        </w:tc>
        <w:tc>
          <w:tcPr>
            <w:tcW w:type="dxa" w:w="3322"/>
          </w:tcPr>
          <w:p>
            <w:pPr>
              <w:pStyle w:val="null3"/>
            </w:pPr>
            <w:r>
              <w:rPr>
                <w:rFonts w:ascii="仿宋_GB2312" w:hAnsi="仿宋_GB2312" w:cs="仿宋_GB2312" w:eastAsia="仿宋_GB2312"/>
              </w:rPr>
              <w:t>供应商不得在各级诚信信息平台被列为投标受限制的行为人。</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本项目专门面向中小企业采购，仅限符合《政府采购促进中小企业发展管理办法》的通知(财库〔2020〕46号)条件的中小企业参与，并提供中小企业声明函。</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已标价工程量清单.docx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只能有一个有效报价，不得提交选择性报价，按要求提交二次或多次报价，且每轮报价不超过采购预算金额或最高限价或磋商小组认为低于成本价的报价。</w:t>
            </w:r>
          </w:p>
        </w:tc>
        <w:tc>
          <w:tcPr>
            <w:tcW w:type="dxa" w:w="1661"/>
          </w:tcPr>
          <w:p>
            <w:pPr>
              <w:pStyle w:val="null3"/>
            </w:pPr>
            <w:r>
              <w:rPr>
                <w:rFonts w:ascii="仿宋_GB2312" w:hAnsi="仿宋_GB2312" w:cs="仿宋_GB2312" w:eastAsia="仿宋_GB2312"/>
              </w:rPr>
              <w:t>已标价工程量清单.docx 报价函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磋商响应文件内容符合磋商文件要求</w:t>
            </w:r>
          </w:p>
        </w:tc>
        <w:tc>
          <w:tcPr>
            <w:tcW w:type="dxa" w:w="1661"/>
          </w:tcPr>
          <w:p>
            <w:pPr>
              <w:pStyle w:val="null3"/>
            </w:pPr>
            <w:r>
              <w:rPr>
                <w:rFonts w:ascii="仿宋_GB2312" w:hAnsi="仿宋_GB2312" w:cs="仿宋_GB2312" w:eastAsia="仿宋_GB2312"/>
              </w:rPr>
              <w:t>已标价工程量清单.docx 中小企业声明函 技术服务合同条款及其他商务要求应答表 其他相关资料.docx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已标价工程量清单.docx 中小企业声明函 技术服务合同条款及其他商务要求应答表 其他相关资料.docx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已标价工程量清单.docx 中小企业声明函 技术服务合同条款及其他商务要求应答表 其他相关资料.docx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 磋商方案.docx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施工方案内容至少包括：①施工总平面布置图、施工进度表或施工网络图；②施工准备及进度安排;③施工方法；④重点难点工程分析及解决措施；⑤影响正常施工外在因素分析及对应预案等。 二、评审标准： 1、完善性：方案必须全面，对评审内容中的各项要求有详细阐述； 2、可实施性：切合本项目实际情况，提出步骤清晰、合理的方案； 3、针对性：方案能够紧扣项目实际情况，内容科学合理。 上述5项评审内容全部满足评审标准得15分，每有一个评审内容缺项扣3分，每有一项评审内容存在缺陷，扣0.5分，扣完为止，不计负分。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一、评审内容：内容至少包括①质量管理流程；②工程质量保障方案；③工程质量控制体系；④材料和构配件的质量控制等； 二、评审标准：1、完善性：方案必须全面，对评审内容中的各项要求有详细阐述；2、可实施性：切合本项目实际情况，提出步骤清晰、合理的方案；3、针对性：方案能够紧扣项目实际情况，内容科学合理。上述4项评审内容全部满足评审标准得8分，每有一个评审内容缺项扣2分，每有一项评审内容存在缺陷，扣0.5分，扣完为止，不计负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确保安全生产技术组织措施</w:t>
            </w:r>
          </w:p>
        </w:tc>
        <w:tc>
          <w:tcPr>
            <w:tcW w:type="dxa" w:w="2492"/>
          </w:tcPr>
          <w:p>
            <w:pPr>
              <w:pStyle w:val="null3"/>
            </w:pPr>
            <w:r>
              <w:rPr>
                <w:rFonts w:ascii="仿宋_GB2312" w:hAnsi="仿宋_GB2312" w:cs="仿宋_GB2312" w:eastAsia="仿宋_GB2312"/>
              </w:rPr>
              <w:t>一、评审内容：内容至少包括①安全生产管理制度；②配置安全组织机构；③安全隐患排查、整改制度；④应急救援方案等。 二、评审标准：1、完善性：方案必须全面，对评审内容中的各项要求有详细阐述；2、可实施性：切合本项目实际情况，提出步骤清晰、合理的方案；3、针对性：方案能够紧扣项目实际情况，内容科学合理。 上述4项评审内容全部满足评审标准得8分，每有一个评审内容缺项扣2分，每有一项评审内容存在缺陷，扣0.5分，扣完为止，不计负分。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确保文明施工及环境保护组织措施</w:t>
            </w:r>
          </w:p>
        </w:tc>
        <w:tc>
          <w:tcPr>
            <w:tcW w:type="dxa" w:w="2492"/>
          </w:tcPr>
          <w:p>
            <w:pPr>
              <w:pStyle w:val="null3"/>
            </w:pPr>
            <w:r>
              <w:rPr>
                <w:rFonts w:ascii="仿宋_GB2312" w:hAnsi="仿宋_GB2312" w:cs="仿宋_GB2312" w:eastAsia="仿宋_GB2312"/>
              </w:rPr>
              <w:t>一、评审内容：内容至少包括①文明施工及环境保护管理制度； ②防尘降噪措施；③节能减排措施；④治污减霾措施； 二、评审标准：1、完善性：方案必须全面，对评审内容中的各项要求有详细阐述；2、可实施性：切合本项目实际情况，提出步骤清晰、合理的方案；3、针对性：方案能够紧扣项目实际情况，内容科学合理。上述4项评审内容全部满足评审标准得8分，每有一个评审内容缺项扣2分，每有一项评审内容存在缺陷，扣0.5分，扣完为止，不计负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一、评审内容： 内容至少包括①施工进度安排；②工期目标控制和保证措施； ③材料供应措施； ④成品、半成品保护监管措施等。 二、评审标准：1、完善性：方案必须全面，对评审内容中的各项要求有详细阐述；2、可实施性：切合本项目实际情况，提出步骤清晰、合理的方案；3、针对性：方案能够紧扣项目实际情况，内容科学合理。 上述4项评审内容全部满足评审标准得8分，每有一个评审内容缺项扣2分，每有一项评审内容存在缺陷，扣0.5分，扣完为止，不计负分。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项目经理部组织机构</w:t>
            </w:r>
          </w:p>
        </w:tc>
        <w:tc>
          <w:tcPr>
            <w:tcW w:type="dxa" w:w="2492"/>
          </w:tcPr>
          <w:p>
            <w:pPr>
              <w:pStyle w:val="null3"/>
            </w:pPr>
            <w:r>
              <w:rPr>
                <w:rFonts w:ascii="仿宋_GB2312" w:hAnsi="仿宋_GB2312" w:cs="仿宋_GB2312" w:eastAsia="仿宋_GB2312"/>
              </w:rPr>
              <w:t>一、评审内容： 内容至少包括①项目成员配置清单及架构②项目组配备人员的专业素质③人员结构④服务响应时间； 二、评审标准：1、完善性：方案必须全面，对评审内容中的各项要求有详细阐述；2、可实施性：切合本项目实际情况，提出步骤清晰、合理的方案；3、针对性：方案能够紧扣项目实际情况，内容科学合理。 上述4项评审内容全部满足评审标准得8分，每有一个评审内容缺项扣2分，每有一项评审内容存在缺陷，扣0.5分，扣完为止，不计负分。（项目组配备人员须提供相关人员证书等）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施工机械配置和材料投入计划</w:t>
            </w:r>
          </w:p>
        </w:tc>
        <w:tc>
          <w:tcPr>
            <w:tcW w:type="dxa" w:w="2492"/>
          </w:tcPr>
          <w:p>
            <w:pPr>
              <w:pStyle w:val="null3"/>
            </w:pPr>
            <w:r>
              <w:rPr>
                <w:rFonts w:ascii="仿宋_GB2312" w:hAnsi="仿宋_GB2312" w:cs="仿宋_GB2312" w:eastAsia="仿宋_GB2312"/>
              </w:rPr>
              <w:t>一、评审内容： 内容至少包括①施工机械配置计划； ②施工材料投入计划；③施工机械的维护保养和材料的贮存；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上述3项评审内容全部满足评审标准得6分，每有一个评审内容缺项扣2分，每有一项评审内容存在缺陷，扣0.5分，扣完为止，不计负分。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一、评审内容：内容至少包括①劳动力投入计划②劳动力保障措施；二、评审标准： 1、完善性：方案必须全面，对评审内容中的各项要求有详细阐述；2、可实施性：切合本项目实际情况，提出步骤清晰、合理的方案；3、针对性：方案能够紧扣项目实际情况，内容科学合理。上述2项评审内容全部满足评审标准得4分，每有一个评审内容缺项扣2分，每有一项评审内容存在缺陷，扣0.5分，扣完为止，不计负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供应商提供2022年12月1日（以合同签订日期为准）至今的类似项目业绩，每提供一份得1分，最高得5分。(合同复印件加盖公章附在响应文件中，否则不作为评审依据）</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磋商方案.docx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1.经初审合格的磋商响应文件，其磋商报价为有效磋商报价，并对有效磋商报价进行政策性扣减，并依据扣减后的价格（评审价格）进行价格评审。 2.满足磋商文件实质性要求且最终报价最低的供应商的价格为磋商基准价，其价格分为满分30分。 3.磋商报价得分=（磋商基准价/磋商报价）×30的公式计算得分。 4.磋商报价不完整的，不进入磋商标准价的计算，本项得0分。 5.经评委一致认定，供应商的磋商最终总报价低于公认市场成本，或超过采购预算,其磋商响应将被拒绝。注：本项目已专门面向中小微企业，对小微企业、监狱企业、残疾人福利性单位不再给予价格扣除，供应商需如实填写《中小企业声明函》。</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已标价工程量清单.docx</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详见附件：磋商方案.docx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详见附件：其他相关资料.docx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详见附件：已标价工程量清单.docx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