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版本号：HBZB2025-14720251216001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蓝田县公安局2025年民警职工辅警及退休人员体检项目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HBZB2025-147</w:t>
      </w:r>
      <w:r>
        <w:br/>
      </w:r>
      <w:r>
        <w:br/>
      </w:r>
      <w:r>
        <w:br/>
      </w:r>
    </w:p>
    <w:p>
      <w:pPr>
        <w:pStyle w:val="null3"/>
        <w:jc w:val="center"/>
        <w:outlineLvl w:val="2"/>
      </w:pPr>
      <w:r>
        <w:rPr>
          <w:rFonts w:ascii="仿宋_GB2312" w:hAnsi="仿宋_GB2312" w:cs="仿宋_GB2312" w:eastAsia="仿宋_GB2312"/>
          <w:sz w:val="28"/>
          <w:b/>
        </w:rPr>
        <w:t>西安市蓝田县公安局（本级）</w:t>
      </w:r>
    </w:p>
    <w:p>
      <w:pPr>
        <w:pStyle w:val="null3"/>
        <w:jc w:val="center"/>
        <w:outlineLvl w:val="2"/>
      </w:pPr>
      <w:r>
        <w:rPr>
          <w:rFonts w:ascii="仿宋_GB2312" w:hAnsi="仿宋_GB2312" w:cs="仿宋_GB2312" w:eastAsia="仿宋_GB2312"/>
          <w:sz w:val="28"/>
          <w:b/>
        </w:rPr>
        <w:t>陕西华博项目管理有限公司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西安市蓝田县公安局（本级）</w:t>
      </w:r>
      <w:r>
        <w:rPr>
          <w:rFonts w:ascii="仿宋_GB2312" w:hAnsi="仿宋_GB2312" w:cs="仿宋_GB2312" w:eastAsia="仿宋_GB2312"/>
        </w:rPr>
        <w:t>委托，拟对</w:t>
      </w:r>
      <w:r>
        <w:rPr>
          <w:rFonts w:ascii="仿宋_GB2312" w:hAnsi="仿宋_GB2312" w:cs="仿宋_GB2312" w:eastAsia="仿宋_GB2312"/>
        </w:rPr>
        <w:t>蓝田县公安局2025年民警职工辅警及退休人员体检项目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HBZB2025-147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蓝田县公安局2025年民警职工辅警及退休人员体检项目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蓝田县公安局2025年民警职工辅警及退休人员体检项目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采购包1（蓝田县公安局2025年民警职工辅警及退休人员体检项目）：属于专门面向中小企业采购。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3、资质要求：供应商应具备有效的《医疗机构执业许可证》和《放射诊疗许可证》；</w:t>
      </w:r>
    </w:p>
    <w:p>
      <w:pPr>
        <w:pStyle w:val="null3"/>
      </w:pPr>
      <w:r>
        <w:rPr>
          <w:rFonts w:ascii="仿宋_GB2312" w:hAnsi="仿宋_GB2312" w:cs="仿宋_GB2312" w:eastAsia="仿宋_GB2312"/>
        </w:rPr>
        <w:t>4、法定代表人委托授权书/法定代表人身份证明：提供法定代表人授权书（附法定代表人身份证复印件）及被授权代理人身份证复印件（法定代表人直接参加只需提供法定代表人身份证复印件）;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5、财务状况：提供2024年度经会计师事务所签字盖章的完整财务审计报告（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6、税收缴纳证明：提供截止至开标时间前六个月内任意一个月的纳税证明或完税证明，纳税证明或完税证明上应有代收机构或税务机关的公章，依法免税的单位应提供相关证明材料；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7、社会保障资金缴纳证明：提供截止至开标时间前六个月内任意一个月的社保缴费凭据或社保机构开具的社会保险参保缴费情况证明，依法不需要缴纳社会保障资金的单位应提供相关证明材料；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8、无重大违法记录声明：参加政府采购活动前三年内，在经营活动中没有重大违法记录的书面声明;</w:t>
      </w:r>
    </w:p>
    <w:p>
      <w:pPr>
        <w:pStyle w:val="null3"/>
      </w:pPr>
      <w:r>
        <w:rPr>
          <w:rFonts w:ascii="仿宋_GB2312" w:hAnsi="仿宋_GB2312" w:cs="仿宋_GB2312" w:eastAsia="仿宋_GB2312"/>
        </w:rPr>
        <w:t>9、信用查询：供应商未被“信用中国”网站（www.creditchina.gov.cn）中列入失信被执行人和重大税收违法失信主体，在中国政府采购网（www.ccgp.gov.cn）政府采购严重违法失信行为记录名单中未被财政部门禁止参加政府采购活动的供应商;</w:t>
      </w:r>
    </w:p>
    <w:p>
      <w:pPr>
        <w:pStyle w:val="null3"/>
      </w:pPr>
      <w:r>
        <w:rPr>
          <w:rFonts w:ascii="仿宋_GB2312" w:hAnsi="仿宋_GB2312" w:cs="仿宋_GB2312" w:eastAsia="仿宋_GB2312"/>
        </w:rPr>
        <w:t>10、专业技术能力证明：提供具有履行合同所必需的设备和专业技术能力的书面声明；</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蓝田县孝泉路8号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西安市蓝田县公安局（本级）经办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13572867891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陕西省西安市市本级陕西省西安市经济技术开发区凤城十一路文景商务广场 C座5层30502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任向梅 曹军军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收取代理服务费代理服务费用收取对象：中标/成交供应商代理服务费收费标准：中标单位在领取中标通知书前，须向采购代理机构支付招标代理服务费，招标代理服务费由采购人与采购代理机构约定： 参照国家计委颁布《招标代理服务收费管理暂行办法》（计价格[2002]1980号）、（发改办价格[2003]857号）文件规定执行。 2、本项目中标服务费按服务计取。 3、中标单位的招标代理服务费交纳信息 开户名称：陕西华博项目管理有限公司 开户银行：中国建设银行股份有限公司西安高新技术产业开发区支行 银行账号：61050192090000003265 转账事由：HBZB2025-147项目代理服务费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西安市蓝田县公安局（本级）</w:t>
      </w:r>
      <w:r>
        <w:rPr>
          <w:rFonts w:ascii="仿宋_GB2312" w:hAnsi="仿宋_GB2312" w:cs="仿宋_GB2312" w:eastAsia="仿宋_GB2312"/>
        </w:rPr>
        <w:t>和</w:t>
      </w:r>
      <w:r>
        <w:rPr>
          <w:rFonts w:ascii="仿宋_GB2312" w:hAnsi="仿宋_GB2312" w:cs="仿宋_GB2312" w:eastAsia="仿宋_GB2312"/>
        </w:rPr>
        <w:t>陕西华博项目管理有限公司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联系人：任向梅 曹军军</w:t>
      </w:r>
    </w:p>
    <w:p>
      <w:pPr>
        <w:pStyle w:val="null3"/>
      </w:pPr>
      <w:r>
        <w:rPr>
          <w:rFonts w:ascii="仿宋_GB2312" w:hAnsi="仿宋_GB2312" w:cs="仿宋_GB2312" w:eastAsia="仿宋_GB2312"/>
        </w:rPr>
        <w:t>联系电话：029-86100880</w:t>
      </w:r>
    </w:p>
    <w:p>
      <w:pPr>
        <w:pStyle w:val="null3"/>
      </w:pPr>
      <w:r>
        <w:rPr>
          <w:rFonts w:ascii="仿宋_GB2312" w:hAnsi="仿宋_GB2312" w:cs="仿宋_GB2312" w:eastAsia="仿宋_GB2312"/>
        </w:rPr>
        <w:t>地址：陕西省西安市经开区凤城十一路文景商务广场C座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蓝田县公安局2025年民警职工辅警及退休人员体检项目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638,600.00</w:t>
      </w:r>
    </w:p>
    <w:p>
      <w:pPr>
        <w:pStyle w:val="null3"/>
      </w:pPr>
      <w:r>
        <w:rPr>
          <w:rFonts w:ascii="仿宋_GB2312" w:hAnsi="仿宋_GB2312" w:cs="仿宋_GB2312" w:eastAsia="仿宋_GB2312"/>
        </w:rPr>
        <w:t>采购包最高限价（元）: 638,600.00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638600.00</w:t>
            </w:r>
          </w:p>
        </w:tc>
        <w:tc>
          <w:tcPr>
            <w:tcW w:type="dxa" w:w="831"/>
          </w:tcPr>
          <w:p>
            <w:pPr>
              <w:pStyle w:val="null3"/>
              <w:jc w:val="right"/>
            </w:pPr>
            <w:r>
              <w:rPr>
                <w:rFonts w:ascii="仿宋_GB2312" w:hAnsi="仿宋_GB2312" w:cs="仿宋_GB2312" w:eastAsia="仿宋_GB2312"/>
              </w:rPr>
              <w:t>638,600.00</w:t>
            </w:r>
          </w:p>
        </w:tc>
        <w:tc>
          <w:tcPr>
            <w:tcW w:type="dxa" w:w="831"/>
          </w:tcPr>
          <w:p>
            <w:pPr>
              <w:pStyle w:val="null3"/>
              <w:jc w:val="right"/>
            </w:pPr>
            <w:r>
              <w:rPr>
                <w:rFonts w:ascii="仿宋_GB2312" w:hAnsi="仿宋_GB2312" w:cs="仿宋_GB2312" w:eastAsia="仿宋_GB2312"/>
              </w:rPr>
              <w:t>638,600.00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标的名称：638600.00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638</w:t>
            </w:r>
            <w:r>
              <w:rPr>
                <w:rFonts w:ascii="仿宋_GB2312" w:hAnsi="仿宋_GB2312" w:cs="仿宋_GB2312" w:eastAsia="仿宋_GB2312"/>
              </w:rPr>
              <w:t>,</w:t>
            </w:r>
            <w:r>
              <w:rPr>
                <w:rFonts w:ascii="仿宋_GB2312" w:hAnsi="仿宋_GB2312" w:cs="仿宋_GB2312" w:eastAsia="仿宋_GB2312"/>
              </w:rPr>
              <w:t>60</w:t>
            </w:r>
            <w:r>
              <w:rPr>
                <w:rFonts w:ascii="仿宋_GB2312" w:hAnsi="仿宋_GB2312" w:cs="仿宋_GB2312" w:eastAsia="仿宋_GB2312"/>
              </w:rPr>
              <w:t>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638</w:t>
            </w:r>
            <w:r>
              <w:rPr>
                <w:rFonts w:ascii="仿宋_GB2312" w:hAnsi="仿宋_GB2312" w:cs="仿宋_GB2312" w:eastAsia="仿宋_GB2312"/>
              </w:rPr>
              <w:t>,</w:t>
            </w:r>
            <w:r>
              <w:rPr>
                <w:rFonts w:ascii="仿宋_GB2312" w:hAnsi="仿宋_GB2312" w:cs="仿宋_GB2312" w:eastAsia="仿宋_GB2312"/>
              </w:rPr>
              <w:t>60</w:t>
            </w:r>
            <w:r>
              <w:rPr>
                <w:rFonts w:ascii="仿宋_GB2312" w:hAnsi="仿宋_GB2312" w:cs="仿宋_GB2312" w:eastAsia="仿宋_GB2312"/>
              </w:rPr>
              <w:t>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55"/>
              <w:gridCol w:w="255"/>
              <w:gridCol w:w="255"/>
              <w:gridCol w:w="255"/>
              <w:gridCol w:w="255"/>
              <w:gridCol w:w="255"/>
              <w:gridCol w:w="255"/>
              <w:gridCol w:w="255"/>
              <w:gridCol w:w="255"/>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蓝田县公安局</w:t>
                  </w:r>
                  <w:r>
                    <w:rPr>
                      <w:rFonts w:ascii="仿宋_GB2312" w:hAnsi="仿宋_GB2312" w:cs="仿宋_GB2312" w:eastAsia="仿宋_GB2312"/>
                      <w:sz w:val="19"/>
                    </w:rPr>
                    <w:t>2025年民警职工辅警及退休人员体检项目</w:t>
                  </w:r>
                </w:p>
                <w:p>
                  <w:pPr>
                    <w:pStyle w:val="null3"/>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638</w:t>
                  </w:r>
                  <w:r>
                    <w:rPr>
                      <w:rFonts w:ascii="仿宋_GB2312" w:hAnsi="仿宋_GB2312" w:cs="仿宋_GB2312" w:eastAsia="仿宋_GB2312"/>
                      <w:sz w:val="19"/>
                    </w:rPr>
                    <w:t>,</w:t>
                  </w:r>
                  <w:r>
                    <w:rPr>
                      <w:rFonts w:ascii="仿宋_GB2312" w:hAnsi="仿宋_GB2312" w:cs="仿宋_GB2312" w:eastAsia="仿宋_GB2312"/>
                      <w:sz w:val="19"/>
                    </w:rPr>
                    <w:t>60</w:t>
                  </w:r>
                  <w:r>
                    <w:rPr>
                      <w:rFonts w:ascii="仿宋_GB2312" w:hAnsi="仿宋_GB2312" w:cs="仿宋_GB2312" w:eastAsia="仿宋_GB2312"/>
                      <w:sz w:val="19"/>
                    </w:rPr>
                    <w:t>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其他未列明行业</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color w:val="C00000"/>
              </w:rPr>
              <w:t>标的名称：</w:t>
            </w:r>
            <w:r>
              <w:rPr>
                <w:rFonts w:ascii="仿宋_GB2312" w:hAnsi="仿宋_GB2312" w:cs="仿宋_GB2312" w:eastAsia="仿宋_GB2312"/>
                <w:color w:val="C00000"/>
              </w:rPr>
              <w:t>蓝田县公安局</w:t>
            </w:r>
            <w:r>
              <w:rPr>
                <w:rFonts w:ascii="仿宋_GB2312" w:hAnsi="仿宋_GB2312" w:cs="仿宋_GB2312" w:eastAsia="仿宋_GB2312"/>
                <w:color w:val="C00000"/>
              </w:rPr>
              <w:t>2025年民警职工辅警及退休人员体检项目</w:t>
            </w:r>
          </w:p>
          <w:tbl>
            <w:tblPr>
              <w:tblBorders>
                <w:top w:val="none" w:color="000000" w:sz="4"/>
                <w:left w:val="none" w:color="000000" w:sz="4"/>
                <w:bottom w:val="none" w:color="000000" w:sz="4"/>
                <w:right w:val="none" w:color="000000" w:sz="4"/>
                <w:insideH w:val="none"/>
                <w:insideV w:val="none"/>
              </w:tblBorders>
            </w:tblPr>
            <w:tblGrid>
              <w:gridCol w:w="181"/>
              <w:gridCol w:w="203"/>
              <w:gridCol w:w="2164"/>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C00000"/>
                    </w:rPr>
                    <w:t xml:space="preserve"> </w:t>
                  </w:r>
                  <w:r>
                    <w:rPr>
                      <w:rFonts w:ascii="仿宋_GB2312" w:hAnsi="仿宋_GB2312" w:cs="仿宋_GB2312" w:eastAsia="仿宋_GB2312"/>
                      <w:sz w:val="19"/>
                      <w:color w:val="C00000"/>
                    </w:rPr>
                    <w:t>序号</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C00000"/>
                    </w:rPr>
                    <w:t xml:space="preserve"> </w:t>
                  </w:r>
                  <w:r>
                    <w:rPr>
                      <w:rFonts w:ascii="仿宋_GB2312" w:hAnsi="仿宋_GB2312" w:cs="仿宋_GB2312" w:eastAsia="仿宋_GB2312"/>
                      <w:sz w:val="19"/>
                      <w:color w:val="C00000"/>
                    </w:rPr>
                    <w:t>参数性质</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C00000"/>
                    </w:rPr>
                    <w:t xml:space="preserve"> </w:t>
                  </w:r>
                  <w:r>
                    <w:rPr>
                      <w:rFonts w:ascii="仿宋_GB2312" w:hAnsi="仿宋_GB2312" w:cs="仿宋_GB2312" w:eastAsia="仿宋_GB2312"/>
                      <w:sz w:val="19"/>
                      <w:color w:val="C00000"/>
                    </w:rPr>
                    <w:t>技术参数与性能指标</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C00000"/>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一、项目名称：</w:t>
                  </w:r>
                  <w:r>
                    <w:rPr>
                      <w:rFonts w:ascii="仿宋_GB2312" w:hAnsi="仿宋_GB2312" w:cs="仿宋_GB2312" w:eastAsia="仿宋_GB2312"/>
                      <w:sz w:val="24"/>
                    </w:rPr>
                    <w:t>蓝田县公安局</w:t>
                  </w:r>
                  <w:r>
                    <w:rPr>
                      <w:rFonts w:ascii="仿宋_GB2312" w:hAnsi="仿宋_GB2312" w:cs="仿宋_GB2312" w:eastAsia="仿宋_GB2312"/>
                      <w:sz w:val="24"/>
                    </w:rPr>
                    <w:t>2025年民警职工辅警及退休人员体检项目</w:t>
                  </w:r>
                </w:p>
                <w:p>
                  <w:pPr>
                    <w:pStyle w:val="null3"/>
                    <w:jc w:val="both"/>
                  </w:pPr>
                  <w:r>
                    <w:rPr>
                      <w:rFonts w:ascii="仿宋_GB2312" w:hAnsi="仿宋_GB2312" w:cs="仿宋_GB2312" w:eastAsia="仿宋_GB2312"/>
                      <w:sz w:val="24"/>
                    </w:rPr>
                    <w:t>二、采购预算：</w:t>
                  </w:r>
                  <w:r>
                    <w:rPr>
                      <w:rFonts w:ascii="仿宋_GB2312" w:hAnsi="仿宋_GB2312" w:cs="仿宋_GB2312" w:eastAsia="仿宋_GB2312"/>
                      <w:sz w:val="24"/>
                    </w:rPr>
                    <w:t>638600.00元</w:t>
                  </w:r>
                </w:p>
                <w:p>
                  <w:pPr>
                    <w:pStyle w:val="null3"/>
                    <w:jc w:val="left"/>
                  </w:pPr>
                  <w:r>
                    <w:rPr>
                      <w:rFonts w:ascii="仿宋_GB2312" w:hAnsi="仿宋_GB2312" w:cs="仿宋_GB2312" w:eastAsia="仿宋_GB2312"/>
                      <w:sz w:val="24"/>
                    </w:rPr>
                    <w:t>三、采购需求：体检按时间共分三阶段执行。第一阶段</w:t>
                  </w:r>
                  <w:r>
                    <w:rPr>
                      <w:rFonts w:ascii="仿宋_GB2312" w:hAnsi="仿宋_GB2312" w:cs="仿宋_GB2312" w:eastAsia="仿宋_GB2312"/>
                      <w:sz w:val="24"/>
                    </w:rPr>
                    <w:t xml:space="preserve">:民警职工体检 </w:t>
                  </w:r>
                  <w:r>
                    <w:rPr>
                      <w:rFonts w:ascii="仿宋_GB2312" w:hAnsi="仿宋_GB2312" w:cs="仿宋_GB2312" w:eastAsia="仿宋_GB2312"/>
                      <w:sz w:val="24"/>
                    </w:rPr>
                    <w:t>514</w:t>
                  </w:r>
                  <w:r>
                    <w:rPr>
                      <w:rFonts w:ascii="仿宋_GB2312" w:hAnsi="仿宋_GB2312" w:cs="仿宋_GB2312" w:eastAsia="仿宋_GB2312"/>
                      <w:sz w:val="24"/>
                    </w:rPr>
                    <w:t xml:space="preserve"> </w:t>
                  </w:r>
                  <w:r>
                    <w:rPr>
                      <w:rFonts w:ascii="仿宋_GB2312" w:hAnsi="仿宋_GB2312" w:cs="仿宋_GB2312" w:eastAsia="仿宋_GB2312"/>
                      <w:sz w:val="24"/>
                    </w:rPr>
                    <w:t>人，体检项目计划</w:t>
                  </w:r>
                  <w:r>
                    <w:rPr>
                      <w:rFonts w:ascii="仿宋_GB2312" w:hAnsi="仿宋_GB2312" w:cs="仿宋_GB2312" w:eastAsia="仿宋_GB2312"/>
                      <w:sz w:val="24"/>
                    </w:rPr>
                    <w:t>31</w:t>
                  </w:r>
                  <w:r>
                    <w:rPr>
                      <w:rFonts w:ascii="仿宋_GB2312" w:hAnsi="仿宋_GB2312" w:cs="仿宋_GB2312" w:eastAsia="仿宋_GB2312"/>
                      <w:sz w:val="24"/>
                    </w:rPr>
                    <w:t>项</w:t>
                  </w:r>
                  <w:r>
                    <w:rPr>
                      <w:rFonts w:ascii="仿宋_GB2312" w:hAnsi="仿宋_GB2312" w:cs="仿宋_GB2312" w:eastAsia="仿宋_GB2312"/>
                      <w:sz w:val="24"/>
                    </w:rPr>
                    <w:t>;第二阶段:辅警体检 3</w:t>
                  </w:r>
                  <w:r>
                    <w:rPr>
                      <w:rFonts w:ascii="仿宋_GB2312" w:hAnsi="仿宋_GB2312" w:cs="仿宋_GB2312" w:eastAsia="仿宋_GB2312"/>
                      <w:sz w:val="24"/>
                    </w:rPr>
                    <w:t>15</w:t>
                  </w:r>
                  <w:r>
                    <w:rPr>
                      <w:rFonts w:ascii="仿宋_GB2312" w:hAnsi="仿宋_GB2312" w:cs="仿宋_GB2312" w:eastAsia="仿宋_GB2312"/>
                      <w:sz w:val="24"/>
                    </w:rPr>
                    <w:t xml:space="preserve"> </w:t>
                  </w:r>
                  <w:r>
                    <w:rPr>
                      <w:rFonts w:ascii="仿宋_GB2312" w:hAnsi="仿宋_GB2312" w:cs="仿宋_GB2312" w:eastAsia="仿宋_GB2312"/>
                      <w:sz w:val="24"/>
                    </w:rPr>
                    <w:t>人，体检项目计划</w:t>
                  </w:r>
                  <w:r>
                    <w:rPr>
                      <w:rFonts w:ascii="仿宋_GB2312" w:hAnsi="仿宋_GB2312" w:cs="仿宋_GB2312" w:eastAsia="仿宋_GB2312"/>
                      <w:sz w:val="24"/>
                    </w:rPr>
                    <w:t>28</w:t>
                  </w:r>
                  <w:r>
                    <w:rPr>
                      <w:rFonts w:ascii="仿宋_GB2312" w:hAnsi="仿宋_GB2312" w:cs="仿宋_GB2312" w:eastAsia="仿宋_GB2312"/>
                      <w:sz w:val="24"/>
                    </w:rPr>
                    <w:t xml:space="preserve"> </w:t>
                  </w:r>
                  <w:r>
                    <w:rPr>
                      <w:rFonts w:ascii="仿宋_GB2312" w:hAnsi="仿宋_GB2312" w:cs="仿宋_GB2312" w:eastAsia="仿宋_GB2312"/>
                      <w:sz w:val="24"/>
                    </w:rPr>
                    <w:t>项</w:t>
                  </w:r>
                  <w:r>
                    <w:rPr>
                      <w:rFonts w:ascii="仿宋_GB2312" w:hAnsi="仿宋_GB2312" w:cs="仿宋_GB2312" w:eastAsia="仿宋_GB2312"/>
                      <w:sz w:val="24"/>
                    </w:rPr>
                    <w:t>;第三阶段:离退休人员体检1</w:t>
                  </w:r>
                  <w:r>
                    <w:rPr>
                      <w:rFonts w:ascii="仿宋_GB2312" w:hAnsi="仿宋_GB2312" w:cs="仿宋_GB2312" w:eastAsia="仿宋_GB2312"/>
                      <w:sz w:val="24"/>
                    </w:rPr>
                    <w:t>18</w:t>
                  </w:r>
                  <w:r>
                    <w:rPr>
                      <w:rFonts w:ascii="仿宋_GB2312" w:hAnsi="仿宋_GB2312" w:cs="仿宋_GB2312" w:eastAsia="仿宋_GB2312"/>
                      <w:sz w:val="24"/>
                    </w:rPr>
                    <w:t>人，体检项目计划</w:t>
                  </w:r>
                  <w:r>
                    <w:rPr>
                      <w:rFonts w:ascii="仿宋_GB2312" w:hAnsi="仿宋_GB2312" w:cs="仿宋_GB2312" w:eastAsia="仿宋_GB2312"/>
                      <w:sz w:val="24"/>
                    </w:rPr>
                    <w:t>28</w:t>
                  </w:r>
                  <w:r>
                    <w:rPr>
                      <w:rFonts w:ascii="仿宋_GB2312" w:hAnsi="仿宋_GB2312" w:cs="仿宋_GB2312" w:eastAsia="仿宋_GB2312"/>
                      <w:sz w:val="24"/>
                    </w:rPr>
                    <w:t>项</w:t>
                  </w:r>
                  <w:r>
                    <w:rPr>
                      <w:rFonts w:ascii="仿宋_GB2312" w:hAnsi="仿宋_GB2312" w:cs="仿宋_GB2312" w:eastAsia="仿宋_GB2312"/>
                      <w:sz w:val="24"/>
                    </w:rPr>
                    <w:t>;所有人员早餐及往来车辆由体检机构提供。</w:t>
                  </w:r>
                </w:p>
                <w:p>
                  <w:pPr>
                    <w:pStyle w:val="null3"/>
                    <w:jc w:val="both"/>
                  </w:pPr>
                  <w:r>
                    <w:rPr>
                      <w:rFonts w:ascii="仿宋_GB2312" w:hAnsi="仿宋_GB2312" w:cs="仿宋_GB2312" w:eastAsia="仿宋_GB2312"/>
                      <w:sz w:val="24"/>
                    </w:rPr>
                    <w:t>四、服务内容：</w:t>
                  </w:r>
                  <w:r>
                    <w:rPr>
                      <w:rFonts w:ascii="仿宋_GB2312" w:hAnsi="仿宋_GB2312" w:cs="仿宋_GB2312" w:eastAsia="仿宋_GB2312"/>
                      <w:sz w:val="24"/>
                    </w:rPr>
                    <w:t>蓝田县公安局</w:t>
                  </w:r>
                  <w:r>
                    <w:rPr>
                      <w:rFonts w:ascii="仿宋_GB2312" w:hAnsi="仿宋_GB2312" w:cs="仿宋_GB2312" w:eastAsia="仿宋_GB2312"/>
                      <w:sz w:val="24"/>
                    </w:rPr>
                    <w:t>2025年民警职工辅警及退休人员体检项目</w:t>
                  </w:r>
                  <w:r>
                    <w:rPr>
                      <w:rFonts w:ascii="仿宋_GB2312" w:hAnsi="仿宋_GB2312" w:cs="仿宋_GB2312" w:eastAsia="仿宋_GB2312"/>
                      <w:sz w:val="24"/>
                    </w:rPr>
                    <w:t>（民警职工体检、辅警体检、</w:t>
                  </w:r>
                  <w:r>
                    <w:rPr>
                      <w:rFonts w:ascii="仿宋_GB2312" w:hAnsi="仿宋_GB2312" w:cs="仿宋_GB2312" w:eastAsia="仿宋_GB2312"/>
                      <w:sz w:val="24"/>
                    </w:rPr>
                    <w:t>离职退休人员体检）</w:t>
                  </w:r>
                </w:p>
                <w:p>
                  <w:pPr>
                    <w:pStyle w:val="null3"/>
                    <w:jc w:val="both"/>
                  </w:pPr>
                  <w:r>
                    <w:rPr>
                      <w:rFonts w:ascii="仿宋_GB2312" w:hAnsi="仿宋_GB2312" w:cs="仿宋_GB2312" w:eastAsia="仿宋_GB2312"/>
                      <w:sz w:val="24"/>
                    </w:rPr>
                    <w:t>五、服务标准</w:t>
                  </w:r>
                  <w:r>
                    <w:rPr>
                      <w:rFonts w:ascii="仿宋_GB2312" w:hAnsi="仿宋_GB2312" w:cs="仿宋_GB2312" w:eastAsia="仿宋_GB2312"/>
                      <w:sz w:val="19"/>
                    </w:rPr>
                    <w:t xml:space="preserve">  </w:t>
                  </w:r>
                </w:p>
                <w:p>
                  <w:pPr>
                    <w:pStyle w:val="null3"/>
                    <w:ind w:firstLine="480"/>
                    <w:jc w:val="both"/>
                  </w:pPr>
                  <w:r>
                    <w:rPr>
                      <w:rFonts w:ascii="仿宋_GB2312" w:hAnsi="仿宋_GB2312" w:cs="仿宋_GB2312" w:eastAsia="仿宋_GB2312"/>
                      <w:sz w:val="24"/>
                    </w:rPr>
                    <w:t>质量标准：符合国家相关标准、行业标准。</w:t>
                  </w:r>
                </w:p>
                <w:p>
                  <w:pPr>
                    <w:pStyle w:val="null3"/>
                    <w:jc w:val="both"/>
                  </w:pPr>
                  <w:r>
                    <w:rPr>
                      <w:rFonts w:ascii="仿宋_GB2312" w:hAnsi="仿宋_GB2312" w:cs="仿宋_GB2312" w:eastAsia="仿宋_GB2312"/>
                      <w:sz w:val="24"/>
                    </w:rPr>
                    <w:t>六、服务期限：</w:t>
                  </w:r>
                  <w:r>
                    <w:rPr>
                      <w:rFonts w:ascii="仿宋_GB2312" w:hAnsi="仿宋_GB2312" w:cs="仿宋_GB2312" w:eastAsia="仿宋_GB2312"/>
                      <w:sz w:val="24"/>
                    </w:rPr>
                    <w:t>自合同签订之日起</w:t>
                  </w:r>
                  <w:r>
                    <w:rPr>
                      <w:rFonts w:ascii="仿宋_GB2312" w:hAnsi="仿宋_GB2312" w:cs="仿宋_GB2312" w:eastAsia="仿宋_GB2312"/>
                      <w:sz w:val="24"/>
                    </w:rPr>
                    <w:t>365日</w:t>
                  </w:r>
                </w:p>
                <w:p>
                  <w:pPr>
                    <w:pStyle w:val="null3"/>
                    <w:jc w:val="both"/>
                  </w:pPr>
                  <w:r>
                    <w:rPr>
                      <w:rFonts w:ascii="仿宋_GB2312" w:hAnsi="仿宋_GB2312" w:cs="仿宋_GB2312" w:eastAsia="仿宋_GB2312"/>
                      <w:sz w:val="24"/>
                    </w:rPr>
                    <w:t>本次体检项目根据各个年龄段身体状况的不同，除一般内外科常规检查及肝功、透视、心电图外，针对公安行业特点增加部分特例检查项目。</w:t>
                  </w:r>
                </w:p>
                <w:tbl>
                  <w:tblPr>
                    <w:tblInd w:type="dxa" w:w="90"/>
                    <w:tblBorders>
                      <w:top w:val="none" w:color="000000" w:sz="4"/>
                      <w:left w:val="none" w:color="000000" w:sz="4"/>
                      <w:bottom w:val="none" w:color="000000" w:sz="4"/>
                      <w:right w:val="none" w:color="000000" w:sz="4"/>
                      <w:insideH w:val="none"/>
                      <w:insideV w:val="none"/>
                    </w:tblBorders>
                  </w:tblPr>
                  <w:tblGrid>
                    <w:gridCol w:w="172"/>
                    <w:gridCol w:w="285"/>
                    <w:gridCol w:w="516"/>
                    <w:gridCol w:w="209"/>
                    <w:gridCol w:w="201"/>
                    <w:gridCol w:w="167"/>
                    <w:gridCol w:w="16"/>
                    <w:gridCol w:w="193"/>
                    <w:gridCol w:w="184"/>
                  </w:tblGrid>
                  <w:tr>
                    <w:tc>
                      <w:tcPr>
                        <w:tcW w:type="dxa" w:w="1943"/>
                        <w:gridSpan w:val="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8"/>
                            <w:b/>
                            <w:color w:val="000000"/>
                          </w:rPr>
                          <w:t>蓝田县公安局</w:t>
                        </w:r>
                        <w:r>
                          <w:rPr>
                            <w:rFonts w:ascii="仿宋_GB2312" w:hAnsi="仿宋_GB2312" w:cs="仿宋_GB2312" w:eastAsia="仿宋_GB2312"/>
                            <w:sz w:val="28"/>
                            <w:b/>
                            <w:color w:val="000000"/>
                          </w:rPr>
                          <w:t>202</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年度辅警</w:t>
                        </w:r>
                        <w:r>
                          <w:rPr>
                            <w:rFonts w:ascii="仿宋_GB2312" w:hAnsi="仿宋_GB2312" w:cs="仿宋_GB2312" w:eastAsia="仿宋_GB2312"/>
                            <w:sz w:val="28"/>
                            <w:b/>
                            <w:color w:val="000000"/>
                          </w:rPr>
                          <w:t>及退休人员</w:t>
                        </w:r>
                        <w:r>
                          <w:rPr>
                            <w:rFonts w:ascii="仿宋_GB2312" w:hAnsi="仿宋_GB2312" w:cs="仿宋_GB2312" w:eastAsia="仿宋_GB2312"/>
                            <w:sz w:val="28"/>
                            <w:b/>
                            <w:color w:val="000000"/>
                          </w:rPr>
                          <w:t>体检项目</w:t>
                        </w:r>
                      </w:p>
                      <w:p>
                        <w:pPr>
                          <w:pStyle w:val="null3"/>
                          <w:jc w:val="center"/>
                        </w:pPr>
                        <w:r>
                          <w:rPr>
                            <w:rFonts w:ascii="仿宋_GB2312" w:hAnsi="仿宋_GB2312" w:cs="仿宋_GB2312" w:eastAsia="仿宋_GB2312"/>
                            <w:sz w:val="28"/>
                            <w:b/>
                            <w:color w:val="000000"/>
                          </w:rPr>
                          <w:t>（退休人数</w:t>
                        </w:r>
                        <w:r>
                          <w:rPr>
                            <w:rFonts w:ascii="仿宋_GB2312" w:hAnsi="仿宋_GB2312" w:cs="仿宋_GB2312" w:eastAsia="仿宋_GB2312"/>
                            <w:sz w:val="28"/>
                            <w:b/>
                            <w:color w:val="000000"/>
                          </w:rPr>
                          <w:t>118人，辅警315人）</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序号</w:t>
                        </w:r>
                      </w:p>
                    </w:tc>
                    <w:tc>
                      <w:tcPr>
                        <w:tcW w:type="dxa" w:w="28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项目</w:t>
                        </w:r>
                      </w:p>
                    </w:tc>
                    <w:tc>
                      <w:tcPr>
                        <w:tcW w:type="dxa" w:w="51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项目意义</w:t>
                        </w:r>
                      </w:p>
                    </w:tc>
                    <w:tc>
                      <w:tcPr>
                        <w:tcW w:type="dxa" w:w="209"/>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退休男</w:t>
                        </w:r>
                      </w:p>
                    </w:tc>
                    <w:tc>
                      <w:tcPr>
                        <w:tcW w:type="dxa" w:w="201"/>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退休女</w:t>
                        </w:r>
                      </w:p>
                    </w:tc>
                    <w:tc>
                      <w:tcPr>
                        <w:tcW w:type="dxa" w:w="183"/>
                        <w:gridSpan w:val="2"/>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辅警男</w:t>
                        </w:r>
                      </w:p>
                    </w:tc>
                    <w:tc>
                      <w:tcPr>
                        <w:tcW w:type="dxa" w:w="193"/>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辅警女</w:t>
                        </w:r>
                      </w:p>
                    </w:tc>
                    <w:tc>
                      <w:tcPr>
                        <w:tcW w:type="dxa" w:w="184"/>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未婚女</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一般检查</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通过仪器检测人体基本健康指标。例如：血压是否正常，有无体重偏低、超重或肥胖。</w:t>
                        </w:r>
                      </w:p>
                    </w:tc>
                    <w:tc>
                      <w:tcPr>
                        <w:tcW w:type="dxa" w:w="20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3"/>
                        <w:gridSpan w:val="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9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内科</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通过视、触、叩、听体格检查方法，检查心、肺、肝、脾等重要脏器及神经系统基本状况，发现内部常见疾病的重要症状，或初步排除常见疾病。</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3"/>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3</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外科</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通过体格检查方法，检查男性外科系统（皮肤、甲状腺、骨关节、肛肠、前列腺、外生殖器等）重要脏器基本情况，发现常见外科疾病的重要征兆，或初步排除外科常见疾病。</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3"/>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4</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眼科常规</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通过临床检测视功能是否正常，发现或初步排除一些常见视力等问题。</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5</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心电图</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6</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腹部彩超</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对人体腹部内脏器官（肝、胆、脾、胰、双肾）的状况和各种病变（如肿瘤、结石、积水、脂肪肝等）提供高清晰度的彩色动态超声断层图像判断，依病灶周围血管情况、病灶内血流血供情况</w:t>
                        </w:r>
                        <w:r>
                          <w:rPr>
                            <w:rFonts w:ascii="仿宋_GB2312" w:hAnsi="仿宋_GB2312" w:cs="仿宋_GB2312" w:eastAsia="仿宋_GB2312"/>
                            <w:sz w:val="18"/>
                            <w:color w:val="000000"/>
                          </w:rPr>
                          <w:t>-良恶性病变鉴别；判断肾动脉狭窄等。</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7</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男性彩超</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在膀胱充盈时通过彩色超声仪器检查。更清晰地观察前列腺大小、形态、结构等情况，判断有无前列腺增大、囊肿、结石，恶性病变等。</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8</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女盆腔彩超</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在膀胱充盈时通过彩色超声仪器检查。更清晰地观察子宫及附件（卵巢、输卵管）大小、形态结构及内部回声的情况，鉴别正常和异常，了解病变的性质，判别有无恶性病变，以便尽早处置。</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9</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乳腺彩超</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通过彩色超声仪器检查乳腺，发现乳腺增生、肿物、结节、囊肿、腺瘤、乳腺癌等病变。</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10</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甲状腺彩超</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通过彩色超声仪器更清晰地观察甲状腺肿物、结节、肿大、炎症；可发现甲状腺肿。甲状腺囊肿、甲状腺炎、甲状腺瘤、甲状腺癌等疾病。</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11</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颈部血管彩超</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通过彩色超声仪器采用无创性检查方法，检测颈动脉结构和动脉粥样硬化斑块形成、范围、性质、动脉狭窄程度等；早期发现动脉血管病变，为有效预防和减少冠心病、缺血性脑血管病等心脑血管疾病发病提供客观的血流动力学依据。</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12</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血常规</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通过血常规检查发现血液方面的问题，评价骨髓功能，有助于临床急慢性感染，病毒性疾病的判断；有助于了解有无贫血及贫血分类；有助于出血性疾病的诊断等。</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13</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尿常规</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通过尿常规检查，对泌尿系统疾病的诊断、疗效观察有重要意义。尿糖检查是作为糖尿病筛查和病情判断的指标。并可观察一些全身性疾病的异常表现。以显微镜观察尿沉淀物，发现细胞、管型、结晶、细菌、寄生虫等病理成分，对泌尿系统疾病作定为及鉴别诊断、预后判断。</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14</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乙肝五项定量测定</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能更准确地评价是否感染乙肝病毒和目前处于一种什么样的状态，同时可以了解对乙肝是否有免疫力、有无传染性、是否需要进一步深入检查及治疗。</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15</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肝功五项</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主要存在于肝胆、心脑、肾组织细胞内，肝细胞损伤越大检测值就越高。急慢性肝炎、脂肪肝、肝硬化、肝癌、胆管炎等疾病均可引起转氨酶的升高。</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16</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肾功三项</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用于肾功能评价，测定肾功能损害程度及评估预后；血尿酸增高对高尿酸血症、痛风有诊断意义。</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17</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血脂四项</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监测血脂四项可以了解脂肪代谢情况，是判断心脑血管疾病及其预后的重要指标。</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18</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空腹血糖</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评价人体空腹状态下糖代谢是否正常，评估糖尿病患者空腹血糖控制是否达标。空腹血糖是诊断糖代谢紊乱的最常用和最重要指标。</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19</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幽门螺旋杆菌（</w:t>
                        </w:r>
                        <w:r>
                          <w:rPr>
                            <w:rFonts w:ascii="仿宋_GB2312" w:hAnsi="仿宋_GB2312" w:cs="仿宋_GB2312" w:eastAsia="仿宋_GB2312"/>
                            <w:sz w:val="18"/>
                            <w:color w:val="000000"/>
                          </w:rPr>
                          <w:t>C14）</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阳性提示感染幽门螺杆菌，它与胃、十二指肠溃疡、胃部炎症、胃癌的发生密切关联。</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20</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甲胎蛋白</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对原发性肝癌的诊断、疗效观察和预后有重要的临床意义。在卵巢、胃、胰腺癌、睾丸癌等肿瘤及肝炎、肝硬化等疾病也有异常发现。</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21</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癌胚抗原</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系光谱性肿瘤标志物，对大肠癌、胰腺癌的筛查、疗效观察和预后评估有重要的临床意义。在胃、乳腺、肺癌等也可升高。</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18"/>
                            <w:b/>
                            <w:color w:val="000000"/>
                          </w:rPr>
                          <w:t>22</w:t>
                        </w:r>
                      </w:p>
                      <w:p>
                        <w:pPr>
                          <w:pStyle w:val="null3"/>
                          <w:jc w:val="center"/>
                        </w:pP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DR胸片</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23</w:t>
                        </w:r>
                      </w:p>
                    </w:tc>
                    <w:tc>
                      <w:tcPr>
                        <w:tcW w:type="dxa" w:w="285"/>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CT四选一</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头颅</w:t>
                        </w:r>
                      </w:p>
                      <w:p>
                        <w:pPr>
                          <w:pStyle w:val="null3"/>
                          <w:jc w:val="left"/>
                        </w:pPr>
                        <w:r>
                          <w:rPr>
                            <w:rFonts w:ascii="仿宋_GB2312" w:hAnsi="仿宋_GB2312" w:cs="仿宋_GB2312" w:eastAsia="仿宋_GB2312"/>
                            <w:sz w:val="18"/>
                            <w:color w:val="000000"/>
                          </w:rPr>
                          <w:t>了解大脑基本情况，对各种原因所致的脑出血、脑损伤、肿瘤、脓肿、梗塞、积水、萎缩、肉芽肿等。</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r>
                  <w:tr>
                    <w:tc>
                      <w:tcPr>
                        <w:tcW w:type="dxa" w:w="172"/>
                        <w:vMerge/>
                        <w:tcBorders>
                          <w:top w:val="none" w:color="000000" w:sz="4"/>
                          <w:left w:val="single" w:color="000000" w:sz="4"/>
                          <w:bottom w:val="none" w:color="000000" w:sz="4"/>
                          <w:right w:val="single" w:color="000000" w:sz="4"/>
                        </w:tcBorders>
                      </w:tcPr>
                      <w:p/>
                    </w:tc>
                    <w:tc>
                      <w:tcPr>
                        <w:tcW w:type="dxa" w:w="285"/>
                        <w:vMerge/>
                        <w:tcBorders>
                          <w:top w:val="none" w:color="000000" w:sz="4"/>
                          <w:left w:val="none" w:color="000000" w:sz="4"/>
                          <w:bottom w:val="none" w:color="000000" w:sz="4"/>
                          <w:right w:val="single" w:color="000000" w:sz="4"/>
                        </w:tcBorders>
                      </w:tcP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胸部</w:t>
                        </w:r>
                      </w:p>
                      <w:p>
                        <w:pPr>
                          <w:pStyle w:val="null3"/>
                          <w:jc w:val="left"/>
                        </w:pPr>
                        <w:r>
                          <w:rPr>
                            <w:rFonts w:ascii="仿宋_GB2312" w:hAnsi="仿宋_GB2312" w:cs="仿宋_GB2312" w:eastAsia="仿宋_GB2312"/>
                            <w:sz w:val="18"/>
                            <w:color w:val="000000"/>
                          </w:rPr>
                          <w:t>检查肺、气管、支气管、纵膈、胸膜、胸壁等部位的炎症，扩张、狭窄、阻塞、肥厚、淋巴结肿大、占位性病变等。</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r>
                  <w:tr>
                    <w:tc>
                      <w:tcPr>
                        <w:tcW w:type="dxa" w:w="172"/>
                        <w:vMerge/>
                        <w:tcBorders>
                          <w:top w:val="none" w:color="000000" w:sz="4"/>
                          <w:left w:val="single" w:color="000000" w:sz="4"/>
                          <w:bottom w:val="none" w:color="000000" w:sz="4"/>
                          <w:right w:val="single" w:color="000000" w:sz="4"/>
                        </w:tcBorders>
                      </w:tcPr>
                      <w:p/>
                    </w:tc>
                    <w:tc>
                      <w:tcPr>
                        <w:tcW w:type="dxa" w:w="285"/>
                        <w:vMerge/>
                        <w:tcBorders>
                          <w:top w:val="none" w:color="000000" w:sz="4"/>
                          <w:left w:val="none" w:color="000000" w:sz="4"/>
                          <w:bottom w:val="none" w:color="000000" w:sz="4"/>
                          <w:right w:val="single" w:color="000000" w:sz="4"/>
                        </w:tcBorders>
                      </w:tcP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颈椎</w:t>
                        </w:r>
                      </w:p>
                      <w:p>
                        <w:pPr>
                          <w:pStyle w:val="null3"/>
                          <w:jc w:val="left"/>
                        </w:pPr>
                        <w:r>
                          <w:rPr>
                            <w:rFonts w:ascii="仿宋_GB2312" w:hAnsi="仿宋_GB2312" w:cs="仿宋_GB2312" w:eastAsia="仿宋_GB2312"/>
                            <w:sz w:val="18"/>
                            <w:color w:val="000000"/>
                          </w:rPr>
                          <w:t>对颈椎间盘突出、骨折、椎管狭窄、骨质增生、脱位、先天异常、占位病变等有确诊意义。</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r>
                  <w:tr>
                    <w:tc>
                      <w:tcPr>
                        <w:tcW w:type="dxa" w:w="172"/>
                        <w:vMerge/>
                        <w:tcBorders>
                          <w:top w:val="none" w:color="000000" w:sz="4"/>
                          <w:left w:val="single" w:color="000000" w:sz="4"/>
                          <w:bottom w:val="none" w:color="000000" w:sz="4"/>
                          <w:right w:val="single" w:color="000000" w:sz="4"/>
                        </w:tcBorders>
                      </w:tcPr>
                      <w:p/>
                    </w:tc>
                    <w:tc>
                      <w:tcPr>
                        <w:tcW w:type="dxa" w:w="285"/>
                        <w:vMerge/>
                        <w:tcBorders>
                          <w:top w:val="none" w:color="000000" w:sz="4"/>
                          <w:left w:val="none" w:color="000000" w:sz="4"/>
                          <w:bottom w:val="none" w:color="000000" w:sz="4"/>
                          <w:right w:val="single" w:color="000000" w:sz="4"/>
                        </w:tcBorders>
                      </w:tcP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腰椎</w:t>
                        </w:r>
                      </w:p>
                      <w:p>
                        <w:pPr>
                          <w:pStyle w:val="null3"/>
                          <w:jc w:val="left"/>
                        </w:pPr>
                        <w:r>
                          <w:rPr>
                            <w:rFonts w:ascii="仿宋_GB2312" w:hAnsi="仿宋_GB2312" w:cs="仿宋_GB2312" w:eastAsia="仿宋_GB2312"/>
                            <w:sz w:val="18"/>
                            <w:color w:val="000000"/>
                          </w:rPr>
                          <w:t>对腰椎间盘突出、骨折、椎管狭窄、骨质增生、脱位、先天异常、占位病变等有确诊意义。</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24</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妇科常规检查</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通过各种检查了解女性生殖系统有无异常，以发现可能存在的各种炎症、肿瘤等病变。</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25</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白带常规</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用于检查阴道内有无滴虫、念珠菌，同时还可以确定阴道清洁度，是筛查阴道炎的有效手段。</w:t>
                        </w: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26</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早餐</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27</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体检报告</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28</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咨询</w:t>
                        </w:r>
                        <w:r>
                          <w:rPr>
                            <w:rFonts w:ascii="仿宋_GB2312" w:hAnsi="仿宋_GB2312" w:cs="仿宋_GB2312" w:eastAsia="仿宋_GB2312"/>
                            <w:sz w:val="18"/>
                            <w:color w:val="000000"/>
                          </w:rPr>
                          <w:t>/报告讲解</w:t>
                        </w:r>
                      </w:p>
                    </w:tc>
                    <w:tc>
                      <w:tcPr>
                        <w:tcW w:type="dxa" w:w="51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9"/>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1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bl>
                <w:tbl>
                  <w:tblPr>
                    <w:tblBorders>
                      <w:top w:val="none" w:color="000000" w:sz="4"/>
                      <w:left w:val="none" w:color="000000" w:sz="4"/>
                      <w:bottom w:val="none" w:color="000000" w:sz="4"/>
                      <w:right w:val="none" w:color="000000" w:sz="4"/>
                      <w:insideH w:val="none"/>
                      <w:insideV w:val="none"/>
                    </w:tblBorders>
                  </w:tblPr>
                  <w:tblGrid>
                    <w:gridCol w:w="179"/>
                    <w:gridCol w:w="255"/>
                    <w:gridCol w:w="451"/>
                    <w:gridCol w:w="191"/>
                    <w:gridCol w:w="227"/>
                    <w:gridCol w:w="215"/>
                    <w:gridCol w:w="207"/>
                    <w:gridCol w:w="207"/>
                  </w:tblGrid>
                  <w:tr>
                    <w:tc>
                      <w:tcPr>
                        <w:tcW w:type="dxa" w:w="1932"/>
                        <w:gridSpan w:val="8"/>
                        <w:tcBorders>
                          <w:top w:val="singl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28"/>
                            <w:b/>
                            <w:color w:val="000000"/>
                          </w:rPr>
                          <w:t>蓝田县公安局</w:t>
                        </w:r>
                        <w:r>
                          <w:rPr>
                            <w:rFonts w:ascii="仿宋_GB2312" w:hAnsi="仿宋_GB2312" w:cs="仿宋_GB2312" w:eastAsia="仿宋_GB2312"/>
                            <w:sz w:val="28"/>
                            <w:b/>
                            <w:color w:val="000000"/>
                          </w:rPr>
                          <w:t>2025年民警职工人员体检项目</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序号</w:t>
                        </w:r>
                      </w:p>
                    </w:tc>
                    <w:tc>
                      <w:tcPr>
                        <w:tcW w:type="dxa" w:w="25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项目</w:t>
                        </w:r>
                      </w:p>
                    </w:tc>
                    <w:tc>
                      <w:tcPr>
                        <w:tcW w:type="dxa" w:w="45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项目意义</w:t>
                        </w:r>
                      </w:p>
                    </w:tc>
                    <w:tc>
                      <w:tcPr>
                        <w:tcW w:type="dxa" w:w="19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领导男</w:t>
                        </w:r>
                      </w:p>
                      <w:p>
                        <w:pPr>
                          <w:pStyle w:val="null3"/>
                          <w:jc w:val="center"/>
                        </w:pPr>
                        <w:r>
                          <w:rPr>
                            <w:rFonts w:ascii="仿宋_GB2312" w:hAnsi="仿宋_GB2312" w:cs="仿宋_GB2312" w:eastAsia="仿宋_GB2312"/>
                            <w:sz w:val="18"/>
                            <w:b/>
                          </w:rPr>
                          <w:t>10</w:t>
                        </w:r>
                        <w:r>
                          <w:rPr>
                            <w:rFonts w:ascii="仿宋_GB2312" w:hAnsi="仿宋_GB2312" w:cs="仿宋_GB2312" w:eastAsia="仿宋_GB2312"/>
                            <w:sz w:val="18"/>
                            <w:b/>
                          </w:rPr>
                          <w:t>人</w:t>
                        </w:r>
                      </w:p>
                    </w:tc>
                    <w:tc>
                      <w:tcPr>
                        <w:tcW w:type="dxa" w:w="22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35岁（含）以上男</w:t>
                        </w:r>
                      </w:p>
                      <w:p>
                        <w:pPr>
                          <w:pStyle w:val="null3"/>
                          <w:jc w:val="center"/>
                        </w:pPr>
                        <w:r>
                          <w:rPr>
                            <w:rFonts w:ascii="仿宋_GB2312" w:hAnsi="仿宋_GB2312" w:cs="仿宋_GB2312" w:eastAsia="仿宋_GB2312"/>
                            <w:sz w:val="18"/>
                            <w:b/>
                          </w:rPr>
                          <w:t>330</w:t>
                        </w:r>
                        <w:r>
                          <w:rPr>
                            <w:rFonts w:ascii="仿宋_GB2312" w:hAnsi="仿宋_GB2312" w:cs="仿宋_GB2312" w:eastAsia="仿宋_GB2312"/>
                            <w:sz w:val="18"/>
                            <w:b/>
                          </w:rPr>
                          <w:t>人</w:t>
                        </w:r>
                      </w:p>
                    </w:tc>
                    <w:tc>
                      <w:tcPr>
                        <w:tcW w:type="dxa" w:w="21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35</w:t>
                        </w:r>
                        <w:r>
                          <w:rPr>
                            <w:rFonts w:ascii="仿宋_GB2312" w:hAnsi="仿宋_GB2312" w:cs="仿宋_GB2312" w:eastAsia="仿宋_GB2312"/>
                            <w:sz w:val="18"/>
                            <w:b/>
                          </w:rPr>
                          <w:t>岁</w:t>
                        </w:r>
                        <w:r>
                          <w:rPr>
                            <w:rFonts w:ascii="仿宋_GB2312" w:hAnsi="仿宋_GB2312" w:cs="仿宋_GB2312" w:eastAsia="仿宋_GB2312"/>
                            <w:sz w:val="18"/>
                            <w:b/>
                          </w:rPr>
                          <w:t>以下男</w:t>
                        </w:r>
                        <w:r>
                          <w:rPr>
                            <w:rFonts w:ascii="仿宋_GB2312" w:hAnsi="仿宋_GB2312" w:cs="仿宋_GB2312" w:eastAsia="仿宋_GB2312"/>
                            <w:sz w:val="18"/>
                            <w:b/>
                          </w:rPr>
                          <w:t>124</w:t>
                        </w:r>
                        <w:r>
                          <w:rPr>
                            <w:rFonts w:ascii="仿宋_GB2312" w:hAnsi="仿宋_GB2312" w:cs="仿宋_GB2312" w:eastAsia="仿宋_GB2312"/>
                            <w:sz w:val="18"/>
                            <w:b/>
                          </w:rPr>
                          <w:t>人</w:t>
                        </w:r>
                      </w:p>
                    </w:tc>
                    <w:tc>
                      <w:tcPr>
                        <w:tcW w:type="dxa" w:w="20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35岁（含）以上女37</w:t>
                        </w:r>
                        <w:r>
                          <w:rPr>
                            <w:rFonts w:ascii="仿宋_GB2312" w:hAnsi="仿宋_GB2312" w:cs="仿宋_GB2312" w:eastAsia="仿宋_GB2312"/>
                            <w:sz w:val="18"/>
                            <w:b/>
                          </w:rPr>
                          <w:t>人</w:t>
                        </w:r>
                      </w:p>
                    </w:tc>
                    <w:tc>
                      <w:tcPr>
                        <w:tcW w:type="dxa" w:w="20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35岁以下女</w:t>
                        </w:r>
                      </w:p>
                      <w:p>
                        <w:pPr>
                          <w:pStyle w:val="null3"/>
                          <w:jc w:val="center"/>
                        </w:pPr>
                        <w:r>
                          <w:rPr>
                            <w:rFonts w:ascii="仿宋_GB2312" w:hAnsi="仿宋_GB2312" w:cs="仿宋_GB2312" w:eastAsia="仿宋_GB2312"/>
                            <w:sz w:val="18"/>
                            <w:b/>
                          </w:rPr>
                          <w:t>13人</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一般检查</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通过仪器检测人体基本健康指标。例如：血压是否正常，有无体重偏低、超重或肥胖。</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内科</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通过视、触、叩、听体格检查方法，检查心、肺、肝、脾等重要脏器及神经系统基本状况，发现内部常见疾病的重要症状，或初步排除常见疾病。</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3</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外科</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通过体格检查方法，检查男性外科系统（皮肤、甲状腺、骨关节、肛肠、前列腺、外生殖器等）重要脏器基本情况，发现常见外科疾病的重要征兆，或初步排除外科常见疾病。</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4</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眼科常规</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通过临床检测视功能是否正常，发现或初步排除一些常见视力等问题。</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5</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快速动态心电图</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近年出现的心脏诊断临床手段，能够在体检过程中持续动态监测心脏的隐性心律失常疾病，如房颤房扑、早搏、二联律三联律及各种可能导致猝死风险的恶性心律失常，可以有效解决普通心电图佩戴跟踪时间严重不足的短板，能够极大程度提升心律失常泪心血管病的检出率。</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6</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人工智能视网膜检测</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进行眼底视网膜照相，运用先进的人工智能技术，分析视网膜状况，检查视网膜的血管和神经元，评估全身血管的健康状况；发现视盘、黄斑、血管特征性改变，识别糖网（</w:t>
                        </w:r>
                        <w:r>
                          <w:rPr>
                            <w:rFonts w:ascii="仿宋_GB2312" w:hAnsi="仿宋_GB2312" w:cs="仿宋_GB2312" w:eastAsia="仿宋_GB2312"/>
                            <w:sz w:val="18"/>
                          </w:rPr>
                          <w:t>DR</w:t>
                        </w:r>
                        <w:r>
                          <w:rPr>
                            <w:rFonts w:ascii="仿宋_GB2312" w:hAnsi="仿宋_GB2312" w:cs="仿宋_GB2312" w:eastAsia="仿宋_GB2312"/>
                            <w:sz w:val="18"/>
                          </w:rPr>
                          <w:t>）、年龄相关性黄斑变性（</w:t>
                        </w:r>
                        <w:r>
                          <w:rPr>
                            <w:rFonts w:ascii="仿宋_GB2312" w:hAnsi="仿宋_GB2312" w:cs="仿宋_GB2312" w:eastAsia="仿宋_GB2312"/>
                            <w:sz w:val="18"/>
                          </w:rPr>
                          <w:t>AMD</w:t>
                        </w:r>
                        <w:r>
                          <w:rPr>
                            <w:rFonts w:ascii="仿宋_GB2312" w:hAnsi="仿宋_GB2312" w:cs="仿宋_GB2312" w:eastAsia="仿宋_GB2312"/>
                            <w:sz w:val="18"/>
                          </w:rPr>
                          <w:t>）、动脉硬化、青光眼、病理性近视等不可逆致盲性疾病。这些疾病早期可能无症状，但视力损伤后不可逆，有重要检查价值。同时运用大数据，分析预测中长期全身慢病的风险，进行早期预警和提示。</w:t>
                        </w:r>
                        <w:r>
                          <w:rPr>
                            <w:rFonts w:ascii="仿宋_GB2312" w:hAnsi="仿宋_GB2312" w:cs="仿宋_GB2312" w:eastAsia="仿宋_GB2312"/>
                            <w:sz w:val="18"/>
                          </w:rPr>
                          <w:t>AI</w:t>
                        </w:r>
                        <w:r>
                          <w:rPr>
                            <w:rFonts w:ascii="仿宋_GB2312" w:hAnsi="仿宋_GB2312" w:cs="仿宋_GB2312" w:eastAsia="仿宋_GB2312"/>
                            <w:sz w:val="18"/>
                          </w:rPr>
                          <w:t>量化分析，运用人工智能技术对慢病在视网膜的损伤程度做出量化分析，有助于持续检测对比。</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7</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腹部彩超</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对人体腹部内脏器官（肝、胆、脾、胰、双肾）的状况和各种病变（如肿瘤、结石、积水、脂肪肝等）提供高清晰度的彩色动态超声断层图像判断，依病灶周围血管情况、病灶内血流血供情况</w:t>
                        </w:r>
                        <w:r>
                          <w:rPr>
                            <w:rFonts w:ascii="仿宋_GB2312" w:hAnsi="仿宋_GB2312" w:cs="仿宋_GB2312" w:eastAsia="仿宋_GB2312"/>
                            <w:sz w:val="18"/>
                          </w:rPr>
                          <w:t>-</w:t>
                        </w:r>
                        <w:r>
                          <w:rPr>
                            <w:rFonts w:ascii="仿宋_GB2312" w:hAnsi="仿宋_GB2312" w:cs="仿宋_GB2312" w:eastAsia="仿宋_GB2312"/>
                            <w:sz w:val="18"/>
                          </w:rPr>
                          <w:t>良恶性病变鉴别；判断肾动脉狭窄等。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8</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男性彩超</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在膀胱充盈时通过彩色超声仪器检查。更清晰地观察前列腺大小、形态、结构等情况，判断有无前列腺增大、囊肿、结石，恶性病变等。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9</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女盆腔彩超</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在膀胱充盈时通过彩色超声仪器检查。更清晰地观察子宫及附件（卵巢、输卵管）大小、形态结构及内部回声的情况，鉴别正常和异常，了解病变的性质，判别有无恶性病变，以便尽早处置。</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10</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乳腺彩超</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通过彩色超声仪器检查乳腺，发现乳腺增生、肿物、结节、囊肿、腺瘤、乳腺癌等病变。</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11</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甲状腺彩超</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通过彩色超声仪器更清晰地观察甲状腺肿物、结节、肿大、炎症；可发现甲状腺肿。甲状腺囊肿、甲状腺炎、甲状腺瘤、甲状腺癌等疾病。</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12</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颈部血管彩超</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彩色超声仪器采用无创性检查方法，检测颈动脉结构和动脉粥样硬化斑块形成、范围、性质、动脉狭窄程度等；早期发现动脉血管病变，为有效预防和减少冠心病、缺血性脑血管病等心脑血管疾病发病提供客观的血流动力学依据。</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13</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血常规</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通过血常规检查发现血液方面的问题，评价骨髓功能，有助于临床急慢性感染，病毒性疾病的判断；有助于了解有无贫血及贫血分类；有助于出血性疾病的诊断等。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14</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尿常规</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尿常规检查，对泌尿系统疾病的诊断、疗效观察有重要意义。尿糖检查是作为糖尿病筛查和病情判断的指标。并可观察一些全身性疾病的异常表现。以显微镜观察尿沉淀物，发现细胞、管型、结晶、细菌、寄生虫等病理成分，对泌尿系统疾病作定为及鉴别诊断、预后判断。</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15</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乙肝五项定量测定</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能更准确地评价是否感染乙肝病毒和目前处于一种什么样的状态，同时可以了解对乙肝是否有免疫力、有无传染性、是否需要进一步深入检查及治疗。</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16</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肝功五项</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主要存在于肝胆、心脑、肾组织细胞内，肝细胞损伤越大检测值就越高。急慢性肝炎、脂肪肝、肝硬化、肝癌、胆管炎等疾病均可引起转氨酶的升高。</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17</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肾功三项</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用于肾功能评价，测定肾功能损害程度及评估预后；血尿酸增高对高尿酸血症、痛风有诊断意义。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18</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血脂四项</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监测血脂四项可以了解脂肪代谢情况，是判断心脑血管疾病及其预后的重要指标。</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19</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糖化血红蛋白</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检测</w:t>
                        </w:r>
                        <w:r>
                          <w:rPr>
                            <w:rFonts w:ascii="仿宋_GB2312" w:hAnsi="仿宋_GB2312" w:cs="仿宋_GB2312" w:eastAsia="仿宋_GB2312"/>
                            <w:sz w:val="18"/>
                          </w:rPr>
                          <w:t>HbAlc</w:t>
                        </w:r>
                        <w:r>
                          <w:rPr>
                            <w:rFonts w:ascii="仿宋_GB2312" w:hAnsi="仿宋_GB2312" w:cs="仿宋_GB2312" w:eastAsia="仿宋_GB2312"/>
                            <w:sz w:val="18"/>
                          </w:rPr>
                          <w:t>对高血糖、尤在血糖和尿糖波动较大时有特殊诊断意义；反映近</w:t>
                        </w:r>
                        <w:r>
                          <w:rPr>
                            <w:rFonts w:ascii="仿宋_GB2312" w:hAnsi="仿宋_GB2312" w:cs="仿宋_GB2312" w:eastAsia="仿宋_GB2312"/>
                            <w:sz w:val="18"/>
                          </w:rPr>
                          <w:t>2-3</w:t>
                        </w:r>
                        <w:r>
                          <w:rPr>
                            <w:rFonts w:ascii="仿宋_GB2312" w:hAnsi="仿宋_GB2312" w:cs="仿宋_GB2312" w:eastAsia="仿宋_GB2312"/>
                            <w:sz w:val="18"/>
                          </w:rPr>
                          <w:t>个月的平均血糖水平；用于筛查糖尿病、预测血管并发症、鉴别高血糖原因，评价糖尿病控制程度。</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20</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空腹血糖</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评价人体空腹状态下糖代谢是否正常，评估糖尿病患者空腹血糖控制是否达标。空腹血糖是诊断糖代谢紊乱的最常用和最重要指标。</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21</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血栓弹力图</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本品用于评估人凝血及纤溶系统的功能，结合凝血功能及血小板等项目对提示血栓和出血的相关风险有重要意义。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22</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幽门螺旋杆菌（</w:t>
                        </w:r>
                        <w:r>
                          <w:rPr>
                            <w:rFonts w:ascii="仿宋_GB2312" w:hAnsi="仿宋_GB2312" w:cs="仿宋_GB2312" w:eastAsia="仿宋_GB2312"/>
                            <w:sz w:val="18"/>
                            <w:color w:val="000000"/>
                          </w:rPr>
                          <w:t>C14）</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阳性提示感染幽门螺杆菌，它与胃、十二指肠溃疡、胃部炎症、胃癌的发生密切关联。</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23</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甲胎蛋白</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对原发性肝癌的诊断、疗效观察和预后有重要的临床意义。在卵巢、胃、胰腺癌、睾丸癌等肿瘤及肝炎、肝硬化等疾病也有异常发现。</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24</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癌胚抗原</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系光谱性肿瘤标志物，对大肠癌、胰腺癌的筛查、疗效观察和预后评估有重要的临床意义。在胃、乳腺、肺癌等也可升高。</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vMerge w:val="restart"/>
                        <w:tcBorders>
                          <w:top w:val="none" w:color="000000" w:sz="4"/>
                          <w:left w:val="single" w:color="000000" w:sz="4"/>
                          <w:bottom w:val="non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25</w:t>
                        </w:r>
                      </w:p>
                      <w:p>
                        <w:pPr>
                          <w:pStyle w:val="null3"/>
                          <w:jc w:val="center"/>
                        </w:pPr>
                      </w:p>
                    </w:tc>
                    <w:tc>
                      <w:tcPr>
                        <w:tcW w:type="dxa" w:w="255"/>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CT</w:t>
                        </w:r>
                        <w:r>
                          <w:rPr>
                            <w:rFonts w:ascii="仿宋_GB2312" w:hAnsi="仿宋_GB2312" w:cs="仿宋_GB2312" w:eastAsia="仿宋_GB2312"/>
                            <w:sz w:val="18"/>
                          </w:rPr>
                          <w:t>四选一</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头颅</w:t>
                        </w:r>
                      </w:p>
                      <w:p>
                        <w:pPr>
                          <w:pStyle w:val="null3"/>
                          <w:jc w:val="left"/>
                        </w:pPr>
                        <w:r>
                          <w:rPr>
                            <w:rFonts w:ascii="仿宋_GB2312" w:hAnsi="仿宋_GB2312" w:cs="仿宋_GB2312" w:eastAsia="仿宋_GB2312"/>
                            <w:sz w:val="18"/>
                            <w:color w:val="000000"/>
                          </w:rPr>
                          <w:t>了解大脑基本情况，对各种原因所致的脑出血、脑损伤、肿瘤、脓肿、梗塞、积水、萎缩、肉芽肿等。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vMerge/>
                        <w:tcBorders>
                          <w:top w:val="none" w:color="000000" w:sz="4"/>
                          <w:left w:val="single" w:color="000000" w:sz="4"/>
                          <w:bottom w:val="none" w:color="000000" w:sz="4"/>
                          <w:right w:val="single" w:color="000000" w:sz="4"/>
                        </w:tcBorders>
                      </w:tcPr>
                      <w:p/>
                    </w:tc>
                    <w:tc>
                      <w:tcPr>
                        <w:tcW w:type="dxa" w:w="255"/>
                        <w:vMerge/>
                        <w:tcBorders>
                          <w:top w:val="none" w:color="000000" w:sz="4"/>
                          <w:left w:val="none" w:color="000000" w:sz="4"/>
                          <w:bottom w:val="none" w:color="000000" w:sz="4"/>
                          <w:right w:val="single" w:color="000000" w:sz="4"/>
                        </w:tcBorders>
                      </w:tcP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胸部</w:t>
                        </w:r>
                      </w:p>
                      <w:p>
                        <w:pPr>
                          <w:pStyle w:val="null3"/>
                          <w:jc w:val="left"/>
                        </w:pPr>
                        <w:r>
                          <w:rPr>
                            <w:rFonts w:ascii="仿宋_GB2312" w:hAnsi="仿宋_GB2312" w:cs="仿宋_GB2312" w:eastAsia="仿宋_GB2312"/>
                            <w:sz w:val="18"/>
                            <w:color w:val="000000"/>
                          </w:rPr>
                          <w:t>检查肺、气管、支气管、纵膈、胸膜、胸壁等部位的炎症，扩张、狭窄、阻塞、肥厚、淋巴结肿大、占位性病变等。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vMerge/>
                        <w:tcBorders>
                          <w:top w:val="none" w:color="000000" w:sz="4"/>
                          <w:left w:val="single" w:color="000000" w:sz="4"/>
                          <w:bottom w:val="none" w:color="000000" w:sz="4"/>
                          <w:right w:val="single" w:color="000000" w:sz="4"/>
                        </w:tcBorders>
                      </w:tcPr>
                      <w:p/>
                    </w:tc>
                    <w:tc>
                      <w:tcPr>
                        <w:tcW w:type="dxa" w:w="255"/>
                        <w:vMerge/>
                        <w:tcBorders>
                          <w:top w:val="none" w:color="000000" w:sz="4"/>
                          <w:left w:val="none" w:color="000000" w:sz="4"/>
                          <w:bottom w:val="none" w:color="000000" w:sz="4"/>
                          <w:right w:val="single" w:color="000000" w:sz="4"/>
                        </w:tcBorders>
                      </w:tcP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颈椎</w:t>
                        </w:r>
                      </w:p>
                      <w:p>
                        <w:pPr>
                          <w:pStyle w:val="null3"/>
                          <w:jc w:val="left"/>
                        </w:pPr>
                        <w:r>
                          <w:rPr>
                            <w:rFonts w:ascii="仿宋_GB2312" w:hAnsi="仿宋_GB2312" w:cs="仿宋_GB2312" w:eastAsia="仿宋_GB2312"/>
                            <w:sz w:val="18"/>
                            <w:color w:val="000000"/>
                          </w:rPr>
                          <w:t>对颈椎间盘突出、骨折、椎管狭窄、骨质增生、脱位、先天异常、占位病变等有确诊意义。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vMerge/>
                        <w:tcBorders>
                          <w:top w:val="none" w:color="000000" w:sz="4"/>
                          <w:left w:val="single" w:color="000000" w:sz="4"/>
                          <w:bottom w:val="none" w:color="000000" w:sz="4"/>
                          <w:right w:val="single" w:color="000000" w:sz="4"/>
                        </w:tcBorders>
                      </w:tcPr>
                      <w:p/>
                    </w:tc>
                    <w:tc>
                      <w:tcPr>
                        <w:tcW w:type="dxa" w:w="255"/>
                        <w:vMerge/>
                        <w:tcBorders>
                          <w:top w:val="none" w:color="000000" w:sz="4"/>
                          <w:left w:val="none" w:color="000000" w:sz="4"/>
                          <w:bottom w:val="none" w:color="000000" w:sz="4"/>
                          <w:right w:val="single" w:color="000000" w:sz="4"/>
                        </w:tcBorders>
                      </w:tcP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腰椎</w:t>
                        </w:r>
                      </w:p>
                      <w:p>
                        <w:pPr>
                          <w:pStyle w:val="null3"/>
                          <w:jc w:val="left"/>
                        </w:pPr>
                        <w:r>
                          <w:rPr>
                            <w:rFonts w:ascii="仿宋_GB2312" w:hAnsi="仿宋_GB2312" w:cs="仿宋_GB2312" w:eastAsia="仿宋_GB2312"/>
                            <w:sz w:val="18"/>
                            <w:color w:val="000000"/>
                          </w:rPr>
                          <w:t>对腰椎间盘突出、骨折、椎管狭窄、骨质增生、脱位、先天异常、占位病变等有确诊意义。</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26</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妇科常规检查</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通过各种检查了解女性生殖系统有无异常，以发现可能存在的各种炎症、肿瘤等病变。</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27</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白带常规</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用于检查阴道内有无滴虫、念珠菌，同时还可以确定阴道清洁度，是筛查阴道炎的有效手段。</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28</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rPr>
                          <w:t>宫颈液基超薄细胞学检测（</w:t>
                        </w:r>
                        <w:r>
                          <w:rPr>
                            <w:rFonts w:ascii="仿宋_GB2312" w:hAnsi="仿宋_GB2312" w:cs="仿宋_GB2312" w:eastAsia="仿宋_GB2312"/>
                            <w:sz w:val="18"/>
                          </w:rPr>
                          <w:t>TCT)</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8"/>
                          </w:rPr>
                          <w:t>宫颈</w:t>
                        </w:r>
                        <w:r>
                          <w:rPr>
                            <w:rFonts w:ascii="仿宋_GB2312" w:hAnsi="仿宋_GB2312" w:cs="仿宋_GB2312" w:eastAsia="仿宋_GB2312"/>
                            <w:sz w:val="18"/>
                          </w:rPr>
                          <w:t>TCT</w:t>
                        </w:r>
                        <w:r>
                          <w:rPr>
                            <w:rFonts w:ascii="仿宋_GB2312" w:hAnsi="仿宋_GB2312" w:cs="仿宋_GB2312" w:eastAsia="仿宋_GB2312"/>
                            <w:sz w:val="18"/>
                          </w:rPr>
                          <w:t>是子宫颈及其癌前病变较先进的筛查方法，并能筛查滴虫、霉菌性阴道炎及人乳头瘤病毒和疱疹病毒的感染。</w:t>
                        </w: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29</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早餐</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30</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体检报告</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r>
                    <w:tc>
                      <w:tcPr>
                        <w:tcW w:type="dxa" w:w="179"/>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31</w:t>
                        </w:r>
                      </w:p>
                    </w:tc>
                    <w:tc>
                      <w:tcPr>
                        <w:tcW w:type="dxa" w:w="2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咨询</w:t>
                        </w:r>
                        <w:r>
                          <w:rPr>
                            <w:rFonts w:ascii="仿宋_GB2312" w:hAnsi="仿宋_GB2312" w:cs="仿宋_GB2312" w:eastAsia="仿宋_GB2312"/>
                            <w:sz w:val="18"/>
                            <w:color w:val="000000"/>
                          </w:rPr>
                          <w:t>/报告讲解</w:t>
                        </w:r>
                      </w:p>
                    </w:tc>
                    <w:tc>
                      <w:tcPr>
                        <w:tcW w:type="dxa" w:w="4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9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1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w:t>
                        </w:r>
                      </w:p>
                    </w:tc>
                  </w:tr>
                </w:tbl>
                <w:p>
                  <w:pPr>
                    <w:pStyle w:val="null3"/>
                    <w:numPr>
                      <w:ilvl w:val="0"/>
                      <w:numId w:val="1"/>
                    </w:numPr>
                    <w:jc w:val="both"/>
                  </w:pPr>
                  <w:r>
                    <w:rPr>
                      <w:rFonts w:ascii="仿宋_GB2312" w:hAnsi="仿宋_GB2312" w:cs="仿宋_GB2312" w:eastAsia="仿宋_GB2312"/>
                      <w:sz w:val="28"/>
                    </w:rPr>
                    <w:t>商务要求</w:t>
                  </w:r>
                </w:p>
                <w:p>
                  <w:pPr>
                    <w:pStyle w:val="null3"/>
                    <w:spacing w:before="105" w:after="105"/>
                    <w:jc w:val="left"/>
                  </w:pPr>
                  <w:r>
                    <w:rPr>
                      <w:rFonts w:ascii="仿宋_GB2312" w:hAnsi="仿宋_GB2312" w:cs="仿宋_GB2312" w:eastAsia="仿宋_GB2312"/>
                      <w:sz w:val="28"/>
                    </w:rPr>
                    <w:t>一、付款方式</w:t>
                  </w:r>
                  <w:r>
                    <w:rPr>
                      <w:rFonts w:ascii="仿宋_GB2312" w:hAnsi="仿宋_GB2312" w:cs="仿宋_GB2312" w:eastAsia="仿宋_GB2312"/>
                      <w:sz w:val="28"/>
                    </w:rPr>
                    <w:t>：</w:t>
                  </w:r>
                  <w:r>
                    <w:rPr>
                      <w:rFonts w:ascii="仿宋_GB2312" w:hAnsi="仿宋_GB2312" w:cs="仿宋_GB2312" w:eastAsia="仿宋_GB2312"/>
                      <w:sz w:val="28"/>
                    </w:rPr>
                    <w:t>一次付清</w:t>
                  </w:r>
                </w:p>
                <w:p>
                  <w:pPr>
                    <w:pStyle w:val="null3"/>
                  </w:pPr>
                  <w:r>
                    <w:rPr>
                      <w:rFonts w:ascii="仿宋_GB2312" w:hAnsi="仿宋_GB2312" w:cs="仿宋_GB2312" w:eastAsia="仿宋_GB2312"/>
                      <w:sz w:val="28"/>
                    </w:rPr>
                    <w:t>二、付款进度</w:t>
                  </w:r>
                  <w:r>
                    <w:rPr>
                      <w:rFonts w:ascii="仿宋_GB2312" w:hAnsi="仿宋_GB2312" w:cs="仿宋_GB2312" w:eastAsia="仿宋_GB2312"/>
                      <w:sz w:val="28"/>
                    </w:rPr>
                    <w:t>：</w:t>
                  </w:r>
                  <w:r>
                    <w:rPr>
                      <w:rFonts w:ascii="仿宋_GB2312" w:hAnsi="仿宋_GB2312" w:cs="仿宋_GB2312" w:eastAsia="仿宋_GB2312"/>
                      <w:sz w:val="28"/>
                    </w:rPr>
                    <w:t>体检完成后，成交供应商向采购人提交完整体检报告后，经采购人验收合格一次性付清全部服务费。付款前，成交供应商应向采购人开具等额增值税发票</w:t>
                  </w:r>
                  <w:r>
                    <w:rPr>
                      <w:rFonts w:ascii="仿宋_GB2312" w:hAnsi="仿宋_GB2312" w:cs="仿宋_GB2312" w:eastAsia="仿宋_GB2312"/>
                      <w:sz w:val="28"/>
                    </w:rPr>
                    <w:t>，达到付款条件起</w:t>
                  </w:r>
                  <w:r>
                    <w:rPr>
                      <w:rFonts w:ascii="仿宋_GB2312" w:hAnsi="仿宋_GB2312" w:cs="仿宋_GB2312" w:eastAsia="仿宋_GB2312"/>
                      <w:sz w:val="28"/>
                    </w:rPr>
                    <w:t>30 日内，支付合同总金额的 100.00%。</w:t>
                  </w:r>
                </w:p>
                <w:p>
                  <w:pPr>
                    <w:pStyle w:val="null3"/>
                    <w:jc w:val="left"/>
                  </w:pPr>
                  <w:r>
                    <w:rPr>
                      <w:rFonts w:ascii="仿宋_GB2312" w:hAnsi="仿宋_GB2312" w:cs="仿宋_GB2312" w:eastAsia="仿宋_GB2312"/>
                      <w:sz w:val="28"/>
                    </w:rPr>
                    <w:t>三、</w:t>
                  </w:r>
                  <w:r>
                    <w:rPr>
                      <w:rFonts w:ascii="仿宋_GB2312" w:hAnsi="仿宋_GB2312" w:cs="仿宋_GB2312" w:eastAsia="仿宋_GB2312"/>
                      <w:sz w:val="28"/>
                    </w:rPr>
                    <w:t>结算单位：由甲方负责结算，乙方开具相应等额发票交甲方。</w:t>
                  </w:r>
                </w:p>
                <w:p>
                  <w:pPr>
                    <w:pStyle w:val="null3"/>
                    <w:ind w:firstLine="560"/>
                    <w:jc w:val="left"/>
                  </w:pPr>
                </w:p>
              </w:tc>
            </w:tr>
          </w:tbl>
          <w:p>
            <w:pPr>
              <w:pStyle w:val="null3"/>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供应商针对本项目提供相应的诊断设备。</w:t>
            </w:r>
          </w:p>
          <w:p>
            <w:pPr>
              <w:pStyle w:val="null3"/>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sz w:val="28"/>
                <w:b/>
              </w:rPr>
              <w:t>3.3商务要求</w:t>
            </w:r>
          </w:p>
          <w:p>
            <w:pPr>
              <w:pStyle w:val="nul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自合同签订之日起</w:t>
            </w:r>
            <w:r>
              <w:rPr>
                <w:rFonts w:ascii="仿宋_GB2312" w:hAnsi="仿宋_GB2312" w:cs="仿宋_GB2312" w:eastAsia="仿宋_GB2312"/>
              </w:rPr>
              <w:t>365日</w:t>
            </w:r>
          </w:p>
          <w:p>
            <w:pPr>
              <w:pStyle w:val="nul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验收依据：合同文本、合同附件、磋商文件、响应文件国内相应的标准、规范。</w:t>
            </w:r>
          </w:p>
          <w:p>
            <w:pPr>
              <w:pStyle w:val="null3"/>
            </w:pPr>
            <w:r>
              <w:rPr>
                <w:rFonts w:ascii="仿宋_GB2312" w:hAnsi="仿宋_GB2312" w:cs="仿宋_GB2312" w:eastAsia="仿宋_GB2312"/>
                <w:sz w:val="24"/>
                <w:b/>
                <w:color w:val="C00000"/>
              </w:rPr>
              <w:t>3.3.4支付方式</w:t>
            </w:r>
          </w:p>
          <w:p>
            <w:pPr>
              <w:pStyle w:val="null3"/>
            </w:pPr>
            <w:r>
              <w:rPr>
                <w:rFonts w:ascii="仿宋_GB2312" w:hAnsi="仿宋_GB2312" w:cs="仿宋_GB2312" w:eastAsia="仿宋_GB2312"/>
                <w:color w:val="C00000"/>
              </w:rPr>
              <w:t>采购包</w:t>
            </w:r>
            <w:r>
              <w:rPr>
                <w:rFonts w:ascii="仿宋_GB2312" w:hAnsi="仿宋_GB2312" w:cs="仿宋_GB2312" w:eastAsia="仿宋_GB2312"/>
                <w:color w:val="C00000"/>
              </w:rPr>
              <w:t>1：</w:t>
            </w:r>
          </w:p>
          <w:p>
            <w:pPr>
              <w:pStyle w:val="null3"/>
            </w:pPr>
            <w:r>
              <w:rPr>
                <w:rFonts w:ascii="仿宋_GB2312" w:hAnsi="仿宋_GB2312" w:cs="仿宋_GB2312" w:eastAsia="仿宋_GB2312"/>
                <w:color w:val="C00000"/>
              </w:rPr>
              <w:t>一次付清</w:t>
            </w:r>
          </w:p>
          <w:p>
            <w:pPr>
              <w:pStyle w:val="null3"/>
            </w:pPr>
            <w:r>
              <w:rPr>
                <w:rFonts w:ascii="仿宋_GB2312" w:hAnsi="仿宋_GB2312" w:cs="仿宋_GB2312" w:eastAsia="仿宋_GB2312"/>
                <w:sz w:val="24"/>
                <w:b/>
                <w:color w:val="C00000"/>
              </w:rPr>
              <w:t>3.3.5支付约定</w:t>
            </w:r>
          </w:p>
          <w:p>
            <w:pPr>
              <w:pStyle w:val="null3"/>
            </w:pPr>
            <w:r>
              <w:rPr>
                <w:rFonts w:ascii="仿宋_GB2312" w:hAnsi="仿宋_GB2312" w:cs="仿宋_GB2312" w:eastAsia="仿宋_GB2312"/>
                <w:color w:val="C00000"/>
              </w:rPr>
              <w:t>采购包</w:t>
            </w:r>
            <w:r>
              <w:rPr>
                <w:rFonts w:ascii="仿宋_GB2312" w:hAnsi="仿宋_GB2312" w:cs="仿宋_GB2312" w:eastAsia="仿宋_GB2312"/>
                <w:color w:val="C00000"/>
              </w:rPr>
              <w:t xml:space="preserve">1： 付款条件说明： </w:t>
            </w:r>
            <w:r>
              <w:rPr>
                <w:rFonts w:ascii="仿宋_GB2312" w:hAnsi="仿宋_GB2312" w:cs="仿宋_GB2312" w:eastAsia="仿宋_GB2312"/>
                <w:color w:val="C00000"/>
              </w:rPr>
              <w:t>体检完成后，成交供应商向采购人提交完整体检报告后，经采购人验收合格一次性付清全部服务费。付款前，成交供应商应向采购人开具等额增值税发票</w:t>
            </w:r>
            <w:r>
              <w:rPr>
                <w:rFonts w:ascii="仿宋_GB2312" w:hAnsi="仿宋_GB2312" w:cs="仿宋_GB2312" w:eastAsia="仿宋_GB2312"/>
                <w:color w:val="C00000"/>
              </w:rPr>
              <w:t>，达到付款条件起</w:t>
            </w:r>
            <w:r>
              <w:rPr>
                <w:rFonts w:ascii="仿宋_GB2312" w:hAnsi="仿宋_GB2312" w:cs="仿宋_GB2312" w:eastAsia="仿宋_GB2312"/>
                <w:color w:val="C00000"/>
              </w:rPr>
              <w:t>30 日内，支付合同总金额的 100.00%。</w:t>
            </w:r>
          </w:p>
          <w:p>
            <w:pPr>
              <w:pStyle w:val="null3"/>
            </w:pPr>
            <w:r>
              <w:rPr>
                <w:rFonts w:ascii="仿宋_GB2312" w:hAnsi="仿宋_GB2312" w:cs="仿宋_GB2312" w:eastAsia="仿宋_GB2312"/>
                <w:sz w:val="24"/>
                <w:b/>
                <w:color w:val="C00000"/>
              </w:rPr>
              <w:t>3.3.6违约责任及解决争议的方法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1、甲乙双方如出现违约的，违约方自违约之日起，每日按合同总价的5‰向守约方承担违约责任并且及时采取有效补救措施，违约金总额不超过本合同总价的5%，并继续履行本合同所规定的义务。 2、乙方违约超过15日的，则甲方有权解除合同，乙方应依甲方要求并按合同总价的10%向甲方承担违约责任，并将工作资料、已取得工作成果和其他相关的资料一并移交甲方，乙方不得以任何理由拒绝或拖延提交有关资料，或提供不真实、不准确、不完整的资料。 3、双方本着友好合作的态度,对合同履行过程中发生的纠纷应及时协商解决,协商不成，向甲方所在地人民法院诉讼解决。</w:t>
            </w:r>
          </w:p>
          <w:p>
            <w:pPr>
              <w:pStyle w:val="null3"/>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w:t>
            </w:r>
            <w:r>
              <w:rPr>
                <w:rFonts w:ascii="仿宋_GB2312" w:hAnsi="仿宋_GB2312" w:cs="仿宋_GB2312" w:eastAsia="仿宋_GB2312"/>
              </w:rPr>
              <w:t>1：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w:t>
            </w:r>
            <w:r>
              <w:rPr>
                <w:rFonts w:ascii="仿宋_GB2312" w:hAnsi="仿宋_GB2312" w:cs="仿宋_GB2312" w:eastAsia="仿宋_GB2312"/>
              </w:rPr>
              <w:t>，</w:t>
            </w:r>
            <w:r>
              <w:rPr>
                <w:rFonts w:ascii="仿宋_GB2312" w:hAnsi="仿宋_GB2312" w:cs="仿宋_GB2312" w:eastAsia="仿宋_GB2312"/>
              </w:rPr>
              <w:t>纸质版投标文件加盖单位鲜章。</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供应商针对本项目提供相应的诊断设备。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合同文本、合同附件、磋商文件、响应文件国内相应的标准、规范。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体检完成后，成交供应商向采购人提交完整体检报告后，经采购人验收合格一次性付清全部服务费。付款前，成交供应商应向采购人开具等额增值税发票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1、甲乙双方如出现违约的，违约方自违约之日起，每日按合同总价的5‰向守约方承担违约责任并且及时采取有效补救措施，违约金总额不超过本合同总价的5%，并继续履行本合同所规定的义务。 2、乙方违约超过15日的，则甲方有权解除合同，乙方应依甲方要求并按合同总价的10%向甲方承担违约责任，并将工作资料、已取得工作成果和其他相关的资料一并移交甲方，乙方不得以任何理由拒绝或拖延提交有关资料，或提供不真实、不准确、不完整的资料。 3、双方本着友好合作的态度,对合同履行过程中发生的纠纷应及时协商解决,协商不成，向甲方所在地人民法院诉讼解决。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纸质版投标文件加盖单位鲜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供应商应具备有效的《医疗机构执业许可证》和《放射诊疗许可证》；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会计师事务所签字盖章的完整财务审计报告（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失信主体，在中国政府采购网（www.ccgp.gov.cn）政府采购严重违法失信行为记录名单中未被财政部门禁止参加政府采购活动的供应商;</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是否与营业执照一致</w:t>
            </w:r>
          </w:p>
        </w:tc>
        <w:tc>
          <w:tcPr>
            <w:tcW w:type="dxa" w:w="1661"/>
          </w:tcPr>
          <w:p>
            <w:pPr>
              <w:pStyle w:val="null3"/>
            </w:pPr>
            <w:r>
              <w:rPr>
                <w:rFonts w:ascii="仿宋_GB2312" w:hAnsi="仿宋_GB2312" w:cs="仿宋_GB2312" w:eastAsia="仿宋_GB2312"/>
              </w:rPr>
              <w:t>响应文件封面 供应商应提供的资格证明文件.docx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除明确允许供应商可以自行编写的外，响应文件文件必须按照竞争性磋商文件给定的格式和要求编制。</w:t>
            </w:r>
          </w:p>
        </w:tc>
        <w:tc>
          <w:tcPr>
            <w:tcW w:type="dxa" w:w="1661"/>
          </w:tcPr>
          <w:p>
            <w:pPr>
              <w:pStyle w:val="null3"/>
            </w:pPr>
            <w:r>
              <w:rPr>
                <w:rFonts w:ascii="仿宋_GB2312" w:hAnsi="仿宋_GB2312" w:cs="仿宋_GB2312" w:eastAsia="仿宋_GB2312"/>
              </w:rPr>
              <w:t>业绩.docx 人员配置表.docx 供应商应提供的资格证明文件.docx 中小企业声明函 报价表 商务应答表.docx 响应文件封面 残疾人福利性单位声明函 标的清单 服务内容及服务邀请应答表.docx 拟投入本项目的医疗仪器设备表.docx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业绩.docx 人员配置表.docx 供应商应提供的资格证明文件.docx 中小企业声明函 报价表 商务应答表.docx 响应文件封面 残疾人福利性单位声明函 标的清单 服务内容及服务邀请应答表.docx 拟投入本项目的医疗仪器设备表.docx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投标报价是否唯一，是否超过磋商文件中规定的采购预算或最高限价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业绩.docx 服务内容及服务邀请应答表.docx 商务应答表.docx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根据供应商针对本项目提供的体检服务方案（包括但不限于组织管理、运作流程、现场指导、体检安排、检验检测、结果反馈、检后健康指导、卫生安全等方面）进行综合评审： 1.体检服务方案内容完整，分析全面、总体服务方案设计科学合理、描述条理清晰，可行性、安全性强，完全满足采购需求得15分； 2.体检服务方案内容较完整，分析较全面、总体服务方案设计较合理、描述条理较清晰，可行性较强，满足采购需求得12分； 3.体检服务方案内容一般，可行性一般，基本满足采购需求得9分； 4.体检服务方案内容不全，部分满足采购需求得6分； 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供应商针对本项目提供体检质量安全控制管理体系方案，方案包含但不限于①质量管理机构、②药剂、耗材质量保证措施、③质量检查流程、④质量保障措施等方面的内容进行评审： 1.供应商的质量保障方案全面、合理，可行性强，得10分； 2.供应商的质量保障方案较全面、较合理，具有较强的可行性，得8分； 3供应商的质量保障方案基本全面、基本合理，基本具有可行性，得6分； 4.供应商的质量保障方案全面性及合理性较差，可行性较差，得4分；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根据投标人提供的安全保障方案（包括但不限于项目可能涉及的安全风险评估、安全管理制度、安全保障措施等）进行评审：1.供应商的安全保障方案全面、合理，可行性强，得10分； 2.供应商的安全保障方案较全面、较合理，具有较强的可行性，得8分； 3供应商的安全保障方案基本全面、基本合理，基本具有可行性，得6分； 4.供应商的安全保障方案全面性及合理性较差，可行性较差，得4分；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针对本项目的工作特点提供进度保障方案。由评标委员会根据供应商提供的进度保障方案内容进行评审： 1.方案全面、合理，可行性强，得8分； 2.方案较全面、较合理，具有较强的可行性，得6分； 3.方案基本全面、基本合理，基本具有可行性，得4分； 4.方案全面性及合理性较差，可行性较差，得2分；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供应商针对本项目提供应急方案，方案需包含①突发疾病预案、②人员集中排队等候时间长、③设备故障案等 3 个方面的内容进行评审： 1.供应商的应急方案全面、合理，可行性强，得8分； 2.供应商的应急方案较全面、较合理，具有较强的可行性，得6分； 3供应商的应急方案基本全面、基本合理，基本具有可行性，得4分； 4.供应商的应急方案全面性及合理性较差，可行性较差，得2分；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根据供应商提供的保密方案（包括但不限于项目可能涉及的失泄密风险评估、保密管理制度、保密保障措施等）进行评审： 1.供应商的保密方案全面、合理，可行性强，得10分； 2.供应商的保密方案较全面、较合理，具有较强的可行性，得8分； 3供应商的保密方案基本全面、基本合理，基本具有可行性，得6分； 4.供应商的保密方案全面性及合理性较差，可行性较差，得4分；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拟投入的医疗配备情况</w:t>
            </w:r>
          </w:p>
        </w:tc>
        <w:tc>
          <w:tcPr>
            <w:tcW w:type="dxa" w:w="2492"/>
          </w:tcPr>
          <w:p>
            <w:pPr>
              <w:pStyle w:val="null3"/>
            </w:pPr>
            <w:r>
              <w:rPr>
                <w:rFonts w:ascii="仿宋_GB2312" w:hAnsi="仿宋_GB2312" w:cs="仿宋_GB2312" w:eastAsia="仿宋_GB2312"/>
              </w:rPr>
              <w:t>根据供应商拟投入本项目体检的仪器设备情况进行综合评审： 1、拟投入本项目的检测设备齐全，配套设施完整，符合国家相应强制性标准且完全满足采购要求的，得5分； 2、拟投入本项目的检测设备较齐全，配套设施较完整，符合国家相应强制性标准且满足采购要求的，得4分； 3、拟投入本项目的检测设备不够齐全，配套设施不够完整，符合国家相应强制性标准且部分满足采购要求的，得3分； 4、未提供的不得分。 注：需提供相关证明材料（如设备为自有设备，需提供供应商的设备购买发票；如设备为租赁设备，需提供设备租赁合同）复印件并加盖单位公章。未提供或提供不全或不清晰的不得分。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拟投入本项目的医疗仪器设备表.docx</w:t>
            </w:r>
          </w:p>
        </w:tc>
      </w:tr>
      <w:tr>
        <w:tc>
          <w:tcPr>
            <w:tcW w:type="dxa" w:w="831"/>
            <w:vMerge/>
          </w:tcPr>
          <w:p/>
        </w:tc>
        <w:tc>
          <w:tcPr>
            <w:tcW w:type="dxa" w:w="1661"/>
          </w:tcPr>
          <w:p>
            <w:pPr>
              <w:pStyle w:val="null3"/>
            </w:pPr>
            <w:r>
              <w:rPr>
                <w:rFonts w:ascii="仿宋_GB2312" w:hAnsi="仿宋_GB2312" w:cs="仿宋_GB2312" w:eastAsia="仿宋_GB2312"/>
              </w:rPr>
              <w:t>医师医护人员配备</w:t>
            </w:r>
          </w:p>
        </w:tc>
        <w:tc>
          <w:tcPr>
            <w:tcW w:type="dxa" w:w="2492"/>
          </w:tcPr>
          <w:p>
            <w:pPr>
              <w:pStyle w:val="null3"/>
            </w:pPr>
            <w:r>
              <w:rPr>
                <w:rFonts w:ascii="仿宋_GB2312" w:hAnsi="仿宋_GB2312" w:cs="仿宋_GB2312" w:eastAsia="仿宋_GB2312"/>
              </w:rPr>
              <w:t>根据拟投入本项目体检的各专业医师医护人员配备情况，包括但不限于人员数量、职称、工作年限、人员相关证书等，进行综合评审。 1.人员配备合理全面，工作经验丰富，能够高效优质的完成服务要求得8 分； 2.人员配备充足合理，能够满足体检项目需要，得6分； 3.人员配备较全面，工作经验一般，能够完成项目内容，得4分； 4.人员配备较少，与本项目要求相差较大，得2分。5.未提供的不得分。 注：须提供相关证书复印件等证明材料。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供应商针对本项目提供所投产品满足采购需要、质量保证、按时完成等相关方面的承诺； 1.供应商承诺内容全面、合理、针对性及可行性强，得6分； 2.供应商承诺内容较全面、合理、针对性及可行性较强，得5分； 3.供应商承诺内容基本全面、合理、基本具有针对性及可行性，得4分； 4.供应商承诺内容不全面、缺乏合理性、针对性及可行性差，得3分； 5.未提供的不得分。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供应商提供2022年1月1日至今（以合同签订日期为准）类似项目业绩合同，每份计2.5分，满分10分。 注：需同时提供合同复印件加盖公章为准。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价格分统一采用低价优先法计算，即满足磋商文件要求且磋商价格最低的报价为评标基准价，其价格分为满分。其他供应商的价格分统一按照下列公式计算： 磋商报价得分=(评标基准价／磋商报价)×价格权值×100 ，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详见附件：拟投入本项目的医疗仪器设备表.docx</w:t>
      </w:r>
    </w:p>
    <w:p>
      <w:pPr>
        <w:pStyle w:val="null3"/>
        <w:ind w:firstLine="960"/>
      </w:pPr>
      <w:r>
        <w:rPr>
          <w:rFonts w:ascii="仿宋_GB2312" w:hAnsi="仿宋_GB2312" w:cs="仿宋_GB2312" w:eastAsia="仿宋_GB2312"/>
        </w:rPr>
        <w:t>详见附件：供应商应提供的资格证明文件.docx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