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版本号：SXJTZB-ZC-CS2025121720251222001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蓝田县畜禽粪污资源化利用整县推进项目（2025年）施工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SXJTZB-ZC-CS20251217</w:t>
      </w:r>
      <w:r>
        <w:br/>
      </w:r>
      <w:r>
        <w:br/>
      </w:r>
      <w:r>
        <w:br/>
      </w:r>
    </w:p>
    <w:p>
      <w:pPr>
        <w:pStyle w:val="null3"/>
        <w:jc w:val="center"/>
        <w:outlineLvl w:val="2"/>
      </w:pPr>
      <w:r>
        <w:rPr>
          <w:rFonts w:ascii="仿宋_GB2312" w:hAnsi="仿宋_GB2312" w:cs="仿宋_GB2312" w:eastAsia="仿宋_GB2312"/>
          <w:sz w:val="28"/>
          <w:b/>
        </w:rPr>
        <w:t>西安市蓝田县农业农村局（本级）</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西安市蓝田县农业农村局（本级）</w:t>
      </w:r>
      <w:r>
        <w:rPr>
          <w:rFonts w:ascii="仿宋_GB2312" w:hAnsi="仿宋_GB2312" w:cs="仿宋_GB2312" w:eastAsia="仿宋_GB2312"/>
        </w:rPr>
        <w:t>委托，拟对</w:t>
      </w:r>
      <w:r>
        <w:rPr>
          <w:rFonts w:ascii="仿宋_GB2312" w:hAnsi="仿宋_GB2312" w:cs="仿宋_GB2312" w:eastAsia="仿宋_GB2312"/>
        </w:rPr>
        <w:t>蓝田县畜禽粪污资源化利用整县推进项目（2025年）施工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SXJTZB-ZC-CS20251217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蓝田县畜禽粪污资源化利用整县推进项目（2025年）施工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蓝田县畜禽粪污资源化利用整县推进项目（2025年）施工。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采购包1（蓝田县畜禽粪污资源化利用整县推进项目（2025年）施工）：属于专门面向中小企业采购。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3、税收缴纳证明：提供已缴纳的2024年11月至今任意一个月的纳税证明或完税证明，纳税证明或完税证明上应有代收机构或税务机关的公章或业务专用章。依法免税的供应商应提供相关文件证明；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5、书面声明：出具参加本次政府采购活动前三年内在经营活动中没有重大违法记录的书面声明；</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w:t>
      </w:r>
    </w:p>
    <w:p>
      <w:pPr>
        <w:pStyle w:val="null3"/>
      </w:pPr>
      <w:r>
        <w:rPr>
          <w:rFonts w:ascii="仿宋_GB2312" w:hAnsi="仿宋_GB2312" w:cs="仿宋_GB2312" w:eastAsia="仿宋_GB2312"/>
        </w:rPr>
        <w:t>8、企业资质：供应商须具备建设行政主管部门核发的建筑工程施工总承包三级及以上资质；且具备合格有效的安全生产许可证；</w:t>
      </w:r>
    </w:p>
    <w:p>
      <w:pPr>
        <w:pStyle w:val="null3"/>
      </w:pPr>
      <w:r>
        <w:rPr>
          <w:rFonts w:ascii="仿宋_GB2312" w:hAnsi="仿宋_GB2312" w:cs="仿宋_GB2312" w:eastAsia="仿宋_GB2312"/>
        </w:rPr>
        <w:t>9、项目经理：拟派项目经理须具有建筑工程专业二级及以上注册建造师证书和有效的安全生产考核证书（B证）在本单位注册且无在建工程、无不良记录（提供无在建工程、无不良记录承诺书）；</w:t>
      </w:r>
    </w:p>
    <w:p>
      <w:pPr>
        <w:pStyle w:val="null3"/>
      </w:pPr>
      <w:r>
        <w:rPr>
          <w:rFonts w:ascii="仿宋_GB2312" w:hAnsi="仿宋_GB2312" w:cs="仿宋_GB2312" w:eastAsia="仿宋_GB2312"/>
        </w:rPr>
        <w:t>10、信息查询：供应商及拟派项目经理基本信息应在“陕西省住房和城乡建设厅网站（http://js.shaanxi.gov.cn/）陕西省建筑市场监管与诚信信息发布平台”可查询</w:t>
      </w:r>
    </w:p>
    <w:p>
      <w:pPr>
        <w:pStyle w:val="null3"/>
      </w:pPr>
      <w:r>
        <w:rPr>
          <w:rFonts w:ascii="仿宋_GB2312" w:hAnsi="仿宋_GB2312" w:cs="仿宋_GB2312" w:eastAsia="仿宋_GB2312"/>
        </w:rPr>
        <w:t>11、非联合体磋商声明：本项目不接受联合体磋商（提供书面声明材料）。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蓝田县兰新路45号农业农村局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15991858144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张荷、曾小旦、王琳娜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采购包1：2,783,683.19元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印发的《招标代理服务收费管理暂行办法》（计价格[2002]1980号）、国家发展和改革委员会办公厅印发的《关于招标代理服务收费有关问题的通知》（发改办价格[2003]857号）的有关规定收取。 造价咨询服务费：参照陕西省物价局陕西省住房和城乡建设厅《关于我省工程造价咨询服务收费标准有关问题的通知》（陕价行发〔2014〕88号）文件的有关规定执行。 成交单位在领取成交通知书前，须向采购代理机构一次性支付招标代理服务费及造价咨询费。 银行账户： 公司名称：陕西嘉唐建设项目管理有限公司 账 号：112011580000141313 开 户 行：西安银行股份有限公司含光门支行。 公司邮箱：shanxixinyuecheng@163.com</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西安市蓝田县农业农村局（本级）</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联系人：张荷、曾小旦、王琳娜</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2,783,683.19</w:t>
      </w:r>
    </w:p>
    <w:p>
      <w:pPr>
        <w:pStyle w:val="null3"/>
      </w:pPr>
      <w:r>
        <w:rPr>
          <w:rFonts w:ascii="仿宋_GB2312" w:hAnsi="仿宋_GB2312" w:cs="仿宋_GB2312" w:eastAsia="仿宋_GB2312"/>
        </w:rPr>
        <w:t>采购包最高限价（元）: 2,783,683.19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蓝田县畜禽粪污资源化利用整县推进项目（2025年）施工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2,783,683.19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标的名称：蓝田县畜禽粪污资源化利用整县推进项目（2025年）施工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蓝田县畜禽粪污资源化利用整县推进项目（</w:t>
            </w:r>
            <w:r>
              <w:rPr>
                <w:rFonts w:ascii="仿宋_GB2312" w:hAnsi="仿宋_GB2312" w:cs="仿宋_GB2312" w:eastAsia="仿宋_GB2312"/>
              </w:rPr>
              <w:t>2025年）施工。</w:t>
            </w:r>
          </w:p>
          <w:p>
            <w:pPr>
              <w:pStyle w:val="null3"/>
            </w:pPr>
            <w:r>
              <w:rPr>
                <w:rFonts w:ascii="仿宋_GB2312" w:hAnsi="仿宋_GB2312" w:cs="仿宋_GB2312" w:eastAsia="仿宋_GB2312"/>
              </w:rPr>
              <w:t>二、工程内容和施工地点、计划工期、质量保修期</w:t>
            </w:r>
          </w:p>
          <w:p>
            <w:pPr>
              <w:pStyle w:val="null3"/>
            </w:pPr>
            <w:r>
              <w:rPr>
                <w:rFonts w:ascii="仿宋_GB2312" w:hAnsi="仿宋_GB2312" w:cs="仿宋_GB2312" w:eastAsia="仿宋_GB2312"/>
              </w:rPr>
              <w:t>1、工程内容：蓝田县畜禽粪污资源化利用整县推进项目（2025年）施工</w:t>
            </w:r>
          </w:p>
          <w:p>
            <w:pPr>
              <w:pStyle w:val="null3"/>
            </w:pPr>
            <w:r>
              <w:rPr>
                <w:rFonts w:ascii="仿宋_GB2312" w:hAnsi="仿宋_GB2312" w:cs="仿宋_GB2312" w:eastAsia="仿宋_GB2312"/>
              </w:rPr>
              <w:t>工程内容包含：蓝田县腾飞养殖场房屋建筑与装饰工程；蓝田县乐鑫养殖场房屋建筑与装饰工程；陕西锦悦荟农场有限公司房屋建筑与装饰工程；蓝田县粉粉奶山羊养殖厂污水管网土建工程；蓝田县粉粉奶山羊养殖厂污水管网排水工程；西安田丰源盛农业科技有限责任公司房屋建筑与装饰工程等内容。</w:t>
            </w:r>
          </w:p>
          <w:p>
            <w:pPr>
              <w:pStyle w:val="null3"/>
            </w:pPr>
            <w:r>
              <w:rPr>
                <w:rFonts w:ascii="仿宋_GB2312" w:hAnsi="仿宋_GB2312" w:cs="仿宋_GB2312" w:eastAsia="仿宋_GB2312"/>
              </w:rPr>
              <w:t>2、工程地点：蓝田县。</w:t>
            </w:r>
          </w:p>
          <w:p>
            <w:pPr>
              <w:pStyle w:val="null3"/>
            </w:pPr>
            <w:r>
              <w:rPr>
                <w:rFonts w:ascii="仿宋_GB2312" w:hAnsi="仿宋_GB2312" w:cs="仿宋_GB2312" w:eastAsia="仿宋_GB2312"/>
              </w:rPr>
              <w:t>3、计</w:t>
            </w:r>
            <w:r>
              <w:rPr>
                <w:rFonts w:ascii="仿宋_GB2312" w:hAnsi="仿宋_GB2312" w:cs="仿宋_GB2312" w:eastAsia="仿宋_GB2312"/>
              </w:rPr>
              <w:t>划工期：自合同签订之日起</w:t>
            </w:r>
            <w:r>
              <w:rPr>
                <w:rFonts w:ascii="仿宋_GB2312" w:hAnsi="仿宋_GB2312" w:cs="仿宋_GB2312" w:eastAsia="仿宋_GB2312"/>
              </w:rPr>
              <w:t>30日历日。</w:t>
            </w:r>
          </w:p>
          <w:p>
            <w:pPr>
              <w:pStyle w:val="null3"/>
            </w:pPr>
            <w:r>
              <w:rPr>
                <w:rFonts w:ascii="仿宋_GB2312" w:hAnsi="仿宋_GB2312" w:cs="仿宋_GB2312" w:eastAsia="仿宋_GB2312"/>
              </w:rPr>
              <w:t>4、质量保修期：项目整体验收合格后两年。</w:t>
            </w:r>
          </w:p>
          <w:p>
            <w:pPr>
              <w:pStyle w:val="null3"/>
            </w:pPr>
            <w:r>
              <w:rPr>
                <w:rFonts w:ascii="仿宋_GB2312" w:hAnsi="仿宋_GB2312" w:cs="仿宋_GB2312" w:eastAsia="仿宋_GB2312"/>
              </w:rPr>
              <w:t>三、工程量清单和编制说明</w:t>
            </w:r>
          </w:p>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1、项目名称：蓝田县畜禽粪污资源化利用整县推进项目（2025年）施工</w:t>
            </w:r>
          </w:p>
          <w:p>
            <w:pPr>
              <w:pStyle w:val="null3"/>
            </w:pPr>
            <w:r>
              <w:rPr>
                <w:rFonts w:ascii="仿宋_GB2312" w:hAnsi="仿宋_GB2312" w:cs="仿宋_GB2312" w:eastAsia="仿宋_GB2312"/>
              </w:rPr>
              <w:t>2、施工图设计单位：中铭工程设计咨询有限公司</w:t>
            </w:r>
          </w:p>
          <w:p>
            <w:pPr>
              <w:pStyle w:val="null3"/>
            </w:pPr>
            <w:r>
              <w:rPr>
                <w:rFonts w:ascii="仿宋_GB2312" w:hAnsi="仿宋_GB2312" w:cs="仿宋_GB2312" w:eastAsia="仿宋_GB2312"/>
              </w:rPr>
              <w:t>3、建设单位：蓝田县农业农村局</w:t>
            </w:r>
          </w:p>
          <w:p>
            <w:pPr>
              <w:pStyle w:val="null3"/>
            </w:pPr>
            <w:r>
              <w:rPr>
                <w:rFonts w:ascii="仿宋_GB2312" w:hAnsi="仿宋_GB2312" w:cs="仿宋_GB2312" w:eastAsia="仿宋_GB2312"/>
              </w:rPr>
              <w:t>4、建设地址：蓝田县</w:t>
            </w:r>
          </w:p>
          <w:p>
            <w:pPr>
              <w:pStyle w:val="null3"/>
            </w:pPr>
            <w:r>
              <w:rPr>
                <w:rFonts w:ascii="仿宋_GB2312" w:hAnsi="仿宋_GB2312" w:cs="仿宋_GB2312" w:eastAsia="仿宋_GB2312"/>
              </w:rPr>
              <w:t>（二）、编制范围</w:t>
            </w:r>
          </w:p>
          <w:p>
            <w:pPr>
              <w:pStyle w:val="null3"/>
            </w:pPr>
            <w:r>
              <w:rPr>
                <w:rFonts w:ascii="仿宋_GB2312" w:hAnsi="仿宋_GB2312" w:cs="仿宋_GB2312" w:eastAsia="仿宋_GB2312"/>
              </w:rPr>
              <w:t>1、工程包含：蓝田县畜禽粪污资源化利用整县推进项目（2025年）施工图纸内所有工程内容。</w:t>
            </w:r>
          </w:p>
          <w:p>
            <w:pPr>
              <w:pStyle w:val="null3"/>
            </w:pPr>
            <w:r>
              <w:rPr>
                <w:rFonts w:ascii="仿宋_GB2312" w:hAnsi="仿宋_GB2312" w:cs="仿宋_GB2312" w:eastAsia="仿宋_GB2312"/>
              </w:rPr>
              <w:t>（三）、编制依据</w:t>
            </w:r>
          </w:p>
          <w:p>
            <w:pPr>
              <w:pStyle w:val="null3"/>
            </w:pPr>
            <w:r>
              <w:rPr>
                <w:rFonts w:ascii="仿宋_GB2312" w:hAnsi="仿宋_GB2312" w:cs="仿宋_GB2312" w:eastAsia="仿宋_GB2312"/>
              </w:rPr>
              <w:t>1、《陕西省建设工程工程量清单计价计算标准》(2025)、《陕西省房屋建筑与装饰工程计价表》(2025)、《陕西省通用安装工程基价表》（2025）、《陕西省通用安装工程消耗量定额》（2025）；</w:t>
            </w:r>
          </w:p>
          <w:p>
            <w:pPr>
              <w:pStyle w:val="null3"/>
            </w:pPr>
            <w:r>
              <w:rPr>
                <w:rFonts w:ascii="仿宋_GB2312" w:hAnsi="仿宋_GB2312" w:cs="仿宋_GB2312" w:eastAsia="仿宋_GB2312"/>
              </w:rPr>
              <w:t>2、陕建管发〔2025〕10号 陕西省住房和城乡建设厅关于印发2025陕西省建设工程费用规则等计价依据的通知；</w:t>
            </w:r>
          </w:p>
          <w:p>
            <w:pPr>
              <w:pStyle w:val="null3"/>
            </w:pPr>
            <w:r>
              <w:rPr>
                <w:rFonts w:ascii="仿宋_GB2312" w:hAnsi="仿宋_GB2312" w:cs="仿宋_GB2312" w:eastAsia="仿宋_GB2312"/>
              </w:rPr>
              <w:t>3、主要材料单价参照蓝田县信息价（2025年10月）及结合当地市场价等计入；</w:t>
            </w:r>
          </w:p>
          <w:p>
            <w:pPr>
              <w:pStyle w:val="null3"/>
            </w:pPr>
            <w:r>
              <w:rPr>
                <w:rFonts w:ascii="仿宋_GB2312" w:hAnsi="仿宋_GB2312" w:cs="仿宋_GB2312" w:eastAsia="仿宋_GB2312"/>
              </w:rPr>
              <w:t>4、施工图设计中采用的相关施工规范，标准图集及验收规范；</w:t>
            </w:r>
          </w:p>
          <w:p>
            <w:pPr>
              <w:pStyle w:val="null3"/>
            </w:pPr>
            <w:r>
              <w:rPr>
                <w:rFonts w:ascii="仿宋_GB2312" w:hAnsi="仿宋_GB2312" w:cs="仿宋_GB2312" w:eastAsia="仿宋_GB2312"/>
              </w:rPr>
              <w:t>5、其他相关资料。</w:t>
            </w:r>
          </w:p>
          <w:p>
            <w:pPr>
              <w:pStyle w:val="null3"/>
            </w:pPr>
            <w:r>
              <w:rPr>
                <w:rFonts w:ascii="仿宋_GB2312" w:hAnsi="仿宋_GB2312" w:cs="仿宋_GB2312" w:eastAsia="仿宋_GB2312"/>
              </w:rPr>
              <w:t>（四）、其他说明</w:t>
            </w:r>
          </w:p>
          <w:p>
            <w:pPr>
              <w:pStyle w:val="null3"/>
            </w:pPr>
            <w:r>
              <w:rPr>
                <w:rFonts w:ascii="仿宋_GB2312" w:hAnsi="仿宋_GB2312" w:cs="仿宋_GB2312" w:eastAsia="仿宋_GB2312"/>
              </w:rPr>
              <w:t>1、编制软件采用广联达清单计价GCCP7.0（7.5000.23.2）。</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1、严格执行国家现行规范、标准，严格按照设计要求组织施工。</w:t>
            </w:r>
          </w:p>
          <w:p>
            <w:pPr>
              <w:pStyle w:val="null3"/>
            </w:pPr>
            <w:r>
              <w:rPr>
                <w:rFonts w:ascii="仿宋_GB2312" w:hAnsi="仿宋_GB2312" w:cs="仿宋_GB2312" w:eastAsia="仿宋_GB2312"/>
              </w:rPr>
              <w:t>2、明确职责，严格岗位责任，齐心协力做好工作。确保工程按计划进行。</w:t>
            </w:r>
          </w:p>
          <w:p>
            <w:pPr>
              <w:pStyle w:val="null3"/>
            </w:pPr>
            <w:r>
              <w:rPr>
                <w:rFonts w:ascii="仿宋_GB2312" w:hAnsi="仿宋_GB2312" w:cs="仿宋_GB2312" w:eastAsia="仿宋_GB2312"/>
              </w:rPr>
              <w:t>3、加强管理，确保施工中的人员安全。</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款项结算：</w:t>
            </w:r>
            <w:r>
              <w:rPr>
                <w:rFonts w:ascii="仿宋_GB2312" w:hAnsi="仿宋_GB2312" w:cs="仿宋_GB2312" w:eastAsia="仿宋_GB2312"/>
              </w:rPr>
              <w:t>1、</w:t>
            </w:r>
            <w:r>
              <w:rPr>
                <w:rFonts w:ascii="仿宋_GB2312" w:hAnsi="仿宋_GB2312" w:cs="仿宋_GB2312" w:eastAsia="仿宋_GB2312"/>
              </w:rPr>
              <w:t>付款条件说明</w:t>
            </w:r>
            <w:r>
              <w:rPr>
                <w:rFonts w:ascii="仿宋_GB2312" w:hAnsi="仿宋_GB2312" w:cs="仿宋_GB2312" w:eastAsia="仿宋_GB2312"/>
              </w:rPr>
              <w:t>:签订合同后，达到付款条件起30日内，支付合同总金额的40.00%。</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付款条件说明</w:t>
            </w:r>
            <w:r>
              <w:rPr>
                <w:rFonts w:ascii="仿宋_GB2312" w:hAnsi="仿宋_GB2312" w:cs="仿宋_GB2312" w:eastAsia="仿宋_GB2312"/>
              </w:rPr>
              <w:t>:完成施工总量的70%，达到付款条件起30日内，支付合同总金额的20.00%。</w:t>
            </w:r>
            <w:r>
              <w:rPr>
                <w:rFonts w:ascii="仿宋_GB2312" w:hAnsi="仿宋_GB2312" w:cs="仿宋_GB2312" w:eastAsia="仿宋_GB2312"/>
              </w:rPr>
              <w:t>3、付款条件说明:施工完毕验收合格后，达到付款条件起30日内，支付合同总金额的20.00%。</w:t>
            </w:r>
            <w:r>
              <w:rPr>
                <w:rFonts w:ascii="仿宋_GB2312" w:hAnsi="仿宋_GB2312" w:cs="仿宋_GB2312" w:eastAsia="仿宋_GB2312"/>
              </w:rPr>
              <w:t>4、付款条件说明</w:t>
            </w:r>
            <w:r>
              <w:rPr>
                <w:rFonts w:ascii="仿宋_GB2312" w:hAnsi="仿宋_GB2312" w:cs="仿宋_GB2312" w:eastAsia="仿宋_GB2312"/>
              </w:rPr>
              <w:t>:竣工结算审计完成后，达到付款条件起30日内，支付合同总金额的17.00%。</w:t>
            </w:r>
            <w:r>
              <w:rPr>
                <w:rFonts w:ascii="仿宋_GB2312" w:hAnsi="仿宋_GB2312" w:cs="仿宋_GB2312" w:eastAsia="仿宋_GB2312"/>
              </w:rPr>
              <w:t>5、付款条件说明:质保期结束后，达到付款条件起30日内，支付合同总金额的3.00%。</w:t>
            </w:r>
          </w:p>
          <w:p>
            <w:pPr>
              <w:pStyle w:val="null3"/>
            </w:pPr>
            <w:r>
              <w:rPr>
                <w:rFonts w:ascii="仿宋_GB2312" w:hAnsi="仿宋_GB2312" w:cs="仿宋_GB2312" w:eastAsia="仿宋_GB2312"/>
              </w:rPr>
              <w:t>六、其他</w:t>
            </w:r>
          </w:p>
          <w:p>
            <w:pPr>
              <w:pStyle w:val="null3"/>
            </w:pPr>
            <w:r>
              <w:rPr>
                <w:rFonts w:ascii="仿宋_GB2312" w:hAnsi="仿宋_GB2312" w:cs="仿宋_GB2312" w:eastAsia="仿宋_GB2312"/>
              </w:rPr>
              <w:t>1</w:t>
            </w:r>
            <w:r>
              <w:rPr>
                <w:rFonts w:ascii="仿宋_GB2312" w:hAnsi="仿宋_GB2312" w:cs="仿宋_GB2312" w:eastAsia="仿宋_GB2312"/>
              </w:rPr>
              <w:t>、质量验收标准或规范</w:t>
            </w:r>
          </w:p>
          <w:p>
            <w:pPr>
              <w:pStyle w:val="null3"/>
            </w:pPr>
            <w:r>
              <w:rPr>
                <w:rFonts w:ascii="仿宋_GB2312" w:hAnsi="仿宋_GB2312" w:cs="仿宋_GB2312" w:eastAsia="仿宋_GB2312"/>
              </w:rPr>
              <w:t>质量标准：达到国家规定的</w:t>
            </w:r>
            <w:r>
              <w:rPr>
                <w:rFonts w:ascii="仿宋_GB2312" w:hAnsi="仿宋_GB2312" w:cs="仿宋_GB2312" w:eastAsia="仿宋_GB2312"/>
              </w:rPr>
              <w:t>“合格”标准</w:t>
            </w:r>
          </w:p>
          <w:p>
            <w:pPr>
              <w:pStyle w:val="null3"/>
            </w:pPr>
            <w:r>
              <w:rPr>
                <w:rFonts w:ascii="仿宋_GB2312" w:hAnsi="仿宋_GB2312" w:cs="仿宋_GB2312" w:eastAsia="仿宋_GB2312"/>
              </w:rPr>
              <w:t>验收标准或规范：达到国家标准，行业标准及采购人要求。</w:t>
            </w:r>
          </w:p>
          <w:p>
            <w:pPr>
              <w:pStyle w:val="null3"/>
            </w:pPr>
            <w:r>
              <w:rPr>
                <w:rFonts w:ascii="仿宋_GB2312" w:hAnsi="仿宋_GB2312" w:cs="仿宋_GB2312" w:eastAsia="仿宋_GB2312"/>
              </w:rPr>
              <w:t>2</w:t>
            </w:r>
            <w:r>
              <w:rPr>
                <w:rFonts w:ascii="仿宋_GB2312" w:hAnsi="仿宋_GB2312" w:cs="仿宋_GB2312" w:eastAsia="仿宋_GB2312"/>
              </w:rPr>
              <w:t>、违约责任</w:t>
            </w:r>
          </w:p>
          <w:p>
            <w:pPr>
              <w:pStyle w:val="null3"/>
            </w:pPr>
            <w:r>
              <w:rPr>
                <w:rFonts w:ascii="仿宋_GB2312" w:hAnsi="仿宋_GB2312" w:cs="仿宋_GB2312" w:eastAsia="仿宋_GB2312"/>
              </w:rPr>
              <w:t>（</w:t>
            </w:r>
            <w:r>
              <w:rPr>
                <w:rFonts w:ascii="仿宋_GB2312" w:hAnsi="仿宋_GB2312" w:cs="仿宋_GB2312" w:eastAsia="仿宋_GB2312"/>
              </w:rPr>
              <w:t>1）《民法典》第五百八十五条的规定；</w:t>
            </w:r>
          </w:p>
          <w:p>
            <w:pPr>
              <w:pStyle w:val="null3"/>
            </w:pPr>
            <w:r>
              <w:rPr>
                <w:rFonts w:ascii="仿宋_GB2312" w:hAnsi="仿宋_GB2312" w:cs="仿宋_GB2312" w:eastAsia="仿宋_GB2312"/>
              </w:rPr>
              <w:t>（</w:t>
            </w:r>
            <w:r>
              <w:rPr>
                <w:rFonts w:ascii="仿宋_GB2312" w:hAnsi="仿宋_GB2312" w:cs="仿宋_GB2312" w:eastAsia="仿宋_GB2312"/>
              </w:rPr>
              <w:t>2）《陕西省建设工程工程量清单计价规则》(2009年)；</w:t>
            </w:r>
          </w:p>
          <w:p>
            <w:pPr>
              <w:pStyle w:val="null3"/>
            </w:pPr>
            <w:r>
              <w:rPr>
                <w:rFonts w:ascii="仿宋_GB2312" w:hAnsi="仿宋_GB2312" w:cs="仿宋_GB2312" w:eastAsia="仿宋_GB2312"/>
              </w:rPr>
              <w:t>（</w:t>
            </w:r>
            <w:r>
              <w:rPr>
                <w:rFonts w:ascii="仿宋_GB2312" w:hAnsi="仿宋_GB2312" w:cs="仿宋_GB2312" w:eastAsia="仿宋_GB2312"/>
              </w:rPr>
              <w:t>3）《建设工程施工合同》；</w:t>
            </w:r>
          </w:p>
          <w:p>
            <w:pPr>
              <w:pStyle w:val="null3"/>
            </w:pPr>
            <w:r>
              <w:rPr>
                <w:rFonts w:ascii="仿宋_GB2312" w:hAnsi="仿宋_GB2312" w:cs="仿宋_GB2312" w:eastAsia="仿宋_GB2312"/>
              </w:rPr>
              <w:t>（</w:t>
            </w:r>
            <w:r>
              <w:rPr>
                <w:rFonts w:ascii="仿宋_GB2312" w:hAnsi="仿宋_GB2312" w:cs="仿宋_GB2312" w:eastAsia="仿宋_GB2312"/>
              </w:rPr>
              <w:t>4）其他相关法律规定。未按合同要求提供服务，发包方会同监督机构有权终止合同，对承包方违约行为进行追究，同时按政府采购法的有关规定进行相应的处罚。</w:t>
            </w:r>
          </w:p>
          <w:p>
            <w:pPr>
              <w:pStyle w:val="null3"/>
            </w:pPr>
            <w:r>
              <w:rPr>
                <w:rFonts w:ascii="仿宋_GB2312" w:hAnsi="仿宋_GB2312" w:cs="仿宋_GB2312" w:eastAsia="仿宋_GB2312"/>
              </w:rPr>
              <w:t>3</w:t>
            </w:r>
            <w:r>
              <w:rPr>
                <w:rFonts w:ascii="仿宋_GB2312" w:hAnsi="仿宋_GB2312" w:cs="仿宋_GB2312" w:eastAsia="仿宋_GB2312"/>
              </w:rPr>
              <w:t>、与本工程相关的特别说明</w:t>
            </w:r>
          </w:p>
          <w:p>
            <w:pPr>
              <w:pStyle w:val="null3"/>
            </w:pPr>
            <w:r>
              <w:rPr>
                <w:rFonts w:ascii="仿宋_GB2312" w:hAnsi="仿宋_GB2312" w:cs="仿宋_GB2312" w:eastAsia="仿宋_GB2312"/>
                <w:sz w:val="21"/>
              </w:rPr>
              <w:t>工程量清单（以电子招标书为准）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w:t>
            </w:r>
          </w:p>
        </w:tc>
        <w:tc>
          <w:tcPr>
            <w:tcW w:type="dxa" w:w="1661"/>
          </w:tcPr>
          <w:p>
            <w:pPr>
              <w:pStyle w:val="null3"/>
            </w:pPr>
            <w:r>
              <w:rPr>
                <w:rFonts w:ascii="仿宋_GB2312" w:hAnsi="仿宋_GB2312" w:cs="仿宋_GB2312" w:eastAsia="仿宋_GB2312"/>
              </w:rPr>
              <w:t>供应商应提交的相关资格证明材料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信息查询</w:t>
            </w:r>
          </w:p>
        </w:tc>
        <w:tc>
          <w:tcPr>
            <w:tcW w:type="dxa" w:w="3322"/>
          </w:tcPr>
          <w:p>
            <w:pPr>
              <w:pStyle w:val="null3"/>
            </w:pPr>
            <w:r>
              <w:rPr>
                <w:rFonts w:ascii="仿宋_GB2312" w:hAnsi="仿宋_GB2312" w:cs="仿宋_GB2312" w:eastAsia="仿宋_GB2312"/>
              </w:rPr>
              <w:t>供应商及拟派项目经理基本信息应在“陕西省住房和城乡建设厅网站（http://js.shaanxi.gov.cn/）陕西省建筑市场监管与诚信信息发布平台”可查询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响应文件的完整性(按要求编制)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供应商承诺书.docx 强制优先采购产品承诺函 响应文件封面 项目管理机构组成表 残疾人福利性单位声明函 报价函 标的清单 供应商类似项目业绩一览表 响应函 法定代表人授权委托书.docx 主要人员简历表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响应文件的有效性(按要求签署盖章)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供应商承诺书.docx 强制优先采购产品承诺函 响应文件封面 项目管理机构组成表 残疾人福利性单位声明函 报价函 标的清单 供应商类似项目业绩一览表 响应函 法定代表人授权委托书.docx 主要人员简历表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响应文件的响应性(实质上响应磋商文件，磋商文件允许偏离的除外)</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供应商承诺书.docx 强制优先采购产品承诺函 响应文件封面 项目管理机构组成表 残疾人福利性单位声明函 报价函 标的清单 供应商类似项目业绩一览表 响应函 法定代表人授权委托书.docx 主要人员简历表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已标价工程量清单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1、本项目总体施工方案内容全面、完整、详细，进度合理，准备充分，有完善的规划、部署和实施措施，得8分； 2、本项目总体施工方案基本明确、细节简单，内容描述基本完善，得5分； 3、本项目总体施工方案描述符合磋商文件要求，内容简单，得3分； 4、本项目总体施工方案缺失、不完善，内容不具操作性的，得1分；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1、工程质量的技术组织措施详尽、合理、可行性度高，得6分； 2、工程质量的技术组织措施基本完善、较为合理，得4分； 3、工程质量的技术组织措施笼统简单，得2分； 4、工程质量的技术组织措施缺失、不完善，内容不具操作性的，得1分；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1、安全生产的技术组织措施详尽、合理、可行性度高，得6分； 2、安全生产的技术组织措施基本完善、较为合理，得4分； 3、安全生产的技术组织措施笼统简单，得2分； 4、安全生产的技术组织措施缺失、不完善，内容不具操作性的，得1分；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1、文明施工的技术组织措施详尽、合理、可行性度高，得6分； 2、文明施工的技术组织措施基本完善、较为合理，得4分； 3、文明施工的技术组织措施笼统简单，得2分； 4、文明施工的技术组织措施缺失、不完善，内容不具操作性的，得1分；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1、环境保护的技术组织措施详尽、合理、可行性度高，得6分； 2、环境保护的技术组织措施基本完善、较为合理，得4分； 3、环境保护的技术组织措施笼统简单，得2分； 4、环境保护的技术组织措施缺失、不完善，内容不具操作性的，得1分；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1、工期的技术组织措施详尽、合理、可行性度高，得6分； 2、工期的技术组织措施基本完善、较为合理，得4分； 3、工期的技术组织措施笼统简单，得2分； 4、工期的技术组织措施缺失、不完善，内容不具操作性的，得1分；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施工组织、项目管理机构与劳动力安排计划</w:t>
            </w:r>
          </w:p>
        </w:tc>
        <w:tc>
          <w:tcPr>
            <w:tcW w:type="dxa" w:w="2492"/>
          </w:tcPr>
          <w:p>
            <w:pPr>
              <w:pStyle w:val="null3"/>
            </w:pPr>
            <w:r>
              <w:rPr>
                <w:rFonts w:ascii="仿宋_GB2312" w:hAnsi="仿宋_GB2312" w:cs="仿宋_GB2312" w:eastAsia="仿宋_GB2312"/>
              </w:rPr>
              <w:t>1、施工组织和项目管理机构合理、完善、详尽，完全满足项目的要求且可行性强的，得6分； 2、施工组织和项目管理机构基本合理满足项目的要求且有一定可行性的得4分； 3、施工组织和项目管理机构基本合理满足项目的要求但可行性较差的得2分； 4、施工组织和项目管理机构缺失、不完善，得1分；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1、按施工方案提供的措施详尽、合理、可行性度高，得6分； 2、措施基本完善、较为合理，得4分； 3、措施笼统简单，得2分； 4、措施缺失、不完善，内容不具操作性的，得1分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1、根据供应商提供的施工总平面布置合理完整、可行性度高、且能针对性满足项目，得6分； 2、施工总平面布置较完整，简单，有一定可行性，得4分； 3、施工总平面布置笼统简单，得2分；4、内容缺失、不完善，不具操作性的，得1分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1、施工机械配备合理和材料环保性好，得6分； 2、施工机械配备和材料投入计划基本合理、可行，得4分； 3、施工机械配备和材料投入计划基本满足实际需求，得2分； 4、施工机械配备和材料投入缺失、不完善，不具操作性的，得1分5、未提供不得分。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项目完工后的维修及保修承诺</w:t>
            </w:r>
          </w:p>
        </w:tc>
        <w:tc>
          <w:tcPr>
            <w:tcW w:type="dxa" w:w="2492"/>
          </w:tcPr>
          <w:p>
            <w:pPr>
              <w:pStyle w:val="null3"/>
            </w:pPr>
            <w:r>
              <w:rPr>
                <w:rFonts w:ascii="仿宋_GB2312" w:hAnsi="仿宋_GB2312" w:cs="仿宋_GB2312" w:eastAsia="仿宋_GB2312"/>
              </w:rPr>
              <w:t>1、维修及保修承诺详尽、合理、可行性度高，得5分； 2、维修及保修承诺基本完善、较为合理，得3分； 3、维修及保修承诺笼统简单，得1分；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提供2022年12月1日至今类似项目（以施工合同复印件加盖公章为准）每个计1.5分，最高得3分。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（1）本项目设最高限价。供应商的磋商总报价超过最高限价的视为无效标，不再参与下一步评审。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