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4"/>
        <w:rPr>
          <w:b/>
          <w:bCs/>
          <w:sz w:val="24"/>
          <w:szCs w:val="24"/>
        </w:rPr>
      </w:pPr>
    </w:p>
    <w:p w14:paraId="0797DCCC">
      <w:pPr>
        <w:pStyle w:val="4"/>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4"/>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9"/>
        <w:rPr>
          <w:rFonts w:hint="eastAsia" w:ascii="宋体" w:hAnsi="宋体" w:eastAsia="宋体" w:cs="宋体"/>
          <w:b/>
          <w:bCs/>
          <w:sz w:val="24"/>
          <w:szCs w:val="24"/>
        </w:rPr>
      </w:pPr>
    </w:p>
    <w:p w14:paraId="683FD1C7">
      <w:pPr>
        <w:pStyle w:val="9"/>
        <w:rPr>
          <w:rFonts w:hint="eastAsia" w:ascii="宋体" w:hAnsi="宋体" w:eastAsia="宋体" w:cs="宋体"/>
          <w:b/>
          <w:bCs/>
          <w:sz w:val="24"/>
          <w:szCs w:val="24"/>
        </w:rPr>
      </w:pPr>
    </w:p>
    <w:p w14:paraId="6245E861">
      <w:pPr>
        <w:pStyle w:val="9"/>
        <w:rPr>
          <w:rFonts w:hint="eastAsia" w:ascii="宋体" w:hAnsi="宋体" w:eastAsia="宋体" w:cs="宋体"/>
          <w:b/>
          <w:bCs/>
          <w:sz w:val="24"/>
          <w:szCs w:val="24"/>
        </w:rPr>
      </w:pPr>
    </w:p>
    <w:p w14:paraId="3758129F">
      <w:pPr>
        <w:pStyle w:val="9"/>
        <w:rPr>
          <w:rFonts w:hint="eastAsia" w:ascii="宋体" w:hAnsi="宋体" w:eastAsia="宋体" w:cs="宋体"/>
          <w:b/>
          <w:bCs/>
          <w:sz w:val="24"/>
          <w:szCs w:val="24"/>
        </w:rPr>
      </w:pPr>
    </w:p>
    <w:p w14:paraId="7E455A63">
      <w:pPr>
        <w:pStyle w:val="9"/>
        <w:rPr>
          <w:rFonts w:hint="eastAsia" w:ascii="宋体" w:hAnsi="宋体" w:eastAsia="宋体" w:cs="宋体"/>
          <w:b/>
          <w:bCs/>
          <w:sz w:val="24"/>
          <w:szCs w:val="24"/>
        </w:rPr>
      </w:pPr>
    </w:p>
    <w:p w14:paraId="2EC0A0C8">
      <w:pPr>
        <w:pStyle w:val="9"/>
        <w:rPr>
          <w:rFonts w:hint="eastAsia" w:ascii="宋体" w:hAnsi="宋体" w:eastAsia="宋体" w:cs="宋体"/>
          <w:b/>
          <w:bCs/>
          <w:sz w:val="24"/>
          <w:szCs w:val="24"/>
        </w:rPr>
      </w:pPr>
    </w:p>
    <w:p w14:paraId="013BA156">
      <w:pPr>
        <w:pStyle w:val="9"/>
        <w:rPr>
          <w:rFonts w:hint="eastAsia" w:ascii="宋体" w:hAnsi="宋体" w:eastAsia="宋体" w:cs="宋体"/>
          <w:b/>
          <w:bCs/>
          <w:sz w:val="24"/>
          <w:szCs w:val="24"/>
        </w:rPr>
      </w:pPr>
    </w:p>
    <w:p w14:paraId="77423655">
      <w:pPr>
        <w:pStyle w:val="9"/>
        <w:rPr>
          <w:rFonts w:hint="eastAsia" w:ascii="宋体" w:hAnsi="宋体" w:eastAsia="宋体" w:cs="宋体"/>
          <w:b/>
          <w:bCs/>
          <w:sz w:val="24"/>
          <w:szCs w:val="24"/>
        </w:rPr>
      </w:pPr>
    </w:p>
    <w:p w14:paraId="0D11E6EA">
      <w:pPr>
        <w:pStyle w:val="9"/>
        <w:rPr>
          <w:rFonts w:hint="eastAsia" w:ascii="宋体" w:hAnsi="宋体" w:eastAsia="宋体" w:cs="宋体"/>
          <w:b/>
          <w:bCs/>
          <w:sz w:val="24"/>
          <w:szCs w:val="24"/>
        </w:rPr>
      </w:pPr>
    </w:p>
    <w:p w14:paraId="28B508B7">
      <w:pPr>
        <w:pStyle w:val="9"/>
        <w:rPr>
          <w:rFonts w:hint="eastAsia" w:ascii="宋体" w:hAnsi="宋体" w:eastAsia="宋体" w:cs="宋体"/>
          <w:b/>
          <w:bCs/>
          <w:sz w:val="24"/>
          <w:szCs w:val="24"/>
        </w:rPr>
      </w:pPr>
    </w:p>
    <w:p w14:paraId="6715FFEB">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4"/>
        <w:keepNext w:val="0"/>
        <w:keepLines w:val="0"/>
        <w:pageBreakBefore w:val="0"/>
        <w:widowControl w:val="0"/>
        <w:numPr>
          <w:ilvl w:val="0"/>
          <w:numId w:val="0"/>
        </w:numPr>
        <w:kinsoku/>
        <w:wordWrap/>
        <w:overflowPunct/>
        <w:topLinePunct w:val="0"/>
        <w:autoSpaceDE/>
        <w:autoSpaceDN/>
        <w:bidi w:val="0"/>
        <w:spacing w:line="360" w:lineRule="auto"/>
        <w:textAlignment w:val="auto"/>
        <w:rPr>
          <w:b/>
          <w:bCs/>
          <w:sz w:val="24"/>
          <w:szCs w:val="24"/>
        </w:rPr>
      </w:pPr>
      <w:r>
        <w:rPr>
          <w:rFonts w:hint="eastAsia" w:ascii="宋体" w:hAnsi="宋体" w:eastAsia="宋体" w:cs="宋体"/>
          <w:b/>
          <w:bCs/>
          <w:sz w:val="24"/>
          <w:szCs w:val="24"/>
        </w:rPr>
        <w:t>采购包1：属于专门面向中小企业采购。</w:t>
      </w:r>
    </w:p>
    <w:p w14:paraId="0898618F">
      <w:pPr>
        <w:pStyle w:val="4"/>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28ACD322">
      <w:pPr>
        <w:rPr>
          <w:rFonts w:hint="eastAsia"/>
        </w:rPr>
      </w:pPr>
    </w:p>
    <w:p w14:paraId="7226C54F">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1</w:t>
      </w:r>
      <w:r>
        <w:rPr>
          <w:rFonts w:hint="eastAsia" w:eastAsia="宋体"/>
          <w:sz w:val="24"/>
          <w:szCs w:val="24"/>
          <w:lang w:eastAsia="zh-CN"/>
        </w:rPr>
        <w:t>）法定代表人授权书（法定代表人直接参加</w:t>
      </w:r>
      <w:r>
        <w:rPr>
          <w:rFonts w:hint="eastAsia" w:eastAsia="宋体"/>
          <w:sz w:val="24"/>
          <w:szCs w:val="24"/>
          <w:lang w:val="en-US" w:eastAsia="zh-CN"/>
        </w:rPr>
        <w:t>磋商</w:t>
      </w:r>
      <w:r>
        <w:rPr>
          <w:rFonts w:hint="eastAsia" w:eastAsia="宋体"/>
          <w:sz w:val="24"/>
          <w:szCs w:val="24"/>
          <w:lang w:eastAsia="zh-CN"/>
        </w:rPr>
        <w:t>，须提供法定代表人身份证明）；</w:t>
      </w:r>
    </w:p>
    <w:p w14:paraId="03C14786">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2</w:t>
      </w:r>
      <w:r>
        <w:rPr>
          <w:rFonts w:hint="eastAsia" w:eastAsia="宋体"/>
          <w:sz w:val="24"/>
          <w:szCs w:val="24"/>
          <w:lang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14:paraId="6139259C">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（3）供应商须具备行业主管部门颁发的市政公用工程施工总承包三级及以上资质并具有有效的安全生产许可证；</w:t>
      </w:r>
    </w:p>
    <w:p w14:paraId="24CCB09E">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（4）供应商拟派项目经理须具备行业主管部门颁发的市政公用工程专业二级及以上建造师资质及有效的安全生产考核合格证书（建安B证），在本单位注册且无在建工程；</w:t>
      </w:r>
    </w:p>
    <w:p w14:paraId="6D2F1A11">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（5）供应商基本信息及项目经理基本信息应在“陕西建设网（http://js.shaanxi.gov.cn/）</w:t>
      </w:r>
      <w:r>
        <w:rPr>
          <w:rFonts w:hint="eastAsia" w:eastAsia="宋体"/>
          <w:sz w:val="24"/>
          <w:szCs w:val="24"/>
          <w:lang w:val="en-US" w:eastAsia="zh-CN"/>
        </w:rPr>
        <w:t>或</w:t>
      </w:r>
      <w:r>
        <w:rPr>
          <w:rFonts w:hint="eastAsia" w:eastAsia="宋体"/>
          <w:sz w:val="24"/>
          <w:szCs w:val="24"/>
          <w:lang w:eastAsia="zh-CN"/>
        </w:rPr>
        <w:t>陕西省建筑市场监管与诚信信息发布平台”可查询；</w:t>
      </w:r>
    </w:p>
    <w:p w14:paraId="1CC06A28">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sz w:val="24"/>
          <w:szCs w:val="24"/>
          <w:lang w:eastAsia="zh-CN"/>
        </w:rPr>
        <w:t>（</w:t>
      </w:r>
      <w:r>
        <w:rPr>
          <w:rFonts w:hint="eastAsia"/>
          <w:sz w:val="24"/>
          <w:szCs w:val="24"/>
          <w:lang w:val="en-US" w:eastAsia="zh-CN"/>
        </w:rPr>
        <w:t>6</w:t>
      </w:r>
      <w:r>
        <w:rPr>
          <w:rFonts w:hint="eastAsia"/>
          <w:sz w:val="24"/>
          <w:szCs w:val="24"/>
          <w:lang w:eastAsia="zh-CN"/>
        </w:rPr>
        <w:t>）</w:t>
      </w:r>
      <w:r>
        <w:rPr>
          <w:rFonts w:hint="eastAsia" w:eastAsia="宋体"/>
          <w:sz w:val="24"/>
          <w:szCs w:val="24"/>
          <w:lang w:eastAsia="zh-CN"/>
        </w:rPr>
        <w:t>供应商不得在各级诚信信息平台被列为投标受限制的行为人；</w:t>
      </w:r>
    </w:p>
    <w:p w14:paraId="6561162D">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sz w:val="24"/>
          <w:szCs w:val="24"/>
          <w:lang w:eastAsia="zh-CN"/>
        </w:rPr>
        <w:t>（</w:t>
      </w:r>
      <w:r>
        <w:rPr>
          <w:rFonts w:hint="eastAsia"/>
          <w:sz w:val="24"/>
          <w:szCs w:val="24"/>
          <w:lang w:val="en-US" w:eastAsia="zh-CN"/>
        </w:rPr>
        <w:t>7</w:t>
      </w:r>
      <w:r>
        <w:rPr>
          <w:rFonts w:hint="eastAsia"/>
          <w:sz w:val="24"/>
          <w:szCs w:val="24"/>
          <w:lang w:eastAsia="zh-CN"/>
        </w:rPr>
        <w:t>）</w:t>
      </w:r>
      <w:r>
        <w:rPr>
          <w:rFonts w:hint="eastAsia" w:eastAsia="宋体"/>
          <w:sz w:val="24"/>
          <w:szCs w:val="24"/>
          <w:lang w:eastAsia="zh-CN"/>
        </w:rPr>
        <w:t>本项目不接受联合体投标，单位负责人为同一人或者存在直接控股、管理关系的不同供应商，不得参加同一合同项下的政府采购活动；</w:t>
      </w:r>
    </w:p>
    <w:p w14:paraId="09D688F1">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sz w:val="24"/>
          <w:szCs w:val="24"/>
          <w:lang w:eastAsia="zh-CN"/>
        </w:rPr>
        <w:t>（</w:t>
      </w:r>
      <w:r>
        <w:rPr>
          <w:rFonts w:hint="eastAsia"/>
          <w:sz w:val="24"/>
          <w:szCs w:val="24"/>
          <w:lang w:val="en-US" w:eastAsia="zh-CN"/>
        </w:rPr>
        <w:t>8</w:t>
      </w:r>
      <w:r>
        <w:rPr>
          <w:rFonts w:hint="eastAsia"/>
          <w:sz w:val="24"/>
          <w:szCs w:val="24"/>
          <w:lang w:eastAsia="zh-CN"/>
        </w:rPr>
        <w:t>）</w:t>
      </w:r>
      <w:r>
        <w:rPr>
          <w:rFonts w:hint="eastAsia" w:eastAsia="宋体"/>
          <w:sz w:val="24"/>
          <w:szCs w:val="24"/>
          <w:lang w:eastAsia="zh-CN"/>
        </w:rPr>
        <w:t>本项目专门面向中小企业采购，仅限符合《政府采购促进中小企业发展管理办法》的通知(财库〔2020〕46号)条件的中小企业参与，并提供中小企业声明函。</w:t>
      </w:r>
    </w:p>
    <w:p w14:paraId="7181C932">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p>
    <w:p w14:paraId="2ADD1142">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p>
    <w:p w14:paraId="618867F8">
      <w:pPr>
        <w:pStyle w:val="4"/>
        <w:rPr>
          <w:rFonts w:hint="eastAsia"/>
          <w:lang w:eastAsia="zh-CN"/>
        </w:rPr>
      </w:pPr>
    </w:p>
    <w:p w14:paraId="047CAF96">
      <w:pPr>
        <w:rPr>
          <w:rFonts w:hint="eastAsia"/>
          <w:lang w:eastAsia="zh-CN"/>
        </w:rPr>
      </w:pPr>
    </w:p>
    <w:p w14:paraId="748CA95E">
      <w:pPr>
        <w:rPr>
          <w:rFonts w:hint="eastAsia"/>
          <w:lang w:eastAsia="zh-CN"/>
        </w:rPr>
      </w:pPr>
      <w:r>
        <w:rPr>
          <w:rFonts w:hint="eastAsia"/>
          <w:lang w:eastAsia="zh-CN"/>
        </w:rPr>
        <w:br w:type="textWrapping"/>
      </w:r>
    </w:p>
    <w:p w14:paraId="47BD1E21">
      <w:pPr>
        <w:pStyle w:val="4"/>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4"/>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6"/>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6"/>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6"/>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14090954"/>
            <w:bookmarkStart w:id="15"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4"/>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7"/>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hAnsi="宋体" w:eastAsia="宋体" w:cs="宋体"/>
          <w:color w:val="auto"/>
          <w:sz w:val="24"/>
          <w:szCs w:val="24"/>
          <w:highlight w:val="none"/>
          <w:lang w:eastAsia="zh-CN"/>
        </w:rPr>
        <w:t>陕西长城工程造价师事务所有限责任公司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bookmarkStart w:id="24" w:name="_GoBack"/>
      <w:bookmarkEnd w:id="24"/>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4"/>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9"/>
        <w:ind w:left="0" w:leftChars="0" w:firstLine="0" w:firstLineChars="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2667445E"/>
    <w:rsid w:val="2F4564DC"/>
    <w:rsid w:val="310B651C"/>
    <w:rsid w:val="32456B21"/>
    <w:rsid w:val="36C0076C"/>
    <w:rsid w:val="3F8C3C45"/>
    <w:rsid w:val="428F3B4B"/>
    <w:rsid w:val="48490237"/>
    <w:rsid w:val="4D6D4B1A"/>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Body Text Indent"/>
    <w:basedOn w:val="1"/>
    <w:qFormat/>
    <w:uiPriority w:val="0"/>
    <w:pPr>
      <w:ind w:right="4016" w:rightChars="200" w:firstLine="560" w:firstLineChars="200"/>
    </w:pPr>
    <w:rPr>
      <w:sz w:val="28"/>
    </w:rPr>
  </w:style>
  <w:style w:type="paragraph" w:styleId="6">
    <w:name w:val="Plain Text"/>
    <w:basedOn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5"/>
    <w:next w:val="8"/>
    <w:qFormat/>
    <w:uiPriority w:val="0"/>
    <w:pPr>
      <w:ind w:firstLine="420"/>
    </w:pPr>
    <w:rPr>
      <w:rFonts w:eastAsia="宋?"/>
    </w:rPr>
  </w:style>
  <w:style w:type="paragraph" w:customStyle="1" w:styleId="12">
    <w:name w:val="列表段落1"/>
    <w:basedOn w:val="1"/>
    <w:autoRedefine/>
    <w:qFormat/>
    <w:uiPriority w:val="99"/>
    <w:pPr>
      <w:ind w:firstLine="420" w:firstLineChars="200"/>
    </w:pPr>
  </w:style>
  <w:style w:type="character" w:customStyle="1" w:styleId="13">
    <w:name w:val="标题 2 Char"/>
    <w:link w:val="2"/>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2167</Words>
  <Characters>2299</Characters>
  <Lines>1</Lines>
  <Paragraphs>1</Paragraphs>
  <TotalTime>1</TotalTime>
  <ScaleCrop>false</ScaleCrop>
  <LinksUpToDate>false</LinksUpToDate>
  <CharactersWithSpaces>2860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pc</cp:lastModifiedBy>
  <dcterms:modified xsi:type="dcterms:W3CDTF">2025-12-15T09:53:54Z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