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版本号：JXZB2025-12-0120251204001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日光大棚温室建设项目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JXZB2025-12-01</w:t>
      </w:r>
      <w:r>
        <w:br/>
      </w:r>
      <w:r>
        <w:br/>
      </w:r>
      <w:r>
        <w:br/>
      </w:r>
    </w:p>
    <w:p>
      <w:pPr>
        <w:pStyle w:val="null3"/>
        <w:jc w:val="center"/>
        <w:outlineLvl w:val="2"/>
      </w:pPr>
      <w:r>
        <w:rPr>
          <w:rFonts w:ascii="仿宋_GB2312" w:hAnsi="仿宋_GB2312" w:cs="仿宋_GB2312" w:eastAsia="仿宋_GB2312"/>
          <w:sz w:val="28"/>
          <w:b/>
        </w:rPr>
        <w:t>西安市蓝田县三里镇人民政府（本级）</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西安市蓝田县三里镇人民政府（本级）</w:t>
      </w:r>
      <w:r>
        <w:rPr>
          <w:rFonts w:ascii="仿宋_GB2312" w:hAnsi="仿宋_GB2312" w:cs="仿宋_GB2312" w:eastAsia="仿宋_GB2312"/>
        </w:rPr>
        <w:t>委托，拟对</w:t>
      </w:r>
      <w:r>
        <w:rPr>
          <w:rFonts w:ascii="仿宋_GB2312" w:hAnsi="仿宋_GB2312" w:cs="仿宋_GB2312" w:eastAsia="仿宋_GB2312"/>
        </w:rPr>
        <w:t>日光大棚温室建设项目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JXZB2025-12-01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日光大棚温室建设项目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本工程为日光大棚温室建设项目，范围包括内容:建设长约60米，宽约12米左右日光温室大棚4座，耳房4间，配备保温棉被、卷膜器、日光温室薄膜，园区水电路等配套设施，看护房、仓库2间等。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采购包1（日光大棚温室建设项目）：属于专门面向中小企业采购。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1、法定代表人授权书或法定代表人身份证明：法定代表人授权书（法定代表人直接参加磋商，须提供法定代表人身份证明）；</w:t>
      </w:r>
    </w:p>
    <w:p>
      <w:pPr>
        <w:pStyle w:val="null3"/>
      </w:pPr>
      <w:r>
        <w:rPr>
          <w:rFonts w:ascii="仿宋_GB2312" w:hAnsi="仿宋_GB2312" w:cs="仿宋_GB2312" w:eastAsia="仿宋_GB2312"/>
        </w:rPr>
        <w:t>2、失信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p>
      <w:pPr>
        <w:pStyle w:val="null3"/>
      </w:pPr>
      <w:r>
        <w:rPr>
          <w:rFonts w:ascii="仿宋_GB2312" w:hAnsi="仿宋_GB2312" w:cs="仿宋_GB2312" w:eastAsia="仿宋_GB2312"/>
        </w:rPr>
        <w:t>3、资质要求：供应商须具备行业主管部门颁发的建筑工程施工总承包三级及以上资质并具有有效的安全生产许可证；</w:t>
      </w:r>
    </w:p>
    <w:p>
      <w:pPr>
        <w:pStyle w:val="null3"/>
      </w:pPr>
      <w:r>
        <w:rPr>
          <w:rFonts w:ascii="仿宋_GB2312" w:hAnsi="仿宋_GB2312" w:cs="仿宋_GB2312" w:eastAsia="仿宋_GB2312"/>
        </w:rPr>
        <w:t>4、项目经理：供应商拟派项目经理须具备行业主管部门颁发的建筑工程专业二级及以上建造师资质及有效的安全生产考核合格证书（建安B证），在本单位注册且无在建工程；</w:t>
      </w:r>
    </w:p>
    <w:p>
      <w:pPr>
        <w:pStyle w:val="null3"/>
      </w:pPr>
      <w:r>
        <w:rPr>
          <w:rFonts w:ascii="仿宋_GB2312" w:hAnsi="仿宋_GB2312" w:cs="仿宋_GB2312" w:eastAsia="仿宋_GB2312"/>
        </w:rPr>
        <w:t>5、供应商基本信息及项目经理基本信息：供应商基本信息及项目经理基本信息应在“陕西建设网（http://js.shaanxi.gov.cn/ ）陕西省建筑市场监管与诚信信息发布平台”可查询；</w:t>
      </w:r>
    </w:p>
    <w:p>
      <w:pPr>
        <w:pStyle w:val="null3"/>
      </w:pPr>
      <w:r>
        <w:rPr>
          <w:rFonts w:ascii="仿宋_GB2312" w:hAnsi="仿宋_GB2312" w:cs="仿宋_GB2312" w:eastAsia="仿宋_GB2312"/>
        </w:rPr>
        <w:t>6、不得列为受限行为人：供应商不得在各级诚信信息平台被列为投标受限制的行为人（以承诺书为准）；</w:t>
      </w:r>
    </w:p>
    <w:p>
      <w:pPr>
        <w:pStyle w:val="null3"/>
      </w:pPr>
      <w:r>
        <w:rPr>
          <w:rFonts w:ascii="仿宋_GB2312" w:hAnsi="仿宋_GB2312" w:cs="仿宋_GB2312" w:eastAsia="仿宋_GB2312"/>
        </w:rPr>
        <w:t>7、承诺：本项目不接受联合体磋商，单位负责人为同一人或者存在直接控股、管理关系的不同供应商，不得参加同一合同项下的政府采购活动；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 号) 条件的中小企业参与，残疾人福利企业、监狱企业视同中小企业。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西安市蓝田县三里镇人民政府（本级）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蓝田县三里镇温泉路1号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林伟达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02982721359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西安市雁塔区中国科学院地球环境研究所南边和谐国际2栋301室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15529558166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秦西锋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代理服务费收费标准：1.以成交金额为基数，招标代理报酬依据国家计委颁布的《招标代理服务收费管理暂行办法》（计价格[2002]1980号）和（发改办价格[2003]857号）工程收费标准计取； 2.招标代理服务费由成交供应商支付，在领取《成交通知书》前，由成交供应商一次性支付给建信众诚工程咨询有限公司。 3.招标代理服务费缴纳账户，开户名称：建信众诚工程咨询有限公司 开户银行：西安银行股份有限公司东二环南段支行 账 号：209011580000085788 注：成交公示结束后，成交供应商须提供纸质磋商响应文件3套及电子版U盘2个（电子版文件为Word版磋商响应文件、广联达版磋商报价及使用编标工具软件编制并导出的签章版PDF）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西安市蓝田县三里镇人民政府（本级）</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西安市蓝田县三里镇人民政府（本级）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西安市蓝田县三里镇人民政府（本级）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联系电话：15529558166</w:t>
      </w:r>
    </w:p>
    <w:p>
      <w:pPr>
        <w:pStyle w:val="null3"/>
      </w:pPr>
      <w:r>
        <w:rPr>
          <w:rFonts w:ascii="仿宋_GB2312" w:hAnsi="仿宋_GB2312" w:cs="仿宋_GB2312" w:eastAsia="仿宋_GB2312"/>
        </w:rPr>
        <w:t>地址：西安市雁塔区中国科学院地球环境研究所南边和谐国际2栋301室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999,914.65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日光大棚温室建设项目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标的名称：日光大棚温室建设项目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一、工程概况</w:t>
            </w:r>
          </w:p>
          <w:p>
            <w:pPr>
              <w:pStyle w:val="null3"/>
              <w:jc w:val="both"/>
            </w:pPr>
            <w:r>
              <w:rPr>
                <w:rFonts w:ascii="仿宋_GB2312" w:hAnsi="仿宋_GB2312" w:cs="仿宋_GB2312" w:eastAsia="仿宋_GB2312"/>
              </w:rPr>
              <w:t>1、</w:t>
            </w:r>
            <w:r>
              <w:rPr>
                <w:rFonts w:ascii="仿宋_GB2312" w:hAnsi="仿宋_GB2312" w:cs="仿宋_GB2312" w:eastAsia="仿宋_GB2312"/>
              </w:rPr>
              <w:t>工程名称：</w:t>
            </w:r>
            <w:r>
              <w:rPr>
                <w:rFonts w:ascii="仿宋_GB2312" w:hAnsi="仿宋_GB2312" w:cs="仿宋_GB2312" w:eastAsia="仿宋_GB2312"/>
              </w:rPr>
              <w:t>日光大棚温室建设项目</w:t>
            </w:r>
          </w:p>
          <w:p>
            <w:pPr>
              <w:pStyle w:val="null3"/>
              <w:jc w:val="both"/>
            </w:pPr>
            <w:r>
              <w:rPr>
                <w:rFonts w:ascii="仿宋_GB2312" w:hAnsi="仿宋_GB2312" w:cs="仿宋_GB2312" w:eastAsia="仿宋_GB2312"/>
              </w:rPr>
              <w:t>2、建设单位：蓝田县三里镇人民政府</w:t>
            </w:r>
          </w:p>
          <w:p>
            <w:pPr>
              <w:pStyle w:val="null3"/>
              <w:jc w:val="both"/>
            </w:pPr>
            <w:r>
              <w:rPr>
                <w:rFonts w:ascii="仿宋_GB2312" w:hAnsi="仿宋_GB2312" w:cs="仿宋_GB2312" w:eastAsia="仿宋_GB2312"/>
              </w:rPr>
              <w:t>3、建设地点：蓝田县三里镇樊家村</w:t>
            </w:r>
          </w:p>
          <w:p>
            <w:pPr>
              <w:pStyle w:val="null3"/>
              <w:jc w:val="both"/>
            </w:pPr>
            <w:r>
              <w:rPr>
                <w:rFonts w:ascii="仿宋_GB2312" w:hAnsi="仿宋_GB2312" w:cs="仿宋_GB2312" w:eastAsia="仿宋_GB2312"/>
              </w:rPr>
              <w:t>4、工程内容：建设长约60米，宽约12米左右日光温室大棚4座，耳房四间，</w:t>
            </w:r>
            <w:r>
              <w:rPr>
                <w:rFonts w:ascii="仿宋_GB2312" w:hAnsi="仿宋_GB2312" w:cs="仿宋_GB2312" w:eastAsia="仿宋_GB2312"/>
              </w:rPr>
              <w:t>配备</w:t>
            </w:r>
            <w:r>
              <w:rPr>
                <w:rFonts w:ascii="仿宋_GB2312" w:hAnsi="仿宋_GB2312" w:cs="仿宋_GB2312" w:eastAsia="仿宋_GB2312"/>
              </w:rPr>
              <w:t>保暖棉被、卷膜器、日光温室薄膜，园区水电路等配套设施，看护房、仓库</w:t>
            </w:r>
            <w:r>
              <w:rPr>
                <w:rFonts w:ascii="仿宋_GB2312" w:hAnsi="仿宋_GB2312" w:cs="仿宋_GB2312" w:eastAsia="仿宋_GB2312"/>
              </w:rPr>
              <w:t>2间等。</w:t>
            </w:r>
          </w:p>
          <w:p>
            <w:pPr>
              <w:pStyle w:val="null3"/>
              <w:jc w:val="both"/>
            </w:pPr>
            <w:r>
              <w:rPr>
                <w:rFonts w:ascii="仿宋_GB2312" w:hAnsi="仿宋_GB2312" w:cs="仿宋_GB2312" w:eastAsia="仿宋_GB2312"/>
              </w:rPr>
              <w:t>二、编制依据</w:t>
            </w:r>
          </w:p>
          <w:p>
            <w:pPr>
              <w:pStyle w:val="null3"/>
              <w:jc w:val="both"/>
            </w:pPr>
            <w:r>
              <w:rPr>
                <w:rFonts w:ascii="仿宋_GB2312" w:hAnsi="仿宋_GB2312" w:cs="仿宋_GB2312" w:eastAsia="仿宋_GB2312"/>
              </w:rPr>
              <w:t>1</w:t>
            </w:r>
            <w:r>
              <w:rPr>
                <w:rFonts w:ascii="仿宋_GB2312" w:hAnsi="仿宋_GB2312" w:cs="仿宋_GB2312" w:eastAsia="仿宋_GB2312"/>
              </w:rPr>
              <w:t>、依据《日光大棚温室建设项目》施工图及图纸答疑相关资料。</w:t>
            </w:r>
          </w:p>
          <w:p>
            <w:pPr>
              <w:pStyle w:val="null3"/>
              <w:jc w:val="both"/>
            </w:pPr>
            <w:r>
              <w:rPr>
                <w:rFonts w:ascii="仿宋_GB2312" w:hAnsi="仿宋_GB2312" w:cs="仿宋_GB2312" w:eastAsia="仿宋_GB2312"/>
              </w:rPr>
              <w:t>2、</w:t>
            </w:r>
            <w:r>
              <w:rPr>
                <w:rFonts w:ascii="仿宋_GB2312" w:hAnsi="仿宋_GB2312" w:cs="仿宋_GB2312" w:eastAsia="仿宋_GB2312"/>
              </w:rPr>
              <w:t>依据</w:t>
            </w:r>
            <w:r>
              <w:rPr>
                <w:rFonts w:ascii="仿宋_GB2312" w:hAnsi="仿宋_GB2312" w:cs="仿宋_GB2312" w:eastAsia="仿宋_GB2312"/>
              </w:rPr>
              <w:t>《</w:t>
            </w:r>
            <w:r>
              <w:rPr>
                <w:rFonts w:ascii="仿宋_GB2312" w:hAnsi="仿宋_GB2312" w:cs="仿宋_GB2312" w:eastAsia="仿宋_GB2312"/>
              </w:rPr>
              <w:t>陕西省建设工程工程量清单计价计算标准</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w:t>
            </w:r>
            <w:r>
              <w:rPr>
                <w:rFonts w:ascii="仿宋_GB2312" w:hAnsi="仿宋_GB2312" w:cs="仿宋_GB2312" w:eastAsia="仿宋_GB2312"/>
              </w:rPr>
              <w:t>陕西省建设工程费用规则</w:t>
            </w:r>
            <w:r>
              <w:rPr>
                <w:rFonts w:ascii="仿宋_GB2312" w:hAnsi="仿宋_GB2312" w:cs="仿宋_GB2312" w:eastAsia="仿宋_GB2312"/>
              </w:rPr>
              <w:t>》</w:t>
            </w:r>
            <w:r>
              <w:rPr>
                <w:rFonts w:ascii="仿宋_GB2312" w:hAnsi="仿宋_GB2312" w:cs="仿宋_GB2312" w:eastAsia="仿宋_GB2312"/>
              </w:rPr>
              <w:t>(2025)、《陕西省房屋建筑与装饰工程基价表》(20</w:t>
            </w:r>
            <w:r>
              <w:rPr>
                <w:rFonts w:ascii="仿宋_GB2312" w:hAnsi="仿宋_GB2312" w:cs="仿宋_GB2312" w:eastAsia="仿宋_GB2312"/>
              </w:rPr>
              <w:t>25</w:t>
            </w:r>
            <w:r>
              <w:rPr>
                <w:rFonts w:ascii="仿宋_GB2312" w:hAnsi="仿宋_GB2312" w:cs="仿宋_GB2312" w:eastAsia="仿宋_GB2312"/>
              </w:rPr>
              <w:t>)、《陕西省通用安装工程基价表》（</w:t>
            </w:r>
            <w:r>
              <w:rPr>
                <w:rFonts w:ascii="仿宋_GB2312" w:hAnsi="仿宋_GB2312" w:cs="仿宋_GB2312" w:eastAsia="仿宋_GB2312"/>
              </w:rPr>
              <w:t>2025</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《陕西省房屋建筑与装饰工程消耗量定额》（</w:t>
            </w:r>
            <w:r>
              <w:rPr>
                <w:rFonts w:ascii="仿宋_GB2312" w:hAnsi="仿宋_GB2312" w:cs="仿宋_GB2312" w:eastAsia="仿宋_GB2312"/>
              </w:rPr>
              <w:t>2025</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《陕西省通用安装工程消耗量定额》</w:t>
            </w:r>
            <w:r>
              <w:rPr>
                <w:rFonts w:ascii="仿宋_GB2312" w:hAnsi="仿宋_GB2312" w:cs="仿宋_GB2312" w:eastAsia="仿宋_GB2312"/>
              </w:rPr>
              <w:t>(20</w:t>
            </w:r>
            <w:r>
              <w:rPr>
                <w:rFonts w:ascii="仿宋_GB2312" w:hAnsi="仿宋_GB2312" w:cs="仿宋_GB2312" w:eastAsia="仿宋_GB2312"/>
              </w:rPr>
              <w:t>25</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《陕西省建设工程施工机械台班费用定额》（</w:t>
            </w:r>
            <w:r>
              <w:rPr>
                <w:rFonts w:ascii="仿宋_GB2312" w:hAnsi="仿宋_GB2312" w:cs="仿宋_GB2312" w:eastAsia="仿宋_GB2312"/>
              </w:rPr>
              <w:t>20</w:t>
            </w:r>
            <w:r>
              <w:rPr>
                <w:rFonts w:ascii="仿宋_GB2312" w:hAnsi="仿宋_GB2312" w:cs="仿宋_GB2312" w:eastAsia="仿宋_GB2312"/>
              </w:rPr>
              <w:t>25</w:t>
            </w:r>
            <w:r>
              <w:rPr>
                <w:rFonts w:ascii="仿宋_GB2312" w:hAnsi="仿宋_GB2312" w:cs="仿宋_GB2312" w:eastAsia="仿宋_GB2312"/>
              </w:rPr>
              <w:t>）</w:t>
            </w:r>
            <w:r>
              <w:rPr>
                <w:rFonts w:ascii="仿宋_GB2312" w:hAnsi="仿宋_GB2312" w:cs="仿宋_GB2312" w:eastAsia="仿宋_GB2312"/>
              </w:rPr>
              <w:t>等。</w:t>
            </w:r>
          </w:p>
          <w:p>
            <w:pPr>
              <w:pStyle w:val="null3"/>
              <w:jc w:val="both"/>
            </w:pPr>
            <w:r>
              <w:rPr>
                <w:rFonts w:ascii="仿宋_GB2312" w:hAnsi="仿宋_GB2312" w:cs="仿宋_GB2312" w:eastAsia="仿宋_GB2312"/>
              </w:rPr>
              <w:t>3、</w:t>
            </w:r>
            <w:r>
              <w:rPr>
                <w:rFonts w:ascii="仿宋_GB2312" w:hAnsi="仿宋_GB2312" w:cs="仿宋_GB2312" w:eastAsia="仿宋_GB2312"/>
              </w:rPr>
              <w:t>正常施工组织设计及施工方法</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与建设工程项目有关的标准、规范、图集、技术资料</w:t>
            </w:r>
            <w:r>
              <w:rPr>
                <w:rFonts w:ascii="仿宋_GB2312" w:hAnsi="仿宋_GB2312" w:cs="仿宋_GB2312" w:eastAsia="仿宋_GB2312"/>
              </w:rPr>
              <w:t>。</w:t>
            </w:r>
          </w:p>
          <w:p>
            <w:pPr>
              <w:pStyle w:val="null3"/>
              <w:jc w:val="both"/>
            </w:pPr>
            <w:r>
              <w:rPr>
                <w:rFonts w:ascii="仿宋_GB2312" w:hAnsi="仿宋_GB2312" w:cs="仿宋_GB2312" w:eastAsia="仿宋_GB2312"/>
              </w:rPr>
              <w:t>5、</w:t>
            </w:r>
            <w:r>
              <w:rPr>
                <w:rFonts w:ascii="仿宋_GB2312" w:hAnsi="仿宋_GB2312" w:cs="仿宋_GB2312" w:eastAsia="仿宋_GB2312"/>
              </w:rPr>
              <w:t>材料价根据</w:t>
            </w:r>
            <w:r>
              <w:rPr>
                <w:rFonts w:ascii="仿宋_GB2312" w:hAnsi="仿宋_GB2312" w:cs="仿宋_GB2312" w:eastAsia="仿宋_GB2312"/>
              </w:rPr>
              <w:t>蓝田县</w:t>
            </w: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年</w:t>
            </w:r>
            <w:r>
              <w:rPr>
                <w:rFonts w:ascii="仿宋_GB2312" w:hAnsi="仿宋_GB2312" w:cs="仿宋_GB2312" w:eastAsia="仿宋_GB2312"/>
              </w:rPr>
              <w:t>10</w:t>
            </w:r>
            <w:r>
              <w:rPr>
                <w:rFonts w:ascii="仿宋_GB2312" w:hAnsi="仿宋_GB2312" w:cs="仿宋_GB2312" w:eastAsia="仿宋_GB2312"/>
              </w:rPr>
              <w:t>月份信息价及市场价</w:t>
            </w:r>
            <w:r>
              <w:rPr>
                <w:rFonts w:ascii="仿宋_GB2312" w:hAnsi="仿宋_GB2312" w:cs="仿宋_GB2312" w:eastAsia="仿宋_GB2312"/>
              </w:rPr>
              <w:t>。</w:t>
            </w:r>
          </w:p>
          <w:p>
            <w:pPr>
              <w:pStyle w:val="null3"/>
              <w:jc w:val="both"/>
            </w:pPr>
            <w:r>
              <w:rPr>
                <w:rFonts w:ascii="仿宋_GB2312" w:hAnsi="仿宋_GB2312" w:cs="仿宋_GB2312" w:eastAsia="仿宋_GB2312"/>
              </w:rPr>
              <w:t>6、</w:t>
            </w:r>
            <w:r>
              <w:rPr>
                <w:rFonts w:ascii="仿宋_GB2312" w:hAnsi="仿宋_GB2312" w:cs="仿宋_GB2312" w:eastAsia="仿宋_GB2312"/>
              </w:rPr>
              <w:t>其他</w:t>
            </w:r>
            <w:r>
              <w:rPr>
                <w:rFonts w:ascii="仿宋_GB2312" w:hAnsi="仿宋_GB2312" w:cs="仿宋_GB2312" w:eastAsia="仿宋_GB2312"/>
              </w:rPr>
              <w:t>相关计价依据及办法</w:t>
            </w:r>
            <w:r>
              <w:rPr>
                <w:rFonts w:ascii="仿宋_GB2312" w:hAnsi="仿宋_GB2312" w:cs="仿宋_GB2312" w:eastAsia="仿宋_GB2312"/>
              </w:rPr>
              <w:t>。</w:t>
            </w:r>
          </w:p>
          <w:p>
            <w:pPr>
              <w:pStyle w:val="null3"/>
              <w:jc w:val="both"/>
            </w:pPr>
            <w:r>
              <w:rPr>
                <w:rFonts w:ascii="仿宋_GB2312" w:hAnsi="仿宋_GB2312" w:cs="仿宋_GB2312" w:eastAsia="仿宋_GB2312"/>
              </w:rPr>
              <w:t>三、有关问题说明</w:t>
            </w:r>
          </w:p>
          <w:p>
            <w:pPr>
              <w:pStyle w:val="null3"/>
              <w:jc w:val="both"/>
            </w:pPr>
            <w:r>
              <w:rPr>
                <w:rFonts w:ascii="仿宋_GB2312" w:hAnsi="仿宋_GB2312" w:cs="仿宋_GB2312" w:eastAsia="仿宋_GB2312"/>
              </w:rPr>
              <w:t>1、本项目砂浆、混凝土采用预拌干混砂浆和预拌混凝土。</w:t>
            </w:r>
          </w:p>
          <w:p>
            <w:pPr>
              <w:pStyle w:val="null3"/>
              <w:jc w:val="both"/>
            </w:pPr>
            <w:r>
              <w:rPr>
                <w:rFonts w:ascii="仿宋_GB2312" w:hAnsi="仿宋_GB2312" w:cs="仿宋_GB2312" w:eastAsia="仿宋_GB2312"/>
              </w:rPr>
              <w:t>四、其他</w:t>
            </w:r>
            <w:r>
              <w:rPr>
                <w:rFonts w:ascii="仿宋_GB2312" w:hAnsi="仿宋_GB2312" w:cs="仿宋_GB2312" w:eastAsia="仿宋_GB2312"/>
              </w:rPr>
              <w:t>说明</w:t>
            </w:r>
          </w:p>
          <w:p>
            <w:pPr>
              <w:pStyle w:val="null3"/>
              <w:jc w:val="both"/>
            </w:pPr>
            <w:r>
              <w:rPr>
                <w:rFonts w:ascii="仿宋_GB2312" w:hAnsi="仿宋_GB2312" w:cs="仿宋_GB2312" w:eastAsia="仿宋_GB2312"/>
              </w:rPr>
              <w:t>1、本工程采用广联达云计价平台GCCP7.0（7.5000.23.2版本）编制。</w:t>
            </w:r>
          </w:p>
          <w:p>
            <w:pPr>
              <w:pStyle w:val="null3"/>
            </w:pPr>
            <w:r>
              <w:rPr>
                <w:rFonts w:ascii="仿宋_GB2312" w:hAnsi="仿宋_GB2312" w:cs="仿宋_GB2312" w:eastAsia="仿宋_GB2312"/>
              </w:rPr>
              <w:t>2、室外电缆敷设方式按设计系统图计取。</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1、工期：60日历天。 2、付款方式：合同签订乙方进场后，甲方向乙方支付合同总价款的40%作为预付款 ；工程完工后，甲方组织有关部门验收合格后，支付至合同总价款的80%；工程结算审核完成后支付至工程审核价款的100%。3、缺陷责任期：1年。 4、建设地点：蓝田县三里镇樊家村。 5、各供应商应根据“陕西省财政厅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以下资料；(1)提供合格有效的法人或者其他组织的营业执照等证明文件，自然人的身份证明；供应商是法人或其他组织的应提供营业执照等证明文件，供应商是自然人的应提供有效的自然人身份证明。(2)提供2024年度经审计的财务报告（成立时间至提交响应文件截止时间不足一年的可提供成立后任意时段的资产负债表），或响应截止时间前6个月内银行出具的资信证明；(3)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提供2024年度经审计的财务报告（成立时间至提交响应文件截止时间不足一年的可提供成立后任意时段的资产负债表），或响应截止时间前6个月内银行出具的资信证明；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失信查询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供应商须具备行业主管部门颁发的建筑工程施工总承包三级及以上资质并具有有效的安全生产许可证；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供应商拟派项目经理须具备行业主管部门颁发的建筑工程专业二级及以上建造师资质及有效的安全生产考核合格证书（建安B证），在本单位注册且无在建工程；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w:t>
            </w:r>
          </w:p>
        </w:tc>
        <w:tc>
          <w:tcPr>
            <w:tcW w:type="dxa" w:w="3322"/>
          </w:tcPr>
          <w:p>
            <w:pPr>
              <w:pStyle w:val="null3"/>
            </w:pPr>
            <w:r>
              <w:rPr>
                <w:rFonts w:ascii="仿宋_GB2312" w:hAnsi="仿宋_GB2312" w:cs="仿宋_GB2312" w:eastAsia="仿宋_GB2312"/>
              </w:rPr>
              <w:t>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不得列为受限行为人</w:t>
            </w:r>
          </w:p>
        </w:tc>
        <w:tc>
          <w:tcPr>
            <w:tcW w:type="dxa" w:w="3322"/>
          </w:tcPr>
          <w:p>
            <w:pPr>
              <w:pStyle w:val="null3"/>
            </w:pPr>
            <w:r>
              <w:rPr>
                <w:rFonts w:ascii="仿宋_GB2312" w:hAnsi="仿宋_GB2312" w:cs="仿宋_GB2312" w:eastAsia="仿宋_GB2312"/>
              </w:rPr>
              <w:t>供应商不得在各级诚信信息平台被列为投标受限制的行为人（以承诺书为准）；</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条件的中小企业参与，残疾人福利企业、监狱企业视同中小企业。</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报价函 标的清单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陕西省政府采购供应商拒绝政府采购领域商业贿赂承诺书.pdf 供应商类似项目业绩情况表.pdf 中小企业声明函 响应文件封面 技术服务合同条款及其他商务要求应答表.pdf 残疾人福利性单位声明函 磋商方案.pdf 报价函 供应商应提交的相关资格证明材料.pdf 标的清单 响应函 监狱企业的证明文件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陕西省政府采购供应商拒绝政府采购领域商业贿赂承诺书.pdf 供应商类似项目业绩情况表.pdf 中小企业声明函 响应文件封面 技术服务合同条款及其他商务要求应答表.pdf 残疾人福利性单位声明函 磋商方案.pdf 报价函 供应商应提交的相关资格证明材料.pdf 标的清单 响应函 监狱企业的证明文件 分项报价表.pdf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陕西省政府采购供应商拒绝政府采购领域商业贿赂承诺书.pdf 供应商类似项目业绩情况表.pdf 中小企业声明函 响应文件封面 技术服务合同条款及其他商务要求应答表.pdf 残疾人福利性单位声明函 磋商方案.pdf 报价函 供应商应提交的相关资格证明材料.pdf 标的清单 响应函 监狱企业的证明文件 分项报价表.pdf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根据本项目的特点，制定施工方案（项目整体实施计划、项目实施重难点分析、对易发生质量通病，易出现安全问题，施工难度大，技术含量高的部分进行说明并给出施工保障措施和专项技术方案（含主要施工方法，组织措施，检验手段等）、项目实施流程、施工现场管理制度）：施工方案非常合理、条理清晰、计划安排合理有效：（8-12]分； 施工方案合理，可行性较高：（4-8]分；施工方案合理性差，可行性较差：（0-4]分。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供应商有针对本项目的质量保证体系及保证措施，根据质量保证体系及保证措施的完整性、严格度、规范化、详尽化及针对性等方面的响应情况进行综合评审。质量体系内容完善、科学，有针对性且保障措施合理可行，得(5-10]分；质量体系较完整，保障措施较合理，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有针对本项目的安全生产体系及保证措施，根据安全生产体系及保证措施的完整性、科学性、规范化、详尽化及针对性等方面的响应情况进行综合评审。安全生产体系完善、科学，保障措施有针对性且合理可行，得(5-10]分；确保安全生产体系较完整，保证措施一般，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施工现场组织管理、文明施工，现场秩序良好，工完场清、道路畅通，设有安全防护标志、施工告示牌，确保安全生产施工体系相对完善、科学，保障措施有针对性，且合理可行，得(5-10]分；施工现场组织管理、文明施工，现场秩序完好，工完场清、道路畅通，设有安全防护标志、施工告示牌，确保安全生产施工体系体系较完整，有保证措施，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确保工期的技术组织措施及进度保障措施</w:t>
            </w:r>
          </w:p>
        </w:tc>
        <w:tc>
          <w:tcPr>
            <w:tcW w:type="dxa" w:w="2492"/>
          </w:tcPr>
          <w:p>
            <w:pPr>
              <w:pStyle w:val="null3"/>
            </w:pPr>
            <w:r>
              <w:rPr>
                <w:rFonts w:ascii="仿宋_GB2312" w:hAnsi="仿宋_GB2312" w:cs="仿宋_GB2312" w:eastAsia="仿宋_GB2312"/>
              </w:rPr>
              <w:t>确保工期的技术组织措施科学、切实可行，进度保障措施描述完整、可操作性强、细节描述优越，得(4-8]分；有确保工期及进度的措施，但保障措施内容简单，针对性一般，得(0-4]分。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组织机构健全，有完善的岗位制度和岗位职责，人员安排合理、分工明确，可操作性强：(4-8]分；组织机构较健全，有较完善的岗位制度和岗位职责，人员安排及分工较为合理，具有一定的操作性：(0-4]分。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紧急预案措施</w:t>
            </w:r>
          </w:p>
        </w:tc>
        <w:tc>
          <w:tcPr>
            <w:tcW w:type="dxa" w:w="2492"/>
          </w:tcPr>
          <w:p>
            <w:pPr>
              <w:pStyle w:val="null3"/>
            </w:pPr>
            <w:r>
              <w:rPr>
                <w:rFonts w:ascii="仿宋_GB2312" w:hAnsi="仿宋_GB2312" w:cs="仿宋_GB2312" w:eastAsia="仿宋_GB2312"/>
              </w:rPr>
              <w:t>在施工过程中有应对紧急情况的预案措施：措施方案具体、可行：:(2-4]分； 措施方案基本合理、可行性一般：(0-2]分。未提供不得分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根据供应商的后期服务承诺及服务内容，由磋商小组成员自主赋分，(0-2]分；未提供不得分。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提供2022年12月1日至今完成过的类似工程项目业绩。每提供一个业绩证明得 2分，最多得6分。（以完整合同复印件为准，时间以合同签订日期为准）。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供应商类似项目业绩情况表.pdf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注：经评委一致认定，供应商的磋商最终总报价低于公认市场成本，或超过采购预算,其磋商响应将被拒绝。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分项报价表.pdf</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详见附件：供应商类似项目业绩情况表.pdf</w:t>
      </w:r>
    </w:p>
    <w:p>
      <w:pPr>
        <w:pStyle w:val="null3"/>
        <w:ind w:firstLine="960"/>
      </w:pPr>
      <w:r>
        <w:rPr>
          <w:rFonts w:ascii="仿宋_GB2312" w:hAnsi="仿宋_GB2312" w:cs="仿宋_GB2312" w:eastAsia="仿宋_GB2312"/>
        </w:rPr>
        <w:t>详见附件：技术服务合同条款及其他商务要求应答表.pdf</w:t>
      </w:r>
    </w:p>
    <w:p>
      <w:pPr>
        <w:pStyle w:val="null3"/>
        <w:ind w:firstLine="960"/>
      </w:pPr>
      <w:r>
        <w:rPr>
          <w:rFonts w:ascii="仿宋_GB2312" w:hAnsi="仿宋_GB2312" w:cs="仿宋_GB2312" w:eastAsia="仿宋_GB2312"/>
        </w:rPr>
        <w:t>详见附件：磋商方案.pdf</w:t>
      </w:r>
    </w:p>
    <w:p>
      <w:pPr>
        <w:pStyle w:val="null3"/>
        <w:ind w:firstLine="960"/>
      </w:pPr>
      <w:r>
        <w:rPr>
          <w:rFonts w:ascii="仿宋_GB2312" w:hAnsi="仿宋_GB2312" w:cs="仿宋_GB2312" w:eastAsia="仿宋_GB2312"/>
        </w:rPr>
        <w:t>详见附件：陕西省政府采购供应商拒绝政府采购领域商业贿赂承诺书.pdf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详见附件：合同范本（总包合同）.docx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