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版本号：ZZDY-2025-04320251205001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蓝田县普化镇当院村蔬菜产业园项目附属配套工程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ZZDY-2025-043</w:t>
      </w:r>
      <w:r>
        <w:br/>
      </w:r>
      <w:r>
        <w:br/>
      </w:r>
      <w:r>
        <w:br/>
      </w:r>
    </w:p>
    <w:p>
      <w:pPr>
        <w:pStyle w:val="null3"/>
        <w:jc w:val="center"/>
        <w:outlineLvl w:val="2"/>
      </w:pPr>
      <w:r>
        <w:rPr>
          <w:rFonts w:ascii="仿宋_GB2312" w:hAnsi="仿宋_GB2312" w:cs="仿宋_GB2312" w:eastAsia="仿宋_GB2312"/>
          <w:sz w:val="28"/>
          <w:b/>
        </w:rPr>
        <w:t>西安市蓝田县普化镇人民政府（本级）</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西安市蓝田县普化镇人民政府（本级）</w:t>
      </w:r>
      <w:r>
        <w:rPr>
          <w:rFonts w:ascii="仿宋_GB2312" w:hAnsi="仿宋_GB2312" w:cs="仿宋_GB2312" w:eastAsia="仿宋_GB2312"/>
        </w:rPr>
        <w:t>委托，拟对</w:t>
      </w:r>
      <w:r>
        <w:rPr>
          <w:rFonts w:ascii="仿宋_GB2312" w:hAnsi="仿宋_GB2312" w:cs="仿宋_GB2312" w:eastAsia="仿宋_GB2312"/>
        </w:rPr>
        <w:t>蓝田县普化镇当院村蔬菜产业园项目附属配套工程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ZZDY-2025-043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蓝田县普化镇当院村蔬菜产业园项目附属配套工程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本项目为蓝田县普化镇当院村蔬菜产业园项目附属配套工程，主要内容:（1）现状道路拆除重建，面积约为5000.72平方米； （2）现状道路内更换约500米污水管道（钢筋混凝土管）及10个井盖（球墨铸铁井盖，D400级）；（3）部分现状道路增设混凝土路缘石，总长度约800米。其中用地内现状道路两侧增设长度约440米，其他现状道路单侧增设长度约360米；（4）在园区现有每个耳房处均增设竹篱笆围栏，围栏内设人行道，在人行道接道路处围栏留1米宽开口。每个耳房处竹篱笆围栏长度约15米，20个耳房处围栏共计约300米，每个耳房处人行道透水砖面积约为7.2平方米，20个耳房处人行道透水砖面积共计约144平方米； （5）用地南侧设1.50立方米雨水井，一侧接现有排水渠，另一侧接DN600HDPE双壁波纹管，双壁波纹管长度约122米，排至西侧现有排水渠。 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采购包1（蓝田县普化镇当院村蔬菜产业园项目附属配套工程）：属于专门面向中小企业采购。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1、供应商具有独立承担民事责任的能力：具有独立承担民事责任能力的企业法人或其他组织或注册地在中国境内的外资企业，提供合法有效的(三证合一)统一社会信用代码的营业执照。</w:t>
      </w:r>
    </w:p>
    <w:p>
      <w:pPr>
        <w:pStyle w:val="null3"/>
      </w:pPr>
      <w:r>
        <w:rPr>
          <w:rFonts w:ascii="仿宋_GB2312" w:hAnsi="仿宋_GB2312" w:cs="仿宋_GB2312" w:eastAsia="仿宋_GB2312"/>
        </w:rPr>
        <w:t>2、供应商应授权合法的人员参加磋商全过程：供应商应授权合法的人员参加磋商响应全过程，其中法定代表人直接磋商响应的，须提法定代表人身份证明书和身份证。法定代表人授权他人参加磋商响应的，须出具法定代表人授权委托书及被授权人身份证。</w:t>
      </w:r>
    </w:p>
    <w:p>
      <w:pPr>
        <w:pStyle w:val="null3"/>
      </w:pPr>
      <w:r>
        <w:rPr>
          <w:rFonts w:ascii="仿宋_GB2312" w:hAnsi="仿宋_GB2312" w:cs="仿宋_GB2312" w:eastAsia="仿宋_GB2312"/>
        </w:rPr>
        <w:t>3、有依法缴纳税收的良好记录：供应商须提供磋商截止时间前一年内任意1个月的缴税证明(注:依法免税或零申报的供应商应提供相关文件证明)。</w:t>
      </w:r>
    </w:p>
    <w:p>
      <w:pPr>
        <w:pStyle w:val="null3"/>
      </w:pPr>
      <w:r>
        <w:rPr>
          <w:rFonts w:ascii="仿宋_GB2312" w:hAnsi="仿宋_GB2312" w:cs="仿宋_GB2312" w:eastAsia="仿宋_GB2312"/>
        </w:rPr>
        <w:t>4、有社会保障资金的良好记录：供应商须提供磋商截止时间前一年内任意1个月的社会保险缴纳证明(注:依法不需要缴纳社会保障资金的供应商应提供相关文件证明)</w:t>
      </w:r>
    </w:p>
    <w:p>
      <w:pPr>
        <w:pStyle w:val="null3"/>
      </w:pPr>
      <w:r>
        <w:rPr>
          <w:rFonts w:ascii="仿宋_GB2312" w:hAnsi="仿宋_GB2312" w:cs="仿宋_GB2312" w:eastAsia="仿宋_GB2312"/>
        </w:rPr>
        <w:t>5、企业资质及项目经理资质要求：企业资质：供应商须具备建设行政主管部门颁发的市政公用工程施工总承包三级及以上资质，并具有合格有效的安全生产许可证；项目经理：项目负责人证书等级:二级注册建造师 专业:市政公用工程 补充说明:在本单位注册且无在建工程(提供无在建工程承诺书)</w:t>
      </w:r>
    </w:p>
    <w:p>
      <w:pPr>
        <w:pStyle w:val="null3"/>
      </w:pPr>
      <w:r>
        <w:rPr>
          <w:rFonts w:ascii="仿宋_GB2312" w:hAnsi="仿宋_GB2312" w:cs="仿宋_GB2312" w:eastAsia="仿宋_GB2312"/>
        </w:rPr>
        <w:t>6、供应商具有履行合同所必需的设备和专业技术能力：供应商须提供具有履行合同所必需的设备和专业技术能力的承诺函</w:t>
      </w:r>
    </w:p>
    <w:p>
      <w:pPr>
        <w:pStyle w:val="null3"/>
      </w:pPr>
      <w:r>
        <w:rPr>
          <w:rFonts w:ascii="仿宋_GB2312" w:hAnsi="仿宋_GB2312" w:cs="仿宋_GB2312" w:eastAsia="仿宋_GB2312"/>
        </w:rPr>
        <w:t>7、供应商参加政府采购活动前三年内在经营活动中没有重大违法记录：供应商应具备良好的商业信誉，提供参加政府采购活动前3年内在经营活动中没有重大违法记录的书面声明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供应商信用信息：未在“信用中国”网站(www.creditchina.gov.cn)列入失信被执行人、重大税收违法家件当事人名单，未在“中国政府采购网”(ccgp.gov.cn)政府采购列入严重违法失信行为记录名单。(代理机构开标现场查询)</w:t>
      </w:r>
    </w:p>
    <w:p>
      <w:pPr>
        <w:pStyle w:val="null3"/>
      </w:pPr>
      <w:r>
        <w:rPr>
          <w:rFonts w:ascii="仿宋_GB2312" w:hAnsi="仿宋_GB2312" w:cs="仿宋_GB2312" w:eastAsia="仿宋_GB2312"/>
        </w:rPr>
        <w:t>9、非联合体磋商：提供非联合体磋商声明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西安市蓝田县普化镇人民政府（本级）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普化镇街道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吴斌峰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13609190634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闫春红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17691005085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代理服务费收费标准：本次招标的招标代理服务费收取参照国家计委计价格[2002]1980 号文、国家发改办价格[2003]857 号文和国家发改办价格[2011]534 号文件；由中标供应商再领取中标通知书前一次性支付。 银行户名：陕西中正鼎裕项目管理有限公司 开户银行：兴业银行股份有限公司西安分行营业部 账号：456010100100956535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西安市蓝田县普化镇人民政府（本级）</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西安市蓝田县普化镇人民政府（本级）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西安市蓝田县普化镇人民政府（本级）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陕西中正鼎裕项目管理有限公司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合格，并满足国家、工程所在地地方政府及合同的要求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联系人：闫春红</w:t>
      </w:r>
    </w:p>
    <w:p>
      <w:pPr>
        <w:pStyle w:val="null3"/>
      </w:pPr>
      <w:r>
        <w:rPr>
          <w:rFonts w:ascii="仿宋_GB2312" w:hAnsi="仿宋_GB2312" w:cs="仿宋_GB2312" w:eastAsia="仿宋_GB2312"/>
        </w:rPr>
        <w:t>联系电话：18700921793</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1,377,800.00</w:t>
      </w:r>
    </w:p>
    <w:p>
      <w:pPr>
        <w:pStyle w:val="null3"/>
      </w:pPr>
      <w:r>
        <w:rPr>
          <w:rFonts w:ascii="仿宋_GB2312" w:hAnsi="仿宋_GB2312" w:cs="仿宋_GB2312" w:eastAsia="仿宋_GB2312"/>
        </w:rPr>
        <w:t>采购包最高限价（元）: 1,377,800.00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蓝田县普化镇当院村蔬菜产业园项目附属配套工程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1,377,800.00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标的名称：蓝田县普化镇当院村蔬菜产业园项目附属配套工程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1.工程地点</w:t>
            </w:r>
          </w:p>
          <w:p>
            <w:pPr>
              <w:pStyle w:val="null3"/>
              <w:ind w:firstLine="560"/>
              <w:jc w:val="both"/>
            </w:pPr>
            <w:r>
              <w:rPr>
                <w:rFonts w:ascii="仿宋_GB2312" w:hAnsi="仿宋_GB2312" w:cs="仿宋_GB2312" w:eastAsia="仿宋_GB2312"/>
                <w:sz w:val="28"/>
              </w:rPr>
              <w:t>蓝田县普化镇当院村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计划工期：</w:t>
            </w:r>
            <w:r>
              <w:rPr>
                <w:rFonts w:ascii="仿宋_GB2312" w:hAnsi="仿宋_GB2312" w:cs="仿宋_GB2312" w:eastAsia="仿宋_GB2312"/>
                <w:sz w:val="28"/>
              </w:rPr>
              <w:t>60日历天</w:t>
            </w:r>
          </w:p>
          <w:p>
            <w:pPr>
              <w:pStyle w:val="null3"/>
              <w:ind w:firstLine="560"/>
              <w:jc w:val="both"/>
            </w:pPr>
            <w:r>
              <w:rPr>
                <w:rFonts w:ascii="仿宋_GB2312" w:hAnsi="仿宋_GB2312" w:cs="仿宋_GB2312" w:eastAsia="仿宋_GB2312"/>
                <w:sz w:val="28"/>
              </w:rPr>
              <w:t>3.质量保修期：</w:t>
            </w:r>
            <w:r>
              <w:rPr>
                <w:rFonts w:ascii="仿宋_GB2312" w:hAnsi="仿宋_GB2312" w:cs="仿宋_GB2312" w:eastAsia="仿宋_GB2312"/>
                <w:sz w:val="28"/>
                <w:u w:val="single"/>
              </w:rPr>
              <w:t>1</w:t>
            </w:r>
            <w:r>
              <w:rPr>
                <w:rFonts w:ascii="仿宋_GB2312" w:hAnsi="仿宋_GB2312" w:cs="仿宋_GB2312" w:eastAsia="仿宋_GB2312"/>
                <w:sz w:val="28"/>
              </w:rPr>
              <w:t>年（自竣工验收合格之日起计算</w:t>
            </w:r>
            <w:r>
              <w:rPr>
                <w:rFonts w:ascii="仿宋_GB2312" w:hAnsi="仿宋_GB2312" w:cs="仿宋_GB2312" w:eastAsia="仿宋_GB2312"/>
                <w:sz w:val="28"/>
              </w:rPr>
              <w:t>)</w:t>
            </w:r>
          </w:p>
          <w:p>
            <w:pPr>
              <w:pStyle w:val="null3"/>
              <w:spacing w:after="120"/>
              <w:ind w:firstLine="420"/>
              <w:jc w:val="both"/>
            </w:pPr>
            <w:r>
              <w:rPr>
                <w:rFonts w:ascii="仿宋_GB2312" w:hAnsi="仿宋_GB2312" w:cs="仿宋_GB2312" w:eastAsia="仿宋_GB2312"/>
                <w:sz w:val="28"/>
              </w:rPr>
              <w:t>4.工程量清单（见附件）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包括三表一注，成立时间至提交磋商响应文件截止时间不足一年的可提供成立后任意时段的资产负债表),或其参加磋商响应前三个月内基本存款账户开户银行出具的资信证明，或信用担保机构出具的投标担保函。（以上三种形式的资料提供任何一种即可）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供应商应授权合法的人员参加磋商响应全过程，其中法定代表人直接磋商响应的，须提法定代表人身份证明书和身份证。法定代表人授权他人参加磋商响应的，须出具法定代表人授权委托书及被授权人身份证。</w:t>
            </w:r>
          </w:p>
        </w:tc>
        <w:tc>
          <w:tcPr>
            <w:tcW w:type="dxa" w:w="1661"/>
          </w:tcPr>
          <w:p>
            <w:pPr>
              <w:pStyle w:val="null3"/>
            </w:pPr>
            <w:r>
              <w:rPr>
                <w:rFonts w:ascii="仿宋_GB2312" w:hAnsi="仿宋_GB2312" w:cs="仿宋_GB2312" w:eastAsia="仿宋_GB2312"/>
              </w:rPr>
              <w:t>法定代表人身份证明和法定代表人委托书.docx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供应商须提供磋商截止时间前一年内任意1个月的缴税证明(注:依法免税或零申报的供应商应提供相关文件证明)。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有社会保障资金的良好记录</w:t>
            </w:r>
          </w:p>
        </w:tc>
        <w:tc>
          <w:tcPr>
            <w:tcW w:type="dxa" w:w="3322"/>
          </w:tcPr>
          <w:p>
            <w:pPr>
              <w:pStyle w:val="null3"/>
            </w:pPr>
            <w:r>
              <w:rPr>
                <w:rFonts w:ascii="仿宋_GB2312" w:hAnsi="仿宋_GB2312" w:cs="仿宋_GB2312" w:eastAsia="仿宋_GB2312"/>
              </w:rPr>
              <w:t>供应商须提供磋商截止时间前一年内任意1个月的社会保险缴纳证明(注:依法不需要缴纳社会保障资金的供应商应提供相关文件证明)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企业资质及项目经理资质要求</w:t>
            </w:r>
          </w:p>
        </w:tc>
        <w:tc>
          <w:tcPr>
            <w:tcW w:type="dxa" w:w="3322"/>
          </w:tcPr>
          <w:p>
            <w:pPr>
              <w:pStyle w:val="null3"/>
            </w:pPr>
            <w:r>
              <w:rPr>
                <w:rFonts w:ascii="仿宋_GB2312" w:hAnsi="仿宋_GB2312" w:cs="仿宋_GB2312" w:eastAsia="仿宋_GB2312"/>
              </w:rPr>
              <w:t>企业资质：供应商须具备建设行政主管部门颁发的市政公用工程施工总承包三级及以上资质，并具有合格有效的安全生产许可证；项目经理：项目负责人证书等级:二级注册建造师 专业:市政公用工程 补充说明:在本单位注册且无在建工程(提供无在建工程承诺书)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 响应函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响应函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未在“信用中国”网站(www.creditchina.gov.cn)列入失信被执行人、重大税收违法家件当事人名单，未在“中国政府采购网”(ccgp.gov.cn)政府采购列入严重违法失信行为记录名单。(代理机构开标现场查询)</w:t>
            </w:r>
          </w:p>
        </w:tc>
        <w:tc>
          <w:tcPr>
            <w:tcW w:type="dxa" w:w="1661"/>
          </w:tcPr>
          <w:p>
            <w:pPr>
              <w:pStyle w:val="null3"/>
            </w:pPr>
            <w:r>
              <w:rPr>
                <w:rFonts w:ascii="仿宋_GB2312" w:hAnsi="仿宋_GB2312" w:cs="仿宋_GB2312" w:eastAsia="仿宋_GB2312"/>
              </w:rPr>
              <w:t>响应函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响应函 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供应商名称与其证明材料相符，字章一致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相关承诺书.docx 响应文件封面 项目管理机构组成表 残疾人福利性单位声明函 报价函 标的清单 供应商类似项目业绩一览表 法定代表人身份证明和法定代表人委托书.docx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相对应标包最高限价金额或采购金额。</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相关承诺书.docx 响应文件封面 项目管理机构组成表 残疾人福利性单位声明函 报价函 标的清单 供应商类似项目业绩一览表 法定代表人身份证明和法定代表人委托书.docx 响应实施方案.docx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满足磋商文件中要求的质量保修期</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与磋商文件工程量清单一致</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项目的施工方案（10分）</w:t>
            </w:r>
          </w:p>
        </w:tc>
        <w:tc>
          <w:tcPr>
            <w:tcW w:type="dxa" w:w="2492"/>
          </w:tcPr>
          <w:p>
            <w:pPr>
              <w:pStyle w:val="null3"/>
            </w:pPr>
            <w:r>
              <w:rPr>
                <w:rFonts w:ascii="仿宋_GB2312" w:hAnsi="仿宋_GB2312" w:cs="仿宋_GB2312" w:eastAsia="仿宋_GB2312"/>
              </w:rPr>
              <w:t>评审内容：1.分部分项工程概况、2.施工平面布置、3.施工要求和技术保证条件，4.重点难点分析及处理措施。以上4项内容完备、科学、合理、切合本项目实际情况得10分，每缺一项评审内容扣 2.5 分，每有一处缺陷扣0.5分，扣完为止，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施工进度及工期保障措施（9分）</w:t>
            </w:r>
          </w:p>
        </w:tc>
        <w:tc>
          <w:tcPr>
            <w:tcW w:type="dxa" w:w="2492"/>
          </w:tcPr>
          <w:p>
            <w:pPr>
              <w:pStyle w:val="null3"/>
            </w:pPr>
            <w:r>
              <w:rPr>
                <w:rFonts w:ascii="仿宋_GB2312" w:hAnsi="仿宋_GB2312" w:cs="仿宋_GB2312" w:eastAsia="仿宋_GB2312"/>
              </w:rPr>
              <w:t>评审内容：1.提供全面的进度安排、2.关键节点分析、3.确保进度、保证工期的的技术组织措施（包括施工进度表或施工网络图），以上3项内容完备、科学、合理、切合本项目实际情况得9分，每缺一项评审内容扣 3 分，每有一处缺陷扣0.5分，扣完为止，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施工质量保证措施（10分）</w:t>
            </w:r>
          </w:p>
        </w:tc>
        <w:tc>
          <w:tcPr>
            <w:tcW w:type="dxa" w:w="2492"/>
          </w:tcPr>
          <w:p>
            <w:pPr>
              <w:pStyle w:val="null3"/>
            </w:pPr>
            <w:r>
              <w:rPr>
                <w:rFonts w:ascii="仿宋_GB2312" w:hAnsi="仿宋_GB2312" w:cs="仿宋_GB2312" w:eastAsia="仿宋_GB2312"/>
              </w:rPr>
              <w:t>评审内容：1.总体质量控制方案，2.分阶段施工的重点难点分析，3.对质量控制目标进行合理分解、规划，4.分段施工方案及其编制依据。以上4项内容完备、科学、合理、能确保本项目质量标准符合该项目质量要求得10分，每缺一项评审内容扣 2.5 分，每有一处缺陷扣0.5分，扣完为止，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确保安全、文明施工的技术组织措施（10分）</w:t>
            </w:r>
          </w:p>
        </w:tc>
        <w:tc>
          <w:tcPr>
            <w:tcW w:type="dxa" w:w="2492"/>
          </w:tcPr>
          <w:p>
            <w:pPr>
              <w:pStyle w:val="null3"/>
            </w:pPr>
            <w:r>
              <w:rPr>
                <w:rFonts w:ascii="仿宋_GB2312" w:hAnsi="仿宋_GB2312" w:cs="仿宋_GB2312" w:eastAsia="仿宋_GB2312"/>
              </w:rPr>
              <w:t>结合工程环境、特点分析安全隐患，给出有针对性的1.安全施工管理制度、2.文明施工、3.环保施工、4.防尘降噪等保证防护措施。以上4项内容完备、科学、合理、可操作性强得10分，每缺一项评审内容扣 2.5 分，每有一处缺陷扣0.5分，扣完为止，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拟投入本项目施工机械设备配备计划和劳动力安排计划（6分）</w:t>
            </w:r>
          </w:p>
        </w:tc>
        <w:tc>
          <w:tcPr>
            <w:tcW w:type="dxa" w:w="2492"/>
          </w:tcPr>
          <w:p>
            <w:pPr>
              <w:pStyle w:val="null3"/>
            </w:pPr>
            <w:r>
              <w:rPr>
                <w:rFonts w:ascii="仿宋_GB2312" w:hAnsi="仿宋_GB2312" w:cs="仿宋_GB2312" w:eastAsia="仿宋_GB2312"/>
              </w:rPr>
              <w:t>评审内容：1.机械设备型号、数量与工程匹配度，2、关键大型设备有明确的来源保障，3，劳动力投入工种配置与工程量相匹配，以上3项内容每项2分，每有一处缺陷扣0.5分，扣完为止。（缺陷是指：机械设备型号不清楚，数量不明确、于本工程施工无关，关键设备来源不清楚，劳动力投入不合理，与本项目工程量不相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项目经理部人员组成的情况（5分）</w:t>
            </w:r>
          </w:p>
        </w:tc>
        <w:tc>
          <w:tcPr>
            <w:tcW w:type="dxa" w:w="2492"/>
          </w:tcPr>
          <w:p>
            <w:pPr>
              <w:pStyle w:val="null3"/>
            </w:pPr>
            <w:r>
              <w:rPr>
                <w:rFonts w:ascii="仿宋_GB2312" w:hAnsi="仿宋_GB2312" w:cs="仿宋_GB2312" w:eastAsia="仿宋_GB2312"/>
              </w:rPr>
              <w:t>质量员、施工员、资料员、材料员、专职安全员配置齐全得5分，每缺少一人扣1分，扣完为止。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新技术、新产品、新工艺、新材料应用（4分）</w:t>
            </w:r>
          </w:p>
        </w:tc>
        <w:tc>
          <w:tcPr>
            <w:tcW w:type="dxa" w:w="2492"/>
          </w:tcPr>
          <w:p>
            <w:pPr>
              <w:pStyle w:val="null3"/>
            </w:pPr>
            <w:r>
              <w:rPr>
                <w:rFonts w:ascii="仿宋_GB2312" w:hAnsi="仿宋_GB2312" w:cs="仿宋_GB2312" w:eastAsia="仿宋_GB2312"/>
              </w:rPr>
              <w:t>施工工艺技术、技术参数、工艺流程、施工方法描述详细、合理，利于本项目施工得4分；施工工艺技术、技术参数、工艺流程、施工方法空洞、无具体的施工流程得2分。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保修承诺（6分）</w:t>
            </w:r>
          </w:p>
        </w:tc>
        <w:tc>
          <w:tcPr>
            <w:tcW w:type="dxa" w:w="2492"/>
          </w:tcPr>
          <w:p>
            <w:pPr>
              <w:pStyle w:val="null3"/>
            </w:pPr>
            <w:r>
              <w:rPr>
                <w:rFonts w:ascii="仿宋_GB2312" w:hAnsi="仿宋_GB2312" w:cs="仿宋_GB2312" w:eastAsia="仿宋_GB2312"/>
              </w:rPr>
              <w:t>结合本项目的实际，供应商应依据国家相关规定对工程质量编制保修方案，包括但不限于①工程验收方案②维修措施③保修责任及保修承诺。以上3项内容方案清晰、措施合理、承诺明确得6分，每缺一项评审内容扣 2 分，每有一处缺陷扣0.5分，扣完为止，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 （10分）</w:t>
            </w:r>
          </w:p>
        </w:tc>
        <w:tc>
          <w:tcPr>
            <w:tcW w:type="dxa" w:w="2492"/>
          </w:tcPr>
          <w:p>
            <w:pPr>
              <w:pStyle w:val="null3"/>
            </w:pPr>
            <w:r>
              <w:rPr>
                <w:rFonts w:ascii="仿宋_GB2312" w:hAnsi="仿宋_GB2312" w:cs="仿宋_GB2312" w:eastAsia="仿宋_GB2312"/>
              </w:rPr>
              <w:t>提供近三年（2022年11月1日以后，以合同签订日期为准）至今，具有类似项目业绩的，每有1项计2分，最多得10分；未提供不计分。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磋商报价得分=（磋商基准价/最后磋商报价）×30，计算结果保留两位小数。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